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20"/>
        </w:rPr>
        <w:t>DATA ANALYTICS PROJECT REPORT</w:t>
      </w:r>
    </w:p>
    <w:p>
      <w:pPr>
        <w:jc w:val="center"/>
      </w:pPr>
      <w:r>
        <w:rPr>
          <w:b/>
          <w:sz w:val="50"/>
        </w:rPr>
        <w:t>ZOMATO RESTAURANT</w:t>
        <w:br/>
        <w:t>MARKET ANALYSIS</w:t>
      </w:r>
    </w:p>
    <w:p>
      <w:pPr>
        <w:jc w:val="center"/>
      </w:pPr>
      <w:r>
        <w:rPr>
          <w:i/>
          <w:sz w:val="22"/>
        </w:rPr>
        <w:t>End-to-End Restaurant Marketplace Analytics</w:t>
      </w:r>
    </w:p>
    <w:p/>
    <w:p>
      <w:pPr>
        <w:jc w:val="both"/>
      </w:pPr>
      <w:r>
        <w:t>This project is an end-to-end data analytics study designed to understand restaurant performance, customer engagement, pricing, cuisines, services, and market opportunities. The analysis approaches Zomato as a marketplace business and focuses on identifying high-performing segments, promising expansion opportunities, and areas where restaurant partners may benefit from targeted improvements.</w:t>
      </w:r>
    </w:p>
    <w:p/>
    <w:p>
      <w:pPr>
        <w:pStyle w:val="Heading1"/>
        <w:keepNext/>
      </w:pPr>
      <w:r>
        <w:t>1.1 Introduction</w:t>
      </w:r>
    </w:p>
    <w:p>
      <w:pPr>
        <w:jc w:val="both"/>
      </w:pPr>
      <w:r>
        <w:t>The project combines data preparation, exploratory analysis, SQL, statistical testing, market opportunity analysis, and Power BI reporting. Real-world restaurant data is transformed into structured business insights that can support marketplace strategy, partner growth, and evidence-based decision-making.</w:t>
      </w:r>
    </w:p>
    <w:p>
      <w:pPr>
        <w:pStyle w:val="Heading1"/>
        <w:keepNext/>
      </w:pPr>
      <w:r>
        <w:t>1.2 Problem Statement</w:t>
      </w:r>
    </w:p>
    <w:p>
      <w:pPr>
        <w:jc w:val="both"/>
      </w:pPr>
      <w:r>
        <w:t>The objective is to identify high-performing restaurant segments, understand customer and service patterns, evaluate market opportunities, and provide evidence-based recommendations for marketplace decisions.</w:t>
      </w:r>
    </w:p>
    <w:p>
      <w:pPr>
        <w:pStyle w:val="Heading1"/>
        <w:keepNext/>
      </w:pPr>
      <w:r>
        <w:t>1.3 Key Business Questions</w:t>
      </w:r>
    </w:p>
    <w:p>
      <w:pPr>
        <w:pStyle w:val="ListBullet"/>
        <w:spacing w:after="40"/>
        <w:ind w:left="259"/>
      </w:pPr>
      <w:r>
        <w:t>Which price segments perform best?</w:t>
      </w:r>
    </w:p>
    <w:p>
      <w:pPr>
        <w:pStyle w:val="ListBullet"/>
        <w:spacing w:after="40"/>
        <w:ind w:left="259"/>
      </w:pPr>
      <w:r>
        <w:t>Which cuisines show strong customer engagement?</w:t>
      </w:r>
    </w:p>
    <w:p>
      <w:pPr>
        <w:pStyle w:val="ListBullet"/>
        <w:spacing w:after="40"/>
        <w:ind w:left="259"/>
      </w:pPr>
      <w:r>
        <w:t>Which cities show promising expansion signals?</w:t>
      </w:r>
    </w:p>
    <w:p>
      <w:pPr>
        <w:pStyle w:val="ListBullet"/>
        <w:spacing w:after="40"/>
        <w:ind w:left="259"/>
      </w:pPr>
      <w:r>
        <w:t>How do online delivery and table booking relate to performance?</w:t>
      </w:r>
    </w:p>
    <w:p>
      <w:pPr>
        <w:pStyle w:val="ListBullet"/>
        <w:spacing w:after="40"/>
        <w:ind w:left="259"/>
      </w:pPr>
      <w:r>
        <w:t>Does promotion create a measurable improvement in engagement?</w:t>
      </w:r>
    </w:p>
    <w:p>
      <w:pPr>
        <w:pStyle w:val="ListBullet"/>
        <w:spacing w:after="40"/>
        <w:ind w:left="259"/>
      </w:pPr>
      <w:r>
        <w:t>Which highly rated restaurants have relatively low engagement?</w:t>
      </w:r>
    </w:p>
    <w:p>
      <w:pPr>
        <w:pStyle w:val="Heading1"/>
        <w:keepNext/>
      </w:pPr>
      <w:r>
        <w:t>1.4 Tools &amp; Technologies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F4E78"/>
          </w:tcPr>
          <w:p>
            <w:pPr>
              <w:jc w:val="center"/>
            </w:pPr>
            <w:r/>
            <w:r>
              <w:rPr>
                <w:rFonts w:ascii="Aptos" w:hAnsi="Aptos"/>
                <w:b/>
                <w:color w:val="FFFFFF"/>
                <w:sz w:val="17"/>
              </w:rPr>
              <w:t>Area</w:t>
            </w:r>
          </w:p>
        </w:tc>
        <w:tc>
          <w:tcPr>
            <w:tcW w:type="dxa" w:w="7056"/>
            <w:vAlign w:val="center"/>
            <w:shd w:fill="1F4E78"/>
          </w:tcPr>
          <w:p>
            <w:pPr>
              <w:jc w:val="center"/>
            </w:pPr>
            <w:r/>
            <w:r>
              <w:rPr>
                <w:rFonts w:ascii="Aptos" w:hAnsi="Aptos"/>
                <w:b/>
                <w:color w:val="FFFFFF"/>
                <w:sz w:val="17"/>
              </w:rPr>
              <w:t>Technology / Method</w:t>
            </w:r>
          </w:p>
        </w:tc>
      </w:tr>
      <w:tr>
        <w:tc>
          <w:tcPr>
            <w:tcW w:type="dxa" w:w="2448"/>
            <w:vAlign w:val="center"/>
          </w:tcPr>
          <w:p>
            <w:pPr>
              <w:jc w:val="center"/>
            </w:pPr>
            <w:r/>
            <w:r>
              <w:rPr>
                <w:rFonts w:ascii="Aptos" w:hAnsi="Aptos"/>
                <w:b w:val="0"/>
                <w:sz w:val="17"/>
              </w:rPr>
              <w:t>Programming &amp; EDA</w:t>
            </w:r>
          </w:p>
        </w:tc>
        <w:tc>
          <w:tcPr>
            <w:tcW w:type="dxa" w:w="7056"/>
            <w:vAlign w:val="center"/>
          </w:tcPr>
          <w:p>
            <w:pPr>
              <w:jc w:val="center"/>
            </w:pPr>
            <w:r/>
            <w:r>
              <w:rPr>
                <w:rFonts w:ascii="Aptos" w:hAnsi="Aptos"/>
                <w:b w:val="0"/>
                <w:sz w:val="17"/>
              </w:rPr>
              <w:t>Python — Pandas, NumPy, Matplotlib, Seaborn</w:t>
            </w:r>
          </w:p>
        </w:tc>
      </w:tr>
      <w:tr>
        <w:tc>
          <w:tcPr>
            <w:tcW w:type="dxa" w:w="2448"/>
            <w:vAlign w:val="center"/>
          </w:tcPr>
          <w:p>
            <w:pPr>
              <w:jc w:val="center"/>
            </w:pPr>
            <w:r/>
            <w:r>
              <w:rPr>
                <w:rFonts w:ascii="Aptos" w:hAnsi="Aptos"/>
                <w:b w:val="0"/>
                <w:sz w:val="17"/>
              </w:rPr>
              <w:t>Database</w:t>
            </w:r>
          </w:p>
        </w:tc>
        <w:tc>
          <w:tcPr>
            <w:tcW w:type="dxa" w:w="7056"/>
            <w:vAlign w:val="center"/>
          </w:tcPr>
          <w:p>
            <w:pPr>
              <w:jc w:val="center"/>
            </w:pPr>
            <w:r/>
            <w:r>
              <w:rPr>
                <w:rFonts w:ascii="Aptos" w:hAnsi="Aptos"/>
                <w:b w:val="0"/>
                <w:sz w:val="17"/>
              </w:rPr>
              <w:t>MySQL</w:t>
            </w:r>
          </w:p>
        </w:tc>
      </w:tr>
      <w:tr>
        <w:tc>
          <w:tcPr>
            <w:tcW w:type="dxa" w:w="2448"/>
            <w:vAlign w:val="center"/>
          </w:tcPr>
          <w:p>
            <w:pPr>
              <w:jc w:val="center"/>
            </w:pPr>
            <w:r/>
            <w:r>
              <w:rPr>
                <w:rFonts w:ascii="Aptos" w:hAnsi="Aptos"/>
                <w:b w:val="0"/>
                <w:sz w:val="17"/>
              </w:rPr>
              <w:t>Analysis</w:t>
            </w:r>
          </w:p>
        </w:tc>
        <w:tc>
          <w:tcPr>
            <w:tcW w:type="dxa" w:w="7056"/>
            <w:vAlign w:val="center"/>
          </w:tcPr>
          <w:p>
            <w:pPr>
              <w:jc w:val="center"/>
            </w:pPr>
            <w:r/>
            <w:r>
              <w:rPr>
                <w:rFonts w:ascii="Aptos" w:hAnsi="Aptos"/>
                <w:b w:val="0"/>
                <w:sz w:val="17"/>
              </w:rPr>
              <w:t>SQL, statistical analysis, A/B testing</w:t>
            </w:r>
          </w:p>
        </w:tc>
      </w:tr>
      <w:tr>
        <w:tc>
          <w:tcPr>
            <w:tcW w:type="dxa" w:w="2448"/>
            <w:vAlign w:val="center"/>
          </w:tcPr>
          <w:p>
            <w:pPr>
              <w:jc w:val="center"/>
            </w:pPr>
            <w:r/>
            <w:r>
              <w:rPr>
                <w:rFonts w:ascii="Aptos" w:hAnsi="Aptos"/>
                <w:b w:val="0"/>
                <w:sz w:val="17"/>
              </w:rPr>
              <w:t>Visualization</w:t>
            </w:r>
          </w:p>
        </w:tc>
        <w:tc>
          <w:tcPr>
            <w:tcW w:type="dxa" w:w="7056"/>
            <w:vAlign w:val="center"/>
          </w:tcPr>
          <w:p>
            <w:pPr>
              <w:jc w:val="center"/>
            </w:pPr>
            <w:r/>
            <w:r>
              <w:rPr>
                <w:rFonts w:ascii="Aptos" w:hAnsi="Aptos"/>
                <w:b w:val="0"/>
                <w:sz w:val="17"/>
              </w:rPr>
              <w:t>Microsoft Power BI</w:t>
            </w:r>
          </w:p>
        </w:tc>
      </w:tr>
    </w:tbl>
    <w:p>
      <w:r>
        <w:br w:type="page"/>
      </w:r>
    </w:p>
    <w:p>
      <w:pPr>
        <w:pStyle w:val="Heading1"/>
        <w:keepNext/>
      </w:pPr>
      <w:r>
        <w:t>2. Data Understanding &amp; Preparation</w:t>
      </w:r>
    </w:p>
    <w:p>
      <w:pPr>
        <w:pStyle w:val="Heading2"/>
        <w:keepNext/>
      </w:pPr>
      <w:r>
        <w:t>2.1 Data Understanding</w:t>
      </w:r>
    </w:p>
    <w:p>
      <w:pPr>
        <w:jc w:val="both"/>
      </w:pPr>
      <w:r>
        <w:t>The dataset contains restaurant information such as restaurant name, country, city, locality, cuisines, cost, price range, services, ratings, and customer votes. After cleaning and preparation, the final analytical dataset contained 9,551 restaurants and 20 analytical columns.</w:t>
      </w:r>
    </w:p>
    <w:p>
      <w:pPr>
        <w:pStyle w:val="Heading2"/>
        <w:keepNext/>
      </w:pPr>
      <w:r>
        <w:t>2.2 Data Cleaning</w:t>
      </w:r>
    </w:p>
    <w:p>
      <w:pPr>
        <w:pStyle w:val="ListBullet"/>
        <w:spacing w:after="40"/>
        <w:ind w:left="259"/>
      </w:pPr>
      <w:r>
        <w:t>Removed duplicate records and verified unique Restaurant IDs.</w:t>
      </w:r>
    </w:p>
    <w:p>
      <w:pPr>
        <w:pStyle w:val="ListBullet"/>
        <w:spacing w:after="40"/>
        <w:ind w:left="259"/>
      </w:pPr>
      <w:r>
        <w:t>Handled missing values using appropriate analytical treatments.</w:t>
      </w:r>
    </w:p>
    <w:p>
      <w:pPr>
        <w:pStyle w:val="ListBullet"/>
        <w:spacing w:after="40"/>
        <w:ind w:left="259"/>
      </w:pPr>
      <w:r>
        <w:t>Converted numerical fields to suitable data types.</w:t>
      </w:r>
    </w:p>
    <w:p>
      <w:pPr>
        <w:pStyle w:val="ListBullet"/>
        <w:spacing w:after="40"/>
        <w:ind w:left="259"/>
      </w:pPr>
      <w:r>
        <w:t>Standardized categorical values for consistent grouping.</w:t>
      </w:r>
    </w:p>
    <w:p>
      <w:pPr>
        <w:pStyle w:val="ListBullet"/>
        <w:spacing w:after="40"/>
        <w:ind w:left="259"/>
      </w:pPr>
      <w:r>
        <w:t>Mapped country codes to meaningful country information.</w:t>
      </w:r>
    </w:p>
    <w:p>
      <w:pPr>
        <w:pStyle w:val="ListBullet"/>
        <w:spacing w:after="40"/>
        <w:ind w:left="259"/>
      </w:pPr>
      <w:r>
        <w:t>Normalized cuisine information for comparative analysis.</w:t>
      </w:r>
    </w:p>
    <w:p>
      <w:pPr>
        <w:pStyle w:val="ListBullet"/>
        <w:spacing w:after="40"/>
        <w:ind w:left="259"/>
      </w:pPr>
      <w:r>
        <w:t>Prepared the cleaned dataset for MySQL and Power BI.</w:t>
      </w:r>
    </w:p>
    <w:p>
      <w:pPr>
        <w:pStyle w:val="Heading2"/>
        <w:keepNext/>
      </w:pPr>
      <w:r>
        <w:t>2.3 Feature Engineering</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F4E78"/>
          </w:tcPr>
          <w:p>
            <w:pPr>
              <w:jc w:val="center"/>
            </w:pPr>
            <w:r/>
            <w:r>
              <w:rPr>
                <w:rFonts w:ascii="Aptos" w:hAnsi="Aptos"/>
                <w:b/>
                <w:color w:val="FFFFFF"/>
                <w:sz w:val="17"/>
              </w:rPr>
              <w:t>Feature</w:t>
            </w:r>
          </w:p>
        </w:tc>
        <w:tc>
          <w:tcPr>
            <w:tcW w:type="dxa" w:w="7200"/>
            <w:vAlign w:val="center"/>
            <w:shd w:fill="1F4E78"/>
          </w:tcPr>
          <w:p>
            <w:pPr>
              <w:jc w:val="center"/>
            </w:pPr>
            <w:r/>
            <w:r>
              <w:rPr>
                <w:rFonts w:ascii="Aptos" w:hAnsi="Aptos"/>
                <w:b/>
                <w:color w:val="FFFFFF"/>
                <w:sz w:val="17"/>
              </w:rPr>
              <w:t>Business Definition</w:t>
            </w:r>
          </w:p>
        </w:tc>
      </w:tr>
      <w:tr>
        <w:tc>
          <w:tcPr>
            <w:tcW w:type="dxa" w:w="2304"/>
            <w:vAlign w:val="center"/>
          </w:tcPr>
          <w:p>
            <w:pPr>
              <w:jc w:val="center"/>
            </w:pPr>
            <w:r/>
            <w:r>
              <w:rPr>
                <w:rFonts w:ascii="Aptos" w:hAnsi="Aptos"/>
                <w:b w:val="0"/>
                <w:sz w:val="17"/>
              </w:rPr>
              <w:t>Price Segment</w:t>
            </w:r>
          </w:p>
        </w:tc>
        <w:tc>
          <w:tcPr>
            <w:tcW w:type="dxa" w:w="7200"/>
            <w:vAlign w:val="center"/>
          </w:tcPr>
          <w:p>
            <w:pPr>
              <w:jc w:val="center"/>
            </w:pPr>
            <w:r/>
            <w:r>
              <w:rPr>
                <w:rFonts w:ascii="Aptos" w:hAnsi="Aptos"/>
                <w:b w:val="0"/>
                <w:sz w:val="17"/>
              </w:rPr>
              <w:t>Budget, Mid-Range, Premium, Luxury</w:t>
            </w:r>
          </w:p>
        </w:tc>
      </w:tr>
      <w:tr>
        <w:tc>
          <w:tcPr>
            <w:tcW w:type="dxa" w:w="2304"/>
            <w:vAlign w:val="center"/>
          </w:tcPr>
          <w:p>
            <w:pPr>
              <w:jc w:val="center"/>
            </w:pPr>
            <w:r/>
            <w:r>
              <w:rPr>
                <w:rFonts w:ascii="Aptos" w:hAnsi="Aptos"/>
                <w:b w:val="0"/>
                <w:sz w:val="17"/>
              </w:rPr>
              <w:t>Rating Bucket</w:t>
            </w:r>
          </w:p>
        </w:tc>
        <w:tc>
          <w:tcPr>
            <w:tcW w:type="dxa" w:w="7200"/>
            <w:vAlign w:val="center"/>
          </w:tcPr>
          <w:p>
            <w:pPr>
              <w:jc w:val="center"/>
            </w:pPr>
            <w:r/>
            <w:r>
              <w:rPr>
                <w:rFonts w:ascii="Aptos" w:hAnsi="Aptos"/>
                <w:b w:val="0"/>
                <w:sz w:val="17"/>
              </w:rPr>
              <w:t>Poor, Average, Good, Very Good, Excellent, Not Rated</w:t>
            </w:r>
          </w:p>
        </w:tc>
      </w:tr>
      <w:tr>
        <w:tc>
          <w:tcPr>
            <w:tcW w:type="dxa" w:w="2304"/>
            <w:vAlign w:val="center"/>
          </w:tcPr>
          <w:p>
            <w:pPr>
              <w:jc w:val="center"/>
            </w:pPr>
            <w:r/>
            <w:r>
              <w:rPr>
                <w:rFonts w:ascii="Aptos" w:hAnsi="Aptos"/>
                <w:b w:val="0"/>
                <w:sz w:val="17"/>
              </w:rPr>
              <w:t>Primary Cuisine</w:t>
            </w:r>
          </w:p>
        </w:tc>
        <w:tc>
          <w:tcPr>
            <w:tcW w:type="dxa" w:w="7200"/>
            <w:vAlign w:val="center"/>
          </w:tcPr>
          <w:p>
            <w:pPr>
              <w:jc w:val="center"/>
            </w:pPr>
            <w:r/>
            <w:r>
              <w:rPr>
                <w:rFonts w:ascii="Aptos" w:hAnsi="Aptos"/>
                <w:b w:val="0"/>
                <w:sz w:val="17"/>
              </w:rPr>
              <w:t>Main cuisine used for cuisine-level analysis</w:t>
            </w:r>
          </w:p>
        </w:tc>
      </w:tr>
      <w:tr>
        <w:tc>
          <w:tcPr>
            <w:tcW w:type="dxa" w:w="2304"/>
            <w:vAlign w:val="center"/>
          </w:tcPr>
          <w:p>
            <w:pPr>
              <w:jc w:val="center"/>
            </w:pPr>
            <w:r/>
            <w:r>
              <w:rPr>
                <w:rFonts w:ascii="Aptos" w:hAnsi="Aptos"/>
                <w:b w:val="0"/>
                <w:sz w:val="17"/>
              </w:rPr>
              <w:t>Cuisine Count</w:t>
            </w:r>
          </w:p>
        </w:tc>
        <w:tc>
          <w:tcPr>
            <w:tcW w:type="dxa" w:w="7200"/>
            <w:vAlign w:val="center"/>
          </w:tcPr>
          <w:p>
            <w:pPr>
              <w:jc w:val="center"/>
            </w:pPr>
            <w:r/>
            <w:r>
              <w:rPr>
                <w:rFonts w:ascii="Aptos" w:hAnsi="Aptos"/>
                <w:b w:val="0"/>
                <w:sz w:val="17"/>
              </w:rPr>
              <w:t>Number of cuisines associated with a restaurant</w:t>
            </w:r>
          </w:p>
        </w:tc>
      </w:tr>
      <w:tr>
        <w:tc>
          <w:tcPr>
            <w:tcW w:type="dxa" w:w="2304"/>
            <w:vAlign w:val="center"/>
          </w:tcPr>
          <w:p>
            <w:pPr>
              <w:jc w:val="center"/>
            </w:pPr>
            <w:r/>
            <w:r>
              <w:rPr>
                <w:rFonts w:ascii="Aptos" w:hAnsi="Aptos"/>
                <w:b w:val="0"/>
                <w:sz w:val="17"/>
              </w:rPr>
              <w:t>Popularity Segment</w:t>
            </w:r>
          </w:p>
        </w:tc>
        <w:tc>
          <w:tcPr>
            <w:tcW w:type="dxa" w:w="7200"/>
            <w:vAlign w:val="center"/>
          </w:tcPr>
          <w:p>
            <w:pPr>
              <w:jc w:val="center"/>
            </w:pPr>
            <w:r/>
            <w:r>
              <w:rPr>
                <w:rFonts w:ascii="Aptos" w:hAnsi="Aptos"/>
                <w:b w:val="0"/>
                <w:sz w:val="17"/>
              </w:rPr>
              <w:t>Engagement-based restaurant classification</w:t>
            </w:r>
          </w:p>
        </w:tc>
      </w:tr>
      <w:tr>
        <w:tc>
          <w:tcPr>
            <w:tcW w:type="dxa" w:w="2304"/>
            <w:vAlign w:val="center"/>
          </w:tcPr>
          <w:p>
            <w:pPr>
              <w:jc w:val="center"/>
            </w:pPr>
            <w:r/>
            <w:r>
              <w:rPr>
                <w:rFonts w:ascii="Aptos" w:hAnsi="Aptos"/>
                <w:b w:val="0"/>
                <w:sz w:val="17"/>
              </w:rPr>
              <w:t>Service Segment</w:t>
            </w:r>
          </w:p>
        </w:tc>
        <w:tc>
          <w:tcPr>
            <w:tcW w:type="dxa" w:w="7200"/>
            <w:vAlign w:val="center"/>
          </w:tcPr>
          <w:p>
            <w:pPr>
              <w:jc w:val="center"/>
            </w:pPr>
            <w:r/>
            <w:r>
              <w:rPr>
                <w:rFonts w:ascii="Aptos" w:hAnsi="Aptos"/>
                <w:b w:val="0"/>
                <w:sz w:val="17"/>
              </w:rPr>
              <w:t>Neither, Delivery Only, Booking Only, Both</w:t>
            </w:r>
          </w:p>
        </w:tc>
      </w:tr>
    </w:tbl>
    <w:p>
      <w:pPr>
        <w:pStyle w:val="Heading2"/>
        <w:keepNext/>
      </w:pPr>
      <w:r>
        <w:t>2.4 Exploratory Data Analysis</w:t>
      </w:r>
    </w:p>
    <w:p>
      <w:pPr>
        <w:jc w:val="both"/>
      </w:pPr>
      <w:r>
        <w:t>EDA using Pandas, Matplotlib, and Seaborn was used to identify patterns across pricing, ratings, engagement, services, cities, and cuisines.</w:t>
      </w:r>
    </w:p>
    <w:tbl>
      <w:tblPr>
        <w:tblStyle w:val="TableGrid"/>
        <w:tblW w:type="auto" w:w="0"/>
        <w:jc w:val="center"/>
        <w:tblLook w:firstColumn="1" w:firstRow="1" w:lastColumn="0" w:lastRow="0" w:noHBand="0" w:noVBand="1" w:val="04A0"/>
      </w:tblPr>
      <w:tblGrid>
        <w:gridCol w:w="5112"/>
        <w:gridCol w:w="5112"/>
      </w:tblGrid>
      <w:tr>
        <w:tc>
          <w:tcPr>
            <w:tcW w:type="dxa" w:w="3384"/>
            <w:vAlign w:val="center"/>
            <w:shd w:fill="1F4E78"/>
          </w:tcPr>
          <w:p>
            <w:pPr>
              <w:jc w:val="center"/>
            </w:pPr>
            <w:r/>
            <w:r>
              <w:rPr>
                <w:rFonts w:ascii="Aptos" w:hAnsi="Aptos"/>
                <w:b/>
                <w:color w:val="FFFFFF"/>
                <w:sz w:val="17"/>
              </w:rPr>
              <w:t>Finding</w:t>
            </w:r>
          </w:p>
        </w:tc>
        <w:tc>
          <w:tcPr>
            <w:tcW w:type="dxa" w:w="6120"/>
            <w:vAlign w:val="center"/>
            <w:shd w:fill="1F4E78"/>
          </w:tcPr>
          <w:p>
            <w:pPr>
              <w:jc w:val="center"/>
            </w:pPr>
            <w:r/>
            <w:r>
              <w:rPr>
                <w:rFonts w:ascii="Aptos" w:hAnsi="Aptos"/>
                <w:b/>
                <w:color w:val="FFFFFF"/>
                <w:sz w:val="17"/>
              </w:rPr>
              <w:t>Observed Result</w:t>
            </w:r>
          </w:p>
        </w:tc>
      </w:tr>
      <w:tr>
        <w:tc>
          <w:tcPr>
            <w:tcW w:type="dxa" w:w="3384"/>
            <w:vAlign w:val="center"/>
          </w:tcPr>
          <w:p>
            <w:pPr>
              <w:jc w:val="center"/>
            </w:pPr>
            <w:r/>
            <w:r>
              <w:rPr>
                <w:rFonts w:ascii="Aptos" w:hAnsi="Aptos"/>
                <w:b w:val="0"/>
                <w:sz w:val="17"/>
              </w:rPr>
              <w:t>Budget share</w:t>
            </w:r>
          </w:p>
        </w:tc>
        <w:tc>
          <w:tcPr>
            <w:tcW w:type="dxa" w:w="6120"/>
            <w:vAlign w:val="center"/>
          </w:tcPr>
          <w:p>
            <w:pPr>
              <w:jc w:val="center"/>
            </w:pPr>
            <w:r/>
            <w:r>
              <w:rPr>
                <w:rFonts w:ascii="Aptos" w:hAnsi="Aptos"/>
                <w:b w:val="0"/>
                <w:sz w:val="17"/>
              </w:rPr>
              <w:t>Approximately 46.53% of restaurants</w:t>
            </w:r>
          </w:p>
        </w:tc>
      </w:tr>
      <w:tr>
        <w:tc>
          <w:tcPr>
            <w:tcW w:type="dxa" w:w="3384"/>
            <w:vAlign w:val="center"/>
          </w:tcPr>
          <w:p>
            <w:pPr>
              <w:jc w:val="center"/>
            </w:pPr>
            <w:r/>
            <w:r>
              <w:rPr>
                <w:rFonts w:ascii="Aptos" w:hAnsi="Aptos"/>
                <w:b w:val="0"/>
                <w:sz w:val="17"/>
              </w:rPr>
              <w:t>Highest engagement price range</w:t>
            </w:r>
          </w:p>
        </w:tc>
        <w:tc>
          <w:tcPr>
            <w:tcW w:type="dxa" w:w="6120"/>
            <w:vAlign w:val="center"/>
          </w:tcPr>
          <w:p>
            <w:pPr>
              <w:jc w:val="center"/>
            </w:pPr>
            <w:r/>
            <w:r>
              <w:rPr>
                <w:rFonts w:ascii="Aptos" w:hAnsi="Aptos"/>
                <w:b w:val="0"/>
                <w:sz w:val="17"/>
              </w:rPr>
              <w:t>Price Range 3 — approximately 444 votes per restaurant</w:t>
            </w:r>
          </w:p>
        </w:tc>
      </w:tr>
      <w:tr>
        <w:tc>
          <w:tcPr>
            <w:tcW w:type="dxa" w:w="3384"/>
            <w:vAlign w:val="center"/>
          </w:tcPr>
          <w:p>
            <w:pPr>
              <w:jc w:val="center"/>
            </w:pPr>
            <w:r/>
            <w:r>
              <w:rPr>
                <w:rFonts w:ascii="Aptos" w:hAnsi="Aptos"/>
                <w:b w:val="0"/>
                <w:sz w:val="17"/>
              </w:rPr>
              <w:t>Service pattern</w:t>
            </w:r>
          </w:p>
        </w:tc>
        <w:tc>
          <w:tcPr>
            <w:tcW w:type="dxa" w:w="6120"/>
            <w:vAlign w:val="center"/>
          </w:tcPr>
          <w:p>
            <w:pPr>
              <w:jc w:val="center"/>
            </w:pPr>
            <w:r/>
            <w:r>
              <w:rPr>
                <w:rFonts w:ascii="Aptos" w:hAnsi="Aptos"/>
                <w:b w:val="0"/>
                <w:sz w:val="17"/>
              </w:rPr>
              <w:t>Restaurants offering both online delivery and table booking show the strongest engagement signals</w:t>
            </w:r>
          </w:p>
        </w:tc>
      </w:tr>
      <w:tr>
        <w:tc>
          <w:tcPr>
            <w:tcW w:type="dxa" w:w="3384"/>
            <w:vAlign w:val="center"/>
          </w:tcPr>
          <w:p>
            <w:pPr>
              <w:jc w:val="center"/>
            </w:pPr>
            <w:r/>
            <w:r>
              <w:rPr>
                <w:rFonts w:ascii="Aptos" w:hAnsi="Aptos"/>
                <w:b w:val="0"/>
                <w:sz w:val="17"/>
              </w:rPr>
              <w:t>Market variation</w:t>
            </w:r>
          </w:p>
        </w:tc>
        <w:tc>
          <w:tcPr>
            <w:tcW w:type="dxa" w:w="6120"/>
            <w:vAlign w:val="center"/>
          </w:tcPr>
          <w:p>
            <w:pPr>
              <w:jc w:val="center"/>
            </w:pPr>
            <w:r/>
            <w:r>
              <w:rPr>
                <w:rFonts w:ascii="Aptos" w:hAnsi="Aptos"/>
                <w:b w:val="0"/>
                <w:sz w:val="17"/>
              </w:rPr>
              <w:t>Performance varies meaningfully across cities and cuisines</w:t>
            </w:r>
          </w:p>
        </w:tc>
      </w:tr>
    </w:tbl>
    <w:p>
      <w:pPr>
        <w:pStyle w:val="Heading2"/>
        <w:keepNext/>
      </w:pPr>
      <w:r>
        <w:t>2.5 Analytical Interpretation</w:t>
      </w:r>
    </w:p>
    <w:p>
      <w:pPr>
        <w:jc w:val="both"/>
      </w:pPr>
      <w:r>
        <w:t>The EDA indicates that affordability alone does not explain customer engagement. Price Range 3 emerges as a particularly strong segment, while service availability appears associated with stronger engagement. These patterns provide the foundation for deeper SQL analysis and market opportunity assessment.</w:t>
      </w:r>
    </w:p>
    <w:p>
      <w:r>
        <w:br w:type="page"/>
      </w:r>
    </w:p>
    <w:p>
      <w:pPr>
        <w:pStyle w:val="Heading1"/>
        <w:keepNext/>
      </w:pPr>
      <w:r>
        <w:t>3. SQL Analysis &amp; Statistical Testing</w:t>
      </w:r>
    </w:p>
    <w:p>
      <w:pPr>
        <w:pStyle w:val="Heading2"/>
        <w:keepNext/>
      </w:pPr>
      <w:r>
        <w:t>3.1 SQL Analysis</w:t>
      </w:r>
    </w:p>
    <w:p>
      <w:pPr>
        <w:jc w:val="both"/>
      </w:pPr>
      <w:r>
        <w:t>MySQL was used to structure and validate business analysis through filtering, sorting, aggregation, grouping, ranking, and comparative queries. The SQL layer supported city, cuisine, price segment, service, and restaurant-performance analysis and prepared structured outputs for Power BI reporting.</w:t>
      </w:r>
    </w:p>
    <w:p>
      <w:pPr>
        <w:pStyle w:val="ListBullet"/>
        <w:spacing w:after="40"/>
        <w:ind w:left="259"/>
      </w:pPr>
      <w:r>
        <w:t>Filtering and sorting restaurant records.</w:t>
      </w:r>
    </w:p>
    <w:p>
      <w:pPr>
        <w:pStyle w:val="ListBullet"/>
        <w:spacing w:after="40"/>
        <w:ind w:left="259"/>
      </w:pPr>
      <w:r>
        <w:t>Aggregation and grouping by city, cuisine, price, rating, and services.</w:t>
      </w:r>
    </w:p>
    <w:p>
      <w:pPr>
        <w:pStyle w:val="ListBullet"/>
        <w:spacing w:after="40"/>
        <w:ind w:left="259"/>
      </w:pPr>
      <w:r>
        <w:t>Ranking restaurants and market segments.</w:t>
      </w:r>
    </w:p>
    <w:p>
      <w:pPr>
        <w:pStyle w:val="ListBullet"/>
        <w:spacing w:after="40"/>
        <w:ind w:left="259"/>
      </w:pPr>
      <w:r>
        <w:t>Comparing customer engagement across business categories.</w:t>
      </w:r>
    </w:p>
    <w:p>
      <w:pPr>
        <w:pStyle w:val="ListBullet"/>
        <w:spacing w:after="40"/>
        <w:ind w:left="259"/>
      </w:pPr>
      <w:r>
        <w:t>Generating structured datasets for dashboard reporting.</w:t>
      </w:r>
    </w:p>
    <w:p>
      <w:pPr>
        <w:pStyle w:val="Heading2"/>
        <w:keepNext/>
      </w:pPr>
      <w:r>
        <w:t>3.2 A/B Testing: Promotion &amp; Engagement</w:t>
      </w:r>
    </w:p>
    <w:p>
      <w:pPr>
        <w:jc w:val="both"/>
      </w:pPr>
      <w:r>
        <w:t>An A/B test was conducted to evaluate whether promotion was associated with a measurable increase in customer engagement, using restaurant votes as the engagement metric.</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1F4E78"/>
          </w:tcPr>
          <w:p>
            <w:pPr>
              <w:jc w:val="center"/>
            </w:pPr>
            <w:r/>
            <w:r>
              <w:rPr>
                <w:rFonts w:ascii="Aptos" w:hAnsi="Aptos"/>
                <w:b/>
                <w:color w:val="FFFFFF"/>
                <w:sz w:val="17"/>
              </w:rPr>
              <w:t>Metric</w:t>
            </w:r>
          </w:p>
        </w:tc>
        <w:tc>
          <w:tcPr>
            <w:tcW w:type="dxa" w:w="4896"/>
            <w:vAlign w:val="center"/>
            <w:shd w:fill="1F4E78"/>
          </w:tcPr>
          <w:p>
            <w:pPr>
              <w:jc w:val="center"/>
            </w:pPr>
            <w:r/>
            <w:r>
              <w:rPr>
                <w:rFonts w:ascii="Aptos" w:hAnsi="Aptos"/>
                <w:b/>
                <w:color w:val="FFFFFF"/>
                <w:sz w:val="17"/>
              </w:rPr>
              <w:t>Result</w:t>
            </w:r>
          </w:p>
        </w:tc>
      </w:tr>
      <w:tr>
        <w:tc>
          <w:tcPr>
            <w:tcW w:type="dxa" w:w="4608"/>
            <w:vAlign w:val="center"/>
          </w:tcPr>
          <w:p>
            <w:pPr>
              <w:jc w:val="center"/>
            </w:pPr>
            <w:r/>
            <w:r>
              <w:rPr>
                <w:rFonts w:ascii="Aptos" w:hAnsi="Aptos"/>
                <w:b w:val="0"/>
                <w:sz w:val="17"/>
              </w:rPr>
              <w:t>Control Mean Votes</w:t>
            </w:r>
          </w:p>
        </w:tc>
        <w:tc>
          <w:tcPr>
            <w:tcW w:type="dxa" w:w="4896"/>
            <w:vAlign w:val="center"/>
          </w:tcPr>
          <w:p>
            <w:pPr>
              <w:jc w:val="center"/>
            </w:pPr>
            <w:r/>
            <w:r>
              <w:rPr>
                <w:rFonts w:ascii="Aptos" w:hAnsi="Aptos"/>
                <w:b w:val="0"/>
                <w:sz w:val="17"/>
              </w:rPr>
              <w:t>151.78</w:t>
            </w:r>
          </w:p>
        </w:tc>
      </w:tr>
      <w:tr>
        <w:tc>
          <w:tcPr>
            <w:tcW w:type="dxa" w:w="4608"/>
            <w:vAlign w:val="center"/>
          </w:tcPr>
          <w:p>
            <w:pPr>
              <w:jc w:val="center"/>
            </w:pPr>
            <w:r/>
            <w:r>
              <w:rPr>
                <w:rFonts w:ascii="Aptos" w:hAnsi="Aptos"/>
                <w:b w:val="0"/>
                <w:sz w:val="17"/>
              </w:rPr>
              <w:t>Treatment Mean Votes</w:t>
            </w:r>
          </w:p>
        </w:tc>
        <w:tc>
          <w:tcPr>
            <w:tcW w:type="dxa" w:w="4896"/>
            <w:vAlign w:val="center"/>
          </w:tcPr>
          <w:p>
            <w:pPr>
              <w:jc w:val="center"/>
            </w:pPr>
            <w:r/>
            <w:r>
              <w:rPr>
                <w:rFonts w:ascii="Aptos" w:hAnsi="Aptos"/>
                <w:b w:val="0"/>
                <w:sz w:val="17"/>
              </w:rPr>
              <w:t>162.19</w:t>
            </w:r>
          </w:p>
        </w:tc>
      </w:tr>
      <w:tr>
        <w:tc>
          <w:tcPr>
            <w:tcW w:type="dxa" w:w="4608"/>
            <w:vAlign w:val="center"/>
          </w:tcPr>
          <w:p>
            <w:pPr>
              <w:jc w:val="center"/>
            </w:pPr>
            <w:r/>
            <w:r>
              <w:rPr>
                <w:rFonts w:ascii="Aptos" w:hAnsi="Aptos"/>
                <w:b w:val="0"/>
                <w:sz w:val="17"/>
              </w:rPr>
              <w:t>Observed Percentage Lift</w:t>
            </w:r>
          </w:p>
        </w:tc>
        <w:tc>
          <w:tcPr>
            <w:tcW w:type="dxa" w:w="4896"/>
            <w:vAlign w:val="center"/>
          </w:tcPr>
          <w:p>
            <w:pPr>
              <w:jc w:val="center"/>
            </w:pPr>
            <w:r/>
            <w:r>
              <w:rPr>
                <w:rFonts w:ascii="Aptos" w:hAnsi="Aptos"/>
                <w:b w:val="0"/>
                <w:sz w:val="17"/>
              </w:rPr>
              <w:t>6.86%</w:t>
            </w:r>
          </w:p>
        </w:tc>
      </w:tr>
      <w:tr>
        <w:tc>
          <w:tcPr>
            <w:tcW w:type="dxa" w:w="4608"/>
            <w:vAlign w:val="center"/>
          </w:tcPr>
          <w:p>
            <w:pPr>
              <w:jc w:val="center"/>
            </w:pPr>
            <w:r/>
            <w:r>
              <w:rPr>
                <w:rFonts w:ascii="Aptos" w:hAnsi="Aptos"/>
                <w:b w:val="0"/>
                <w:sz w:val="17"/>
              </w:rPr>
              <w:t>T-Statistic</w:t>
            </w:r>
          </w:p>
        </w:tc>
        <w:tc>
          <w:tcPr>
            <w:tcW w:type="dxa" w:w="4896"/>
            <w:vAlign w:val="center"/>
          </w:tcPr>
          <w:p>
            <w:pPr>
              <w:jc w:val="center"/>
            </w:pPr>
            <w:r/>
            <w:r>
              <w:rPr>
                <w:rFonts w:ascii="Aptos" w:hAnsi="Aptos"/>
                <w:b w:val="0"/>
                <w:sz w:val="17"/>
              </w:rPr>
              <w:t>1.18</w:t>
            </w:r>
          </w:p>
        </w:tc>
      </w:tr>
      <w:tr>
        <w:tc>
          <w:tcPr>
            <w:tcW w:type="dxa" w:w="4608"/>
            <w:vAlign w:val="center"/>
          </w:tcPr>
          <w:p>
            <w:pPr>
              <w:jc w:val="center"/>
            </w:pPr>
            <w:r/>
            <w:r>
              <w:rPr>
                <w:rFonts w:ascii="Aptos" w:hAnsi="Aptos"/>
                <w:b w:val="0"/>
                <w:sz w:val="17"/>
              </w:rPr>
              <w:t>P-Value</w:t>
            </w:r>
          </w:p>
        </w:tc>
        <w:tc>
          <w:tcPr>
            <w:tcW w:type="dxa" w:w="4896"/>
            <w:vAlign w:val="center"/>
          </w:tcPr>
          <w:p>
            <w:pPr>
              <w:jc w:val="center"/>
            </w:pPr>
            <w:r/>
            <w:r>
              <w:rPr>
                <w:rFonts w:ascii="Aptos" w:hAnsi="Aptos"/>
                <w:b w:val="0"/>
                <w:sz w:val="17"/>
              </w:rPr>
              <w:t>0.2375</w:t>
            </w:r>
          </w:p>
        </w:tc>
      </w:tr>
      <w:tr>
        <w:tc>
          <w:tcPr>
            <w:tcW w:type="dxa" w:w="4608"/>
            <w:vAlign w:val="center"/>
          </w:tcPr>
          <w:p>
            <w:pPr>
              <w:jc w:val="center"/>
            </w:pPr>
            <w:r/>
            <w:r>
              <w:rPr>
                <w:rFonts w:ascii="Aptos" w:hAnsi="Aptos"/>
                <w:b w:val="0"/>
                <w:sz w:val="17"/>
              </w:rPr>
              <w:t>Statistically Significant</w:t>
            </w:r>
          </w:p>
        </w:tc>
        <w:tc>
          <w:tcPr>
            <w:tcW w:type="dxa" w:w="4896"/>
            <w:vAlign w:val="center"/>
          </w:tcPr>
          <w:p>
            <w:pPr>
              <w:jc w:val="center"/>
            </w:pPr>
            <w:r/>
            <w:r>
              <w:rPr>
                <w:rFonts w:ascii="Aptos" w:hAnsi="Aptos"/>
                <w:b w:val="0"/>
                <w:sz w:val="17"/>
              </w:rPr>
              <w:t>No</w:t>
            </w:r>
          </w:p>
        </w:tc>
      </w:tr>
    </w:tbl>
    <w:p>
      <w:pPr>
        <w:pStyle w:val="Heading2"/>
        <w:keepNext/>
      </w:pPr>
      <w:r>
        <w:t>3.3 A/B Test Result</w:t>
      </w:r>
    </w:p>
    <w:p>
      <w:pPr>
        <w:jc w:val="both"/>
      </w:pPr>
      <w:r>
        <w:t>The promotion group recorded a 6.86% observed increase in average votes compared with the control group. However, the p-value of 0.2375 is above the conventional 0.05 significance threshold. Therefore, the result is not statistically significant, and there is insufficient evidence to conclude that promotion caused a reliable increase in customer engagement.</w:t>
      </w:r>
    </w:p>
    <w:p>
      <w:pPr>
        <w:pStyle w:val="Heading2"/>
        <w:keepNext/>
      </w:pPr>
      <w:r>
        <w:t>3.4 Business Implication</w:t>
      </w:r>
    </w:p>
    <w:p>
      <w:pPr>
        <w:jc w:val="both"/>
      </w:pPr>
      <w:r>
        <w:t>Promotion should not be treated as a proven engagement driver based on this experiment alone. A larger sample, longer observation period, stronger experimental controls, or alternative promotion designs would help determine whether the observed lift can be replicated.</w:t>
      </w:r>
    </w:p>
    <w:p>
      <w:pPr>
        <w:pStyle w:val="Heading2"/>
        <w:keepNext/>
      </w:pPr>
      <w:r>
        <w:t>3.5 Analytical Principle</w:t>
      </w:r>
    </w:p>
    <w:p>
      <w:pPr>
        <w:jc w:val="both"/>
      </w:pPr>
      <w:r>
        <w:t>The distinction between observed lift and statistically supported impact is important for marketplace decision-making. The 6.86% increase is a useful signal for further testing, but it should not be presented as causal proof.</w:t>
      </w:r>
    </w:p>
    <w:p>
      <w:r>
        <w:br w:type="page"/>
      </w:r>
    </w:p>
    <w:p>
      <w:pPr>
        <w:pStyle w:val="Heading1"/>
        <w:keepNext/>
      </w:pPr>
      <w:r>
        <w:t>4. Market Opportunity Analysis</w:t>
      </w:r>
    </w:p>
    <w:p>
      <w:pPr>
        <w:pStyle w:val="Heading2"/>
        <w:keepNext/>
      </w:pPr>
      <w:r>
        <w:t>4.1 City &amp; Market Analysis</w:t>
      </w:r>
    </w:p>
    <w:p>
      <w:pPr>
        <w:jc w:val="both"/>
      </w:pPr>
      <w:r>
        <w:t>City, cuisine, and price-level analysis was performed to identify promising market segments. The dataset shows strong engagement signals in Bangalore, Hyderabad, Chennai, and Ahmedabad. Because the dataset is unevenly distributed across cities, these results represent signals within the dataset rather than actual market size estimates.</w:t>
      </w:r>
    </w:p>
    <w:p>
      <w:pPr>
        <w:pStyle w:val="Heading2"/>
        <w:keepNext/>
      </w:pPr>
      <w:r>
        <w:t>4.2 Cuisine Opportunity</w:t>
      </w:r>
    </w:p>
    <w:p>
      <w:pPr>
        <w:jc w:val="both"/>
      </w:pPr>
      <w:r>
        <w:t>Mediterranean cuisine showed strong ratings and customer engagement across multiple Indian markets, while Modern Indian demonstrated a strong balance of satisfaction and engagement. Mediterranean showed particularly strong signals in Bangalore, Hyderabad, Chennai, and Ahmedabad.</w:t>
      </w:r>
    </w:p>
    <w:p>
      <w:pPr>
        <w:pStyle w:val="Heading2"/>
        <w:keepNext/>
      </w:pPr>
      <w:r>
        <w:t>4.3 City × Cuisine × Price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656"/>
            <w:vAlign w:val="center"/>
            <w:shd w:fill="1F4E78"/>
          </w:tcPr>
          <w:p>
            <w:pPr>
              <w:jc w:val="center"/>
            </w:pPr>
            <w:r/>
            <w:r>
              <w:rPr>
                <w:rFonts w:ascii="Aptos" w:hAnsi="Aptos"/>
                <w:b/>
                <w:color w:val="FFFFFF"/>
                <w:sz w:val="17"/>
              </w:rPr>
              <w:t>City</w:t>
            </w:r>
          </w:p>
        </w:tc>
        <w:tc>
          <w:tcPr>
            <w:tcW w:type="dxa" w:w="2376"/>
            <w:vAlign w:val="center"/>
            <w:shd w:fill="1F4E78"/>
          </w:tcPr>
          <w:p>
            <w:pPr>
              <w:jc w:val="center"/>
            </w:pPr>
            <w:r/>
            <w:r>
              <w:rPr>
                <w:rFonts w:ascii="Aptos" w:hAnsi="Aptos"/>
                <w:b/>
                <w:color w:val="FFFFFF"/>
                <w:sz w:val="17"/>
              </w:rPr>
              <w:t>Cuisine</w:t>
            </w:r>
          </w:p>
        </w:tc>
        <w:tc>
          <w:tcPr>
            <w:tcW w:type="dxa" w:w="1008"/>
            <w:vAlign w:val="center"/>
            <w:shd w:fill="1F4E78"/>
          </w:tcPr>
          <w:p>
            <w:pPr>
              <w:jc w:val="center"/>
            </w:pPr>
            <w:r/>
            <w:r>
              <w:rPr>
                <w:rFonts w:ascii="Aptos" w:hAnsi="Aptos"/>
                <w:b/>
                <w:color w:val="FFFFFF"/>
                <w:sz w:val="17"/>
              </w:rPr>
              <w:t>Price</w:t>
            </w:r>
          </w:p>
        </w:tc>
        <w:tc>
          <w:tcPr>
            <w:tcW w:type="dxa" w:w="1656"/>
            <w:vAlign w:val="center"/>
            <w:shd w:fill="1F4E78"/>
          </w:tcPr>
          <w:p>
            <w:pPr>
              <w:jc w:val="center"/>
            </w:pPr>
            <w:r/>
            <w:r>
              <w:rPr>
                <w:rFonts w:ascii="Aptos" w:hAnsi="Aptos"/>
                <w:b/>
                <w:color w:val="FFFFFF"/>
                <w:sz w:val="17"/>
              </w:rPr>
              <w:t>Avg Rating</w:t>
            </w:r>
          </w:p>
        </w:tc>
        <w:tc>
          <w:tcPr>
            <w:tcW w:type="dxa" w:w="1944"/>
            <w:vAlign w:val="center"/>
            <w:shd w:fill="1F4E78"/>
          </w:tcPr>
          <w:p>
            <w:pPr>
              <w:jc w:val="center"/>
            </w:pPr>
            <w:r/>
            <w:r>
              <w:rPr>
                <w:rFonts w:ascii="Aptos" w:hAnsi="Aptos"/>
                <w:b/>
                <w:color w:val="FFFFFF"/>
                <w:sz w:val="17"/>
              </w:rPr>
              <w:t>Avg Votes</w:t>
            </w:r>
          </w:p>
        </w:tc>
      </w:tr>
      <w:tr>
        <w:tc>
          <w:tcPr>
            <w:tcW w:type="dxa" w:w="1656"/>
            <w:vAlign w:val="center"/>
          </w:tcPr>
          <w:p>
            <w:pPr>
              <w:jc w:val="center"/>
            </w:pPr>
            <w:r/>
            <w:r>
              <w:rPr>
                <w:rFonts w:ascii="Aptos" w:hAnsi="Aptos"/>
                <w:b w:val="0"/>
                <w:sz w:val="17"/>
              </w:rPr>
              <w:t>Bangalore</w:t>
            </w:r>
          </w:p>
        </w:tc>
        <w:tc>
          <w:tcPr>
            <w:tcW w:type="dxa" w:w="2376"/>
            <w:vAlign w:val="center"/>
          </w:tcPr>
          <w:p>
            <w:pPr>
              <w:jc w:val="center"/>
            </w:pPr>
            <w:r/>
            <w:r>
              <w:rPr>
                <w:rFonts w:ascii="Aptos" w:hAnsi="Aptos"/>
                <w:b w:val="0"/>
                <w:sz w:val="17"/>
              </w:rPr>
              <w:t>Mediterranean</w:t>
            </w:r>
          </w:p>
        </w:tc>
        <w:tc>
          <w:tcPr>
            <w:tcW w:type="dxa" w:w="1008"/>
            <w:vAlign w:val="center"/>
          </w:tcPr>
          <w:p>
            <w:pPr>
              <w:jc w:val="center"/>
            </w:pPr>
            <w:r/>
            <w:r>
              <w:rPr>
                <w:rFonts w:ascii="Aptos" w:hAnsi="Aptos"/>
                <w:b w:val="0"/>
                <w:sz w:val="17"/>
              </w:rPr>
              <w:t>3</w:t>
            </w:r>
          </w:p>
        </w:tc>
        <w:tc>
          <w:tcPr>
            <w:tcW w:type="dxa" w:w="1656"/>
            <w:vAlign w:val="center"/>
          </w:tcPr>
          <w:p>
            <w:pPr>
              <w:jc w:val="center"/>
            </w:pPr>
            <w:r/>
            <w:r>
              <w:rPr>
                <w:rFonts w:ascii="Aptos" w:hAnsi="Aptos"/>
                <w:b w:val="0"/>
                <w:sz w:val="17"/>
              </w:rPr>
              <w:t>4.37</w:t>
            </w:r>
          </w:p>
        </w:tc>
        <w:tc>
          <w:tcPr>
            <w:tcW w:type="dxa" w:w="1944"/>
            <w:vAlign w:val="center"/>
          </w:tcPr>
          <w:p>
            <w:pPr>
              <w:jc w:val="center"/>
            </w:pPr>
            <w:r/>
            <w:r>
              <w:rPr>
                <w:rFonts w:ascii="Aptos" w:hAnsi="Aptos"/>
                <w:b w:val="0"/>
                <w:sz w:val="17"/>
              </w:rPr>
              <w:t>4,425</w:t>
            </w:r>
          </w:p>
        </w:tc>
      </w:tr>
      <w:tr>
        <w:tc>
          <w:tcPr>
            <w:tcW w:type="dxa" w:w="1656"/>
            <w:vAlign w:val="center"/>
          </w:tcPr>
          <w:p>
            <w:pPr>
              <w:jc w:val="center"/>
            </w:pPr>
            <w:r/>
            <w:r>
              <w:rPr>
                <w:rFonts w:ascii="Aptos" w:hAnsi="Aptos"/>
                <w:b w:val="0"/>
                <w:sz w:val="17"/>
              </w:rPr>
              <w:t>Hyderabad</w:t>
            </w:r>
          </w:p>
        </w:tc>
        <w:tc>
          <w:tcPr>
            <w:tcW w:type="dxa" w:w="2376"/>
            <w:vAlign w:val="center"/>
          </w:tcPr>
          <w:p>
            <w:pPr>
              <w:jc w:val="center"/>
            </w:pPr>
            <w:r/>
            <w:r>
              <w:rPr>
                <w:rFonts w:ascii="Aptos" w:hAnsi="Aptos"/>
                <w:b w:val="0"/>
                <w:sz w:val="17"/>
              </w:rPr>
              <w:t>Mediterranean</w:t>
            </w:r>
          </w:p>
        </w:tc>
        <w:tc>
          <w:tcPr>
            <w:tcW w:type="dxa" w:w="1008"/>
            <w:vAlign w:val="center"/>
          </w:tcPr>
          <w:p>
            <w:pPr>
              <w:jc w:val="center"/>
            </w:pPr>
            <w:r/>
            <w:r>
              <w:rPr>
                <w:rFonts w:ascii="Aptos" w:hAnsi="Aptos"/>
                <w:b w:val="0"/>
                <w:sz w:val="17"/>
              </w:rPr>
              <w:t>3</w:t>
            </w:r>
          </w:p>
        </w:tc>
        <w:tc>
          <w:tcPr>
            <w:tcW w:type="dxa" w:w="1656"/>
            <w:vAlign w:val="center"/>
          </w:tcPr>
          <w:p>
            <w:pPr>
              <w:jc w:val="center"/>
            </w:pPr>
            <w:r/>
            <w:r>
              <w:rPr>
                <w:rFonts w:ascii="Aptos" w:hAnsi="Aptos"/>
                <w:b w:val="0"/>
                <w:sz w:val="17"/>
              </w:rPr>
              <w:t>4.90</w:t>
            </w:r>
          </w:p>
        </w:tc>
        <w:tc>
          <w:tcPr>
            <w:tcW w:type="dxa" w:w="1944"/>
            <w:vAlign w:val="center"/>
          </w:tcPr>
          <w:p>
            <w:pPr>
              <w:jc w:val="center"/>
            </w:pPr>
            <w:r/>
            <w:r>
              <w:rPr>
                <w:rFonts w:ascii="Aptos" w:hAnsi="Aptos"/>
                <w:b w:val="0"/>
                <w:sz w:val="17"/>
              </w:rPr>
              <w:t>2,817</w:t>
            </w:r>
          </w:p>
        </w:tc>
      </w:tr>
      <w:tr>
        <w:tc>
          <w:tcPr>
            <w:tcW w:type="dxa" w:w="1656"/>
            <w:vAlign w:val="center"/>
          </w:tcPr>
          <w:p>
            <w:pPr>
              <w:jc w:val="center"/>
            </w:pPr>
            <w:r/>
            <w:r>
              <w:rPr>
                <w:rFonts w:ascii="Aptos" w:hAnsi="Aptos"/>
                <w:b w:val="0"/>
                <w:sz w:val="17"/>
              </w:rPr>
              <w:t>Hyderabad</w:t>
            </w:r>
          </w:p>
        </w:tc>
        <w:tc>
          <w:tcPr>
            <w:tcW w:type="dxa" w:w="2376"/>
            <w:vAlign w:val="center"/>
          </w:tcPr>
          <w:p>
            <w:pPr>
              <w:jc w:val="center"/>
            </w:pPr>
            <w:r/>
            <w:r>
              <w:rPr>
                <w:rFonts w:ascii="Aptos" w:hAnsi="Aptos"/>
                <w:b w:val="0"/>
                <w:sz w:val="17"/>
              </w:rPr>
              <w:t>Tex-Mex</w:t>
            </w:r>
          </w:p>
        </w:tc>
        <w:tc>
          <w:tcPr>
            <w:tcW w:type="dxa" w:w="1008"/>
            <w:vAlign w:val="center"/>
          </w:tcPr>
          <w:p>
            <w:pPr>
              <w:jc w:val="center"/>
            </w:pPr>
            <w:r/>
            <w:r>
              <w:rPr>
                <w:rFonts w:ascii="Aptos" w:hAnsi="Aptos"/>
                <w:b w:val="0"/>
                <w:sz w:val="17"/>
              </w:rPr>
              <w:t>3</w:t>
            </w:r>
          </w:p>
        </w:tc>
        <w:tc>
          <w:tcPr>
            <w:tcW w:type="dxa" w:w="1656"/>
            <w:vAlign w:val="center"/>
          </w:tcPr>
          <w:p>
            <w:pPr>
              <w:jc w:val="center"/>
            </w:pPr>
            <w:r/>
            <w:r>
              <w:rPr>
                <w:rFonts w:ascii="Aptos" w:hAnsi="Aptos"/>
                <w:b w:val="0"/>
                <w:sz w:val="17"/>
              </w:rPr>
              <w:t>4.65</w:t>
            </w:r>
          </w:p>
        </w:tc>
        <w:tc>
          <w:tcPr>
            <w:tcW w:type="dxa" w:w="1944"/>
            <w:vAlign w:val="center"/>
          </w:tcPr>
          <w:p>
            <w:pPr>
              <w:jc w:val="center"/>
            </w:pPr>
            <w:r/>
            <w:r>
              <w:rPr>
                <w:rFonts w:ascii="Aptos" w:hAnsi="Aptos"/>
                <w:b w:val="0"/>
                <w:sz w:val="17"/>
              </w:rPr>
              <w:t>2,242</w:t>
            </w:r>
          </w:p>
        </w:tc>
      </w:tr>
      <w:tr>
        <w:tc>
          <w:tcPr>
            <w:tcW w:type="dxa" w:w="1656"/>
            <w:vAlign w:val="center"/>
          </w:tcPr>
          <w:p>
            <w:pPr>
              <w:jc w:val="center"/>
            </w:pPr>
            <w:r/>
            <w:r>
              <w:rPr>
                <w:rFonts w:ascii="Aptos" w:hAnsi="Aptos"/>
                <w:b w:val="0"/>
                <w:sz w:val="17"/>
              </w:rPr>
              <w:t>Ahmedabad</w:t>
            </w:r>
          </w:p>
        </w:tc>
        <w:tc>
          <w:tcPr>
            <w:tcW w:type="dxa" w:w="2376"/>
            <w:vAlign w:val="center"/>
          </w:tcPr>
          <w:p>
            <w:pPr>
              <w:jc w:val="center"/>
            </w:pPr>
            <w:r/>
            <w:r>
              <w:rPr>
                <w:rFonts w:ascii="Aptos" w:hAnsi="Aptos"/>
                <w:b w:val="0"/>
                <w:sz w:val="17"/>
              </w:rPr>
              <w:t>Mediterranean</w:t>
            </w:r>
          </w:p>
        </w:tc>
        <w:tc>
          <w:tcPr>
            <w:tcW w:type="dxa" w:w="1008"/>
            <w:vAlign w:val="center"/>
          </w:tcPr>
          <w:p>
            <w:pPr>
              <w:jc w:val="center"/>
            </w:pPr>
            <w:r/>
            <w:r>
              <w:rPr>
                <w:rFonts w:ascii="Aptos" w:hAnsi="Aptos"/>
                <w:b w:val="0"/>
                <w:sz w:val="17"/>
              </w:rPr>
              <w:t>3</w:t>
            </w:r>
          </w:p>
        </w:tc>
        <w:tc>
          <w:tcPr>
            <w:tcW w:type="dxa" w:w="1656"/>
            <w:vAlign w:val="center"/>
          </w:tcPr>
          <w:p>
            <w:pPr>
              <w:jc w:val="center"/>
            </w:pPr>
            <w:r/>
            <w:r>
              <w:rPr>
                <w:rFonts w:ascii="Aptos" w:hAnsi="Aptos"/>
                <w:b w:val="0"/>
                <w:sz w:val="17"/>
              </w:rPr>
              <w:t>4.35</w:t>
            </w:r>
          </w:p>
        </w:tc>
        <w:tc>
          <w:tcPr>
            <w:tcW w:type="dxa" w:w="1944"/>
            <w:vAlign w:val="center"/>
          </w:tcPr>
          <w:p>
            <w:pPr>
              <w:jc w:val="center"/>
            </w:pPr>
            <w:r/>
            <w:r>
              <w:rPr>
                <w:rFonts w:ascii="Aptos" w:hAnsi="Aptos"/>
                <w:b w:val="0"/>
                <w:sz w:val="17"/>
              </w:rPr>
              <w:t>1,360</w:t>
            </w:r>
          </w:p>
        </w:tc>
      </w:tr>
      <w:tr>
        <w:tc>
          <w:tcPr>
            <w:tcW w:type="dxa" w:w="1656"/>
            <w:vAlign w:val="center"/>
          </w:tcPr>
          <w:p>
            <w:pPr>
              <w:jc w:val="center"/>
            </w:pPr>
            <w:r/>
            <w:r>
              <w:rPr>
                <w:rFonts w:ascii="Aptos" w:hAnsi="Aptos"/>
                <w:b w:val="0"/>
                <w:sz w:val="17"/>
              </w:rPr>
              <w:t>Chennai</w:t>
            </w:r>
          </w:p>
        </w:tc>
        <w:tc>
          <w:tcPr>
            <w:tcW w:type="dxa" w:w="2376"/>
            <w:vAlign w:val="center"/>
          </w:tcPr>
          <w:p>
            <w:pPr>
              <w:jc w:val="center"/>
            </w:pPr>
            <w:r/>
            <w:r>
              <w:rPr>
                <w:rFonts w:ascii="Aptos" w:hAnsi="Aptos"/>
                <w:b w:val="0"/>
                <w:sz w:val="17"/>
              </w:rPr>
              <w:t>Mediterranean</w:t>
            </w:r>
          </w:p>
        </w:tc>
        <w:tc>
          <w:tcPr>
            <w:tcW w:type="dxa" w:w="1008"/>
            <w:vAlign w:val="center"/>
          </w:tcPr>
          <w:p>
            <w:pPr>
              <w:jc w:val="center"/>
            </w:pPr>
            <w:r/>
            <w:r>
              <w:rPr>
                <w:rFonts w:ascii="Aptos" w:hAnsi="Aptos"/>
                <w:b w:val="0"/>
                <w:sz w:val="17"/>
              </w:rPr>
              <w:t>3</w:t>
            </w:r>
          </w:p>
        </w:tc>
        <w:tc>
          <w:tcPr>
            <w:tcW w:type="dxa" w:w="1656"/>
            <w:vAlign w:val="center"/>
          </w:tcPr>
          <w:p>
            <w:pPr>
              <w:jc w:val="center"/>
            </w:pPr>
            <w:r/>
            <w:r>
              <w:rPr>
                <w:rFonts w:ascii="Aptos" w:hAnsi="Aptos"/>
                <w:b w:val="0"/>
                <w:sz w:val="17"/>
              </w:rPr>
              <w:t>4.67</w:t>
            </w:r>
          </w:p>
        </w:tc>
        <w:tc>
          <w:tcPr>
            <w:tcW w:type="dxa" w:w="1944"/>
            <w:vAlign w:val="center"/>
          </w:tcPr>
          <w:p>
            <w:pPr>
              <w:jc w:val="center"/>
            </w:pPr>
            <w:r/>
            <w:r>
              <w:rPr>
                <w:rFonts w:ascii="Aptos" w:hAnsi="Aptos"/>
                <w:b w:val="0"/>
                <w:sz w:val="17"/>
              </w:rPr>
              <w:t>1,112</w:t>
            </w:r>
          </w:p>
        </w:tc>
      </w:tr>
    </w:tbl>
    <w:p>
      <w:pPr>
        <w:pStyle w:val="Heading2"/>
        <w:keepNext/>
      </w:pPr>
      <w:r>
        <w:t>4.4 Opportunity Assessment</w:t>
      </w:r>
    </w:p>
    <w:p>
      <w:pPr>
        <w:jc w:val="both"/>
      </w:pPr>
      <w:r>
        <w:t>Mediterranean cuisine in Price Range 3 emerges as the strongest cross-city opportunity within the dataset. Hyderabad + Tex-Mex + Price Range 3 represents a secondary opportunity based on the combination of rating and engagement.</w:t>
      </w:r>
    </w:p>
    <w:p>
      <w:pPr>
        <w:pStyle w:val="Heading2"/>
        <w:keepNext/>
      </w:pPr>
      <w:r>
        <w:t>4.5 High-Rated, Low-Engagement Restaurants</w:t>
      </w:r>
    </w:p>
    <w:p>
      <w:pPr>
        <w:jc w:val="both"/>
      </w:pPr>
      <w:r>
        <w:t>Restaurants with ratings of 3.5 or above but below-median customer votes were identified as high-rated, low-engagement restaurants. These businesses may have strong customer satisfaction but limited visibility or digital engagement.</w:t>
      </w:r>
    </w:p>
    <w:p>
      <w:pPr>
        <w:pStyle w:val="ListBullet"/>
        <w:spacing w:after="40"/>
        <w:ind w:left="259"/>
      </w:pPr>
      <w:r>
        <w:t>Improve restaurant visibility and discoverability.</w:t>
      </w:r>
    </w:p>
    <w:p>
      <w:pPr>
        <w:pStyle w:val="ListBullet"/>
        <w:spacing w:after="40"/>
        <w:ind w:left="259"/>
      </w:pPr>
      <w:r>
        <w:t>Increase adoption of online delivery and/or table booking.</w:t>
      </w:r>
    </w:p>
    <w:p>
      <w:pPr>
        <w:pStyle w:val="ListBullet"/>
        <w:spacing w:after="40"/>
        <w:ind w:left="259"/>
      </w:pPr>
      <w:r>
        <w:t>Use targeted, controlled promotional experiments.</w:t>
      </w:r>
    </w:p>
    <w:p>
      <w:pPr>
        <w:pStyle w:val="ListBullet"/>
        <w:spacing w:after="40"/>
        <w:ind w:left="259"/>
      </w:pPr>
      <w:r>
        <w:t>Monitor engagement before and after interventions.</w:t>
      </w:r>
    </w:p>
    <w:p>
      <w:r>
        <w:br w:type="page"/>
      </w:r>
    </w:p>
    <w:p>
      <w:pPr>
        <w:pStyle w:val="Heading1"/>
        <w:keepNext/>
      </w:pPr>
      <w:r>
        <w:t>5. Power BI Dashboard, Results &amp; Recommendations</w:t>
      </w:r>
    </w:p>
    <w:p>
      <w:pPr>
        <w:pStyle w:val="Heading2"/>
        <w:keepNext/>
      </w:pPr>
      <w:r>
        <w:t>5.1 Power BI Dashboard</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F4E78"/>
          </w:tcPr>
          <w:p>
            <w:pPr>
              <w:jc w:val="center"/>
            </w:pPr>
            <w:r/>
            <w:r>
              <w:rPr>
                <w:rFonts w:ascii="Aptos" w:hAnsi="Aptos"/>
                <w:b/>
                <w:color w:val="FFFFFF"/>
                <w:sz w:val="17"/>
              </w:rPr>
              <w:t>Dashboard Page</w:t>
            </w:r>
          </w:p>
        </w:tc>
        <w:tc>
          <w:tcPr>
            <w:tcW w:type="dxa" w:w="3024"/>
            <w:vAlign w:val="center"/>
            <w:shd w:fill="1F4E78"/>
          </w:tcPr>
          <w:p>
            <w:pPr>
              <w:jc w:val="center"/>
            </w:pPr>
            <w:r/>
            <w:r>
              <w:rPr>
                <w:rFonts w:ascii="Aptos" w:hAnsi="Aptos"/>
                <w:b/>
                <w:color w:val="FFFFFF"/>
                <w:sz w:val="17"/>
              </w:rPr>
              <w:t>Purpose</w:t>
            </w:r>
          </w:p>
        </w:tc>
        <w:tc>
          <w:tcPr>
            <w:tcW w:type="dxa" w:w="4248"/>
            <w:vAlign w:val="center"/>
            <w:shd w:fill="1F4E78"/>
          </w:tcPr>
          <w:p>
            <w:pPr>
              <w:jc w:val="center"/>
            </w:pPr>
            <w:r/>
            <w:r>
              <w:rPr>
                <w:rFonts w:ascii="Aptos" w:hAnsi="Aptos"/>
                <w:b/>
                <w:color w:val="FFFFFF"/>
                <w:sz w:val="17"/>
              </w:rPr>
              <w:t>Key Visuals / Analysis</w:t>
            </w:r>
          </w:p>
        </w:tc>
      </w:tr>
      <w:tr>
        <w:tc>
          <w:tcPr>
            <w:tcW w:type="dxa" w:w="2376"/>
            <w:vAlign w:val="center"/>
          </w:tcPr>
          <w:p>
            <w:pPr>
              <w:jc w:val="center"/>
            </w:pPr>
            <w:r/>
            <w:r>
              <w:rPr>
                <w:rFonts w:ascii="Aptos" w:hAnsi="Aptos"/>
                <w:b w:val="0"/>
                <w:sz w:val="17"/>
              </w:rPr>
              <w:t>Market Overview</w:t>
            </w:r>
          </w:p>
        </w:tc>
        <w:tc>
          <w:tcPr>
            <w:tcW w:type="dxa" w:w="3024"/>
            <w:vAlign w:val="center"/>
          </w:tcPr>
          <w:p>
            <w:pPr>
              <w:jc w:val="center"/>
            </w:pPr>
            <w:r/>
            <w:r>
              <w:rPr>
                <w:rFonts w:ascii="Aptos" w:hAnsi="Aptos"/>
                <w:b w:val="0"/>
                <w:sz w:val="17"/>
              </w:rPr>
              <w:t>Overall marketplace performance</w:t>
            </w:r>
          </w:p>
        </w:tc>
        <w:tc>
          <w:tcPr>
            <w:tcW w:type="dxa" w:w="4248"/>
            <w:vAlign w:val="center"/>
          </w:tcPr>
          <w:p>
            <w:pPr>
              <w:jc w:val="center"/>
            </w:pPr>
            <w:r/>
            <w:r>
              <w:rPr>
                <w:rFonts w:ascii="Aptos" w:hAnsi="Aptos"/>
                <w:b w:val="0"/>
                <w:sz w:val="17"/>
              </w:rPr>
              <w:t>KPIs, price distribution, rating distribution, price comparison, top cities, slicers</w:t>
            </w:r>
          </w:p>
        </w:tc>
      </w:tr>
      <w:tr>
        <w:tc>
          <w:tcPr>
            <w:tcW w:type="dxa" w:w="2376"/>
            <w:vAlign w:val="center"/>
          </w:tcPr>
          <w:p>
            <w:pPr>
              <w:jc w:val="center"/>
            </w:pPr>
            <w:r/>
            <w:r>
              <w:rPr>
                <w:rFonts w:ascii="Aptos" w:hAnsi="Aptos"/>
                <w:b w:val="0"/>
                <w:sz w:val="17"/>
              </w:rPr>
              <w:t>Customer &amp; Service Analysis</w:t>
            </w:r>
          </w:p>
        </w:tc>
        <w:tc>
          <w:tcPr>
            <w:tcW w:type="dxa" w:w="3024"/>
            <w:vAlign w:val="center"/>
          </w:tcPr>
          <w:p>
            <w:pPr>
              <w:jc w:val="center"/>
            </w:pPr>
            <w:r/>
            <w:r>
              <w:rPr>
                <w:rFonts w:ascii="Aptos" w:hAnsi="Aptos"/>
                <w:b w:val="0"/>
                <w:sz w:val="17"/>
              </w:rPr>
              <w:t>Customer engagement and service performance</w:t>
            </w:r>
          </w:p>
        </w:tc>
        <w:tc>
          <w:tcPr>
            <w:tcW w:type="dxa" w:w="4248"/>
            <w:vAlign w:val="center"/>
          </w:tcPr>
          <w:p>
            <w:pPr>
              <w:jc w:val="center"/>
            </w:pPr>
            <w:r/>
            <w:r>
              <w:rPr>
                <w:rFonts w:ascii="Aptos" w:hAnsi="Aptos"/>
                <w:b w:val="0"/>
                <w:sz w:val="17"/>
              </w:rPr>
              <w:t>Service segments, online delivery, rating vs. engagement, KPIs, slicers</w:t>
            </w:r>
          </w:p>
        </w:tc>
      </w:tr>
      <w:tr>
        <w:tc>
          <w:tcPr>
            <w:tcW w:type="dxa" w:w="2376"/>
            <w:vAlign w:val="center"/>
          </w:tcPr>
          <w:p>
            <w:pPr>
              <w:jc w:val="center"/>
            </w:pPr>
            <w:r/>
            <w:r>
              <w:rPr>
                <w:rFonts w:ascii="Aptos" w:hAnsi="Aptos"/>
                <w:b w:val="0"/>
                <w:sz w:val="17"/>
              </w:rPr>
              <w:t>Cuisine &amp; Expansion Opportunities</w:t>
            </w:r>
          </w:p>
        </w:tc>
        <w:tc>
          <w:tcPr>
            <w:tcW w:type="dxa" w:w="3024"/>
            <w:vAlign w:val="center"/>
          </w:tcPr>
          <w:p>
            <w:pPr>
              <w:jc w:val="center"/>
            </w:pPr>
            <w:r/>
            <w:r>
              <w:rPr>
                <w:rFonts w:ascii="Aptos" w:hAnsi="Aptos"/>
                <w:b w:val="0"/>
                <w:sz w:val="17"/>
              </w:rPr>
              <w:t>Cuisine performance and expansion analysis</w:t>
            </w:r>
          </w:p>
        </w:tc>
        <w:tc>
          <w:tcPr>
            <w:tcW w:type="dxa" w:w="4248"/>
            <w:vAlign w:val="center"/>
          </w:tcPr>
          <w:p>
            <w:pPr>
              <w:jc w:val="center"/>
            </w:pPr>
            <w:r/>
            <w:r>
              <w:rPr>
                <w:rFonts w:ascii="Aptos" w:hAnsi="Aptos"/>
                <w:b w:val="0"/>
                <w:sz w:val="17"/>
              </w:rPr>
              <w:t>Cuisine engagement, ratings, competition, opportunity table, slicers</w:t>
            </w:r>
          </w:p>
        </w:tc>
      </w:tr>
      <w:tr>
        <w:tc>
          <w:tcPr>
            <w:tcW w:type="dxa" w:w="2376"/>
            <w:vAlign w:val="center"/>
          </w:tcPr>
          <w:p>
            <w:pPr>
              <w:jc w:val="center"/>
            </w:pPr>
            <w:r/>
            <w:r>
              <w:rPr>
                <w:rFonts w:ascii="Aptos" w:hAnsi="Aptos"/>
                <w:b w:val="0"/>
                <w:sz w:val="17"/>
              </w:rPr>
              <w:t>Business Insights &amp; Recommendations</w:t>
            </w:r>
          </w:p>
        </w:tc>
        <w:tc>
          <w:tcPr>
            <w:tcW w:type="dxa" w:w="3024"/>
            <w:vAlign w:val="center"/>
          </w:tcPr>
          <w:p>
            <w:pPr>
              <w:jc w:val="center"/>
            </w:pPr>
            <w:r/>
            <w:r>
              <w:rPr>
                <w:rFonts w:ascii="Aptos" w:hAnsi="Aptos"/>
                <w:b w:val="0"/>
                <w:sz w:val="17"/>
              </w:rPr>
              <w:t>Executive summary and actionable recommendations</w:t>
            </w:r>
          </w:p>
        </w:tc>
        <w:tc>
          <w:tcPr>
            <w:tcW w:type="dxa" w:w="4248"/>
            <w:vAlign w:val="center"/>
          </w:tcPr>
          <w:p>
            <w:pPr>
              <w:jc w:val="center"/>
            </w:pPr>
            <w:r/>
            <w:r>
              <w:rPr>
                <w:rFonts w:ascii="Aptos" w:hAnsi="Aptos"/>
                <w:b w:val="0"/>
                <w:sz w:val="17"/>
              </w:rPr>
              <w:t>Expansion opportunities, high-rated low-engagement restaurants, KPIs, insights</w:t>
            </w:r>
          </w:p>
        </w:tc>
      </w:tr>
    </w:tbl>
    <w:p>
      <w:pPr>
        <w:pStyle w:val="Heading2"/>
        <w:keepNext/>
      </w:pPr>
      <w:r>
        <w:t>5.2 Dashboard Summary</w:t>
      </w:r>
    </w:p>
    <w:tbl>
      <w:tblPr>
        <w:tblStyle w:val="TableGrid"/>
        <w:tblW w:type="auto" w:w="0"/>
        <w:jc w:val="center"/>
        <w:tblLook w:firstColumn="1" w:firstRow="1" w:lastColumn="0" w:lastRow="0" w:noHBand="0" w:noVBand="1" w:val="04A0"/>
      </w:tblPr>
      <w:tblGrid>
        <w:gridCol w:w="5112"/>
        <w:gridCol w:w="5112"/>
      </w:tblGrid>
      <w:tr>
        <w:tc>
          <w:tcPr>
            <w:tcW w:type="dxa" w:w="1800"/>
            <w:vAlign w:val="center"/>
            <w:shd w:fill="1F4E78"/>
          </w:tcPr>
          <w:p>
            <w:pPr>
              <w:jc w:val="center"/>
            </w:pPr>
            <w:r/>
            <w:r>
              <w:rPr>
                <w:rFonts w:ascii="Aptos" w:hAnsi="Aptos"/>
                <w:b/>
                <w:color w:val="FFFFFF"/>
                <w:sz w:val="17"/>
              </w:rPr>
              <w:t>Area</w:t>
            </w:r>
          </w:p>
        </w:tc>
        <w:tc>
          <w:tcPr>
            <w:tcW w:type="dxa" w:w="7848"/>
            <w:vAlign w:val="center"/>
            <w:shd w:fill="1F4E78"/>
          </w:tcPr>
          <w:p>
            <w:pPr>
              <w:jc w:val="center"/>
            </w:pPr>
            <w:r/>
            <w:r>
              <w:rPr>
                <w:rFonts w:ascii="Aptos" w:hAnsi="Aptos"/>
                <w:b/>
                <w:color w:val="FFFFFF"/>
                <w:sz w:val="17"/>
              </w:rPr>
              <w:t>Key Insight</w:t>
            </w:r>
          </w:p>
        </w:tc>
      </w:tr>
      <w:tr>
        <w:tc>
          <w:tcPr>
            <w:tcW w:type="dxa" w:w="1800"/>
            <w:vAlign w:val="center"/>
          </w:tcPr>
          <w:p>
            <w:pPr>
              <w:jc w:val="center"/>
            </w:pPr>
            <w:r/>
            <w:r>
              <w:rPr>
                <w:rFonts w:ascii="Aptos" w:hAnsi="Aptos"/>
                <w:b w:val="0"/>
                <w:sz w:val="17"/>
              </w:rPr>
              <w:t>Price</w:t>
            </w:r>
          </w:p>
        </w:tc>
        <w:tc>
          <w:tcPr>
            <w:tcW w:type="dxa" w:w="7848"/>
            <w:vAlign w:val="center"/>
          </w:tcPr>
          <w:p>
            <w:pPr>
              <w:jc w:val="center"/>
            </w:pPr>
            <w:r/>
            <w:r>
              <w:rPr>
                <w:rFonts w:ascii="Aptos" w:hAnsi="Aptos"/>
                <w:b w:val="0"/>
                <w:sz w:val="17"/>
              </w:rPr>
              <w:t>Price Range 3 has the highest average engagement.</w:t>
            </w:r>
          </w:p>
        </w:tc>
      </w:tr>
      <w:tr>
        <w:tc>
          <w:tcPr>
            <w:tcW w:type="dxa" w:w="1800"/>
            <w:vAlign w:val="center"/>
          </w:tcPr>
          <w:p>
            <w:pPr>
              <w:jc w:val="center"/>
            </w:pPr>
            <w:r/>
            <w:r>
              <w:rPr>
                <w:rFonts w:ascii="Aptos" w:hAnsi="Aptos"/>
                <w:b w:val="0"/>
                <w:sz w:val="17"/>
              </w:rPr>
              <w:t>Services</w:t>
            </w:r>
          </w:p>
        </w:tc>
        <w:tc>
          <w:tcPr>
            <w:tcW w:type="dxa" w:w="7848"/>
            <w:vAlign w:val="center"/>
          </w:tcPr>
          <w:p>
            <w:pPr>
              <w:jc w:val="center"/>
            </w:pPr>
            <w:r/>
            <w:r>
              <w:rPr>
                <w:rFonts w:ascii="Aptos" w:hAnsi="Aptos"/>
                <w:b w:val="0"/>
                <w:sz w:val="17"/>
              </w:rPr>
              <w:t>Both online delivery and table booking show the strongest engagement signals.</w:t>
            </w:r>
          </w:p>
        </w:tc>
      </w:tr>
      <w:tr>
        <w:tc>
          <w:tcPr>
            <w:tcW w:type="dxa" w:w="1800"/>
            <w:vAlign w:val="center"/>
          </w:tcPr>
          <w:p>
            <w:pPr>
              <w:jc w:val="center"/>
            </w:pPr>
            <w:r/>
            <w:r>
              <w:rPr>
                <w:rFonts w:ascii="Aptos" w:hAnsi="Aptos"/>
                <w:b w:val="0"/>
                <w:sz w:val="17"/>
              </w:rPr>
              <w:t>Cuisine</w:t>
            </w:r>
          </w:p>
        </w:tc>
        <w:tc>
          <w:tcPr>
            <w:tcW w:type="dxa" w:w="7848"/>
            <w:vAlign w:val="center"/>
          </w:tcPr>
          <w:p>
            <w:pPr>
              <w:jc w:val="center"/>
            </w:pPr>
            <w:r/>
            <w:r>
              <w:rPr>
                <w:rFonts w:ascii="Aptos" w:hAnsi="Aptos"/>
                <w:b w:val="0"/>
                <w:sz w:val="17"/>
              </w:rPr>
              <w:t>Mediterranean shows strong cross-city performance.</w:t>
            </w:r>
          </w:p>
        </w:tc>
      </w:tr>
      <w:tr>
        <w:tc>
          <w:tcPr>
            <w:tcW w:type="dxa" w:w="1800"/>
            <w:vAlign w:val="center"/>
          </w:tcPr>
          <w:p>
            <w:pPr>
              <w:jc w:val="center"/>
            </w:pPr>
            <w:r/>
            <w:r>
              <w:rPr>
                <w:rFonts w:ascii="Aptos" w:hAnsi="Aptos"/>
                <w:b w:val="0"/>
                <w:sz w:val="17"/>
              </w:rPr>
              <w:t>Expansion</w:t>
            </w:r>
          </w:p>
        </w:tc>
        <w:tc>
          <w:tcPr>
            <w:tcW w:type="dxa" w:w="7848"/>
            <w:vAlign w:val="center"/>
          </w:tcPr>
          <w:p>
            <w:pPr>
              <w:jc w:val="center"/>
            </w:pPr>
            <w:r/>
            <w:r>
              <w:rPr>
                <w:rFonts w:ascii="Aptos" w:hAnsi="Aptos"/>
                <w:b w:val="0"/>
                <w:sz w:val="17"/>
              </w:rPr>
              <w:t>Bangalore and Hyderabad show strong market signals.</w:t>
            </w:r>
          </w:p>
        </w:tc>
      </w:tr>
      <w:tr>
        <w:tc>
          <w:tcPr>
            <w:tcW w:type="dxa" w:w="1800"/>
            <w:vAlign w:val="center"/>
          </w:tcPr>
          <w:p>
            <w:pPr>
              <w:jc w:val="center"/>
            </w:pPr>
            <w:r/>
            <w:r>
              <w:rPr>
                <w:rFonts w:ascii="Aptos" w:hAnsi="Aptos"/>
                <w:b w:val="0"/>
                <w:sz w:val="17"/>
              </w:rPr>
              <w:t>Premium</w:t>
            </w:r>
          </w:p>
        </w:tc>
        <w:tc>
          <w:tcPr>
            <w:tcW w:type="dxa" w:w="7848"/>
            <w:vAlign w:val="center"/>
          </w:tcPr>
          <w:p>
            <w:pPr>
              <w:jc w:val="center"/>
            </w:pPr>
            <w:r/>
            <w:r>
              <w:rPr>
                <w:rFonts w:ascii="Aptos" w:hAnsi="Aptos"/>
                <w:b w:val="0"/>
                <w:sz w:val="17"/>
              </w:rPr>
              <w:t>Modern Indian at Price Range 4 shows strong rating and engagement.</w:t>
            </w:r>
          </w:p>
        </w:tc>
      </w:tr>
      <w:tr>
        <w:tc>
          <w:tcPr>
            <w:tcW w:type="dxa" w:w="1800"/>
            <w:vAlign w:val="center"/>
          </w:tcPr>
          <w:p>
            <w:pPr>
              <w:jc w:val="center"/>
            </w:pPr>
            <w:r/>
            <w:r>
              <w:rPr>
                <w:rFonts w:ascii="Aptos" w:hAnsi="Aptos"/>
                <w:b w:val="0"/>
                <w:sz w:val="17"/>
              </w:rPr>
              <w:t>A/B Testing</w:t>
            </w:r>
          </w:p>
        </w:tc>
        <w:tc>
          <w:tcPr>
            <w:tcW w:type="dxa" w:w="7848"/>
            <w:vAlign w:val="center"/>
          </w:tcPr>
          <w:p>
            <w:pPr>
              <w:jc w:val="center"/>
            </w:pPr>
            <w:r/>
            <w:r>
              <w:rPr>
                <w:rFonts w:ascii="Aptos" w:hAnsi="Aptos"/>
                <w:b w:val="0"/>
                <w:sz w:val="17"/>
              </w:rPr>
              <w:t>Promotion showed a 6.86% observed lift, but it was not statistically significant.</w:t>
            </w:r>
          </w:p>
        </w:tc>
      </w:tr>
      <w:tr>
        <w:tc>
          <w:tcPr>
            <w:tcW w:type="dxa" w:w="1800"/>
            <w:vAlign w:val="center"/>
          </w:tcPr>
          <w:p>
            <w:pPr>
              <w:jc w:val="center"/>
            </w:pPr>
            <w:r/>
            <w:r>
              <w:rPr>
                <w:rFonts w:ascii="Aptos" w:hAnsi="Aptos"/>
                <w:b w:val="0"/>
                <w:sz w:val="17"/>
              </w:rPr>
              <w:t>Partners</w:t>
            </w:r>
          </w:p>
        </w:tc>
        <w:tc>
          <w:tcPr>
            <w:tcW w:type="dxa" w:w="7848"/>
            <w:vAlign w:val="center"/>
          </w:tcPr>
          <w:p>
            <w:pPr>
              <w:jc w:val="center"/>
            </w:pPr>
            <w:r/>
            <w:r>
              <w:rPr>
                <w:rFonts w:ascii="Aptos" w:hAnsi="Aptos"/>
                <w:b w:val="0"/>
                <w:sz w:val="17"/>
              </w:rPr>
              <w:t>High-rated, low-engagement restaurants may benefit from improved visibility.</w:t>
            </w:r>
          </w:p>
        </w:tc>
      </w:tr>
    </w:tbl>
    <w:p>
      <w:pPr>
        <w:pStyle w:val="Heading2"/>
        <w:keepNext/>
      </w:pPr>
      <w:r>
        <w:t>5.3 Results &amp; Conclusion</w:t>
      </w:r>
    </w:p>
    <w:p>
      <w:pPr>
        <w:jc w:val="both"/>
      </w:pPr>
      <w:r>
        <w:t>The analysis successfully transformed 9,551 restaurant records into actionable marketplace insights using Python, SQL, A/B testing, market analysis, and Power BI. The results identify Price Range 3 as the highest-engagement segment and Mediterranean cuisine in Price Range 3 as the strongest cross-city opportunity within the dataset.</w:t>
      </w:r>
    </w:p>
    <w:p>
      <w:pPr>
        <w:jc w:val="both"/>
      </w:pPr>
      <w:r>
        <w:t>Bangalore, Hyderabad, Chennai, and Ahmedabad show particularly strong signals, while Modern Indian at Price Range 4 represents a promising premium opportunity. The promotion A/B test showed a 6.86% observed lift, but the result was not statistically significant (p = 0.2375); therefore, promotion effectiveness cannot be considered proven from this experiment alone.</w:t>
      </w:r>
    </w:p>
    <w:p>
      <w:pPr>
        <w:pStyle w:val="Heading2"/>
        <w:keepNext/>
      </w:pPr>
      <w:r>
        <w:t>5.4 Recommendations</w:t>
      </w:r>
    </w:p>
    <w:p>
      <w:pPr>
        <w:pStyle w:val="ListBullet"/>
        <w:spacing w:after="40"/>
        <w:ind w:left="259"/>
      </w:pPr>
      <w:r>
        <w:t>Prioritize Price Range 3 when evaluating new restaurant acquisition and expansion opportunities.</w:t>
      </w:r>
    </w:p>
    <w:p>
      <w:pPr>
        <w:pStyle w:val="ListBullet"/>
        <w:spacing w:after="40"/>
        <w:ind w:left="259"/>
      </w:pPr>
      <w:r>
        <w:t>Explore Mediterranean concepts in high-signal cities, especially Bangalore and Hyderabad.</w:t>
      </w:r>
    </w:p>
    <w:p>
      <w:pPr>
        <w:pStyle w:val="ListBullet"/>
        <w:spacing w:after="40"/>
        <w:ind w:left="259"/>
      </w:pPr>
      <w:r>
        <w:t>Evaluate Hyderabad Tex-Mex opportunities as a secondary growth hypothesis.</w:t>
      </w:r>
    </w:p>
    <w:p>
      <w:pPr>
        <w:pStyle w:val="ListBullet"/>
        <w:spacing w:after="40"/>
        <w:ind w:left="259"/>
      </w:pPr>
      <w:r>
        <w:t>Support high-rated, low-engagement restaurants with visibility and digital-service initiatives.</w:t>
      </w:r>
    </w:p>
    <w:p>
      <w:pPr>
        <w:pStyle w:val="ListBullet"/>
        <w:spacing w:after="40"/>
        <w:ind w:left="259"/>
      </w:pPr>
      <w:r>
        <w:t>Run larger, controlled promotion experiments before scaling promotional investment.</w:t>
      </w:r>
    </w:p>
    <w:p>
      <w:pPr>
        <w:jc w:val="center"/>
      </w:pPr>
      <w:r>
        <w:rPr>
          <w:b/>
          <w:color w:val="666666"/>
          <w:sz w:val="18"/>
        </w:rPr>
        <w:t>— End of Report —</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Zomato Restaurant Market Analysis  |  Page 1 of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