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9349F" w14:textId="77777777" w:rsidR="00BB4D84" w:rsidRDefault="00000000">
      <w:pPr>
        <w:pStyle w:val="Heading1"/>
      </w:pPr>
      <w:bookmarkStart w:id="0" w:name="Xc82699a9e20bf00423a3790637b0b42536b025b"/>
      <w:r>
        <w:t>Research Findings Reference — Paper Writing Guide</w:t>
      </w:r>
    </w:p>
    <w:p w14:paraId="787486CF" w14:textId="77777777" w:rsidR="00BB4D84" w:rsidRDefault="00000000">
      <w:pPr>
        <w:pStyle w:val="BlockText"/>
      </w:pPr>
      <w:r>
        <w:rPr>
          <w:b/>
          <w:bCs/>
        </w:rPr>
        <w:t>Title:</w:t>
      </w:r>
      <w:r>
        <w:t xml:space="preserve"> Digital Inclusion as a Driver of Circular Economy Behavior in India: A Cross-Sectional Analysis Using the Digital Circularity Index</w:t>
      </w:r>
    </w:p>
    <w:p w14:paraId="2964A53E" w14:textId="77777777" w:rsidR="00BB4D84" w:rsidRDefault="00000000">
      <w:pPr>
        <w:pStyle w:val="BlockText"/>
      </w:pPr>
      <w:r>
        <w:rPr>
          <w:b/>
          <w:bCs/>
        </w:rPr>
        <w:t>Author:</w:t>
      </w:r>
      <w:r>
        <w:t xml:space="preserve"> Yash Chauhan</w:t>
      </w:r>
    </w:p>
    <w:p w14:paraId="15240089" w14:textId="77777777" w:rsidR="00BB4D84" w:rsidRDefault="00000000">
      <w:pPr>
        <w:pStyle w:val="BlockText"/>
      </w:pPr>
      <w:r>
        <w:rPr>
          <w:b/>
          <w:bCs/>
        </w:rPr>
        <w:t>Date:</w:t>
      </w:r>
      <w:r>
        <w:t xml:space="preserve"> February 2026</w:t>
      </w:r>
    </w:p>
    <w:p w14:paraId="21354669" w14:textId="77777777" w:rsidR="00BB4D84" w:rsidRDefault="00000000">
      <w:pPr>
        <w:pStyle w:val="BlockText"/>
      </w:pPr>
      <w:r>
        <w:rPr>
          <w:b/>
          <w:bCs/>
        </w:rPr>
        <w:t>This document is a complete reference of everything we found, what it means, and how to write about it in a conference paper.</w:t>
      </w:r>
    </w:p>
    <w:p w14:paraId="13DAFE4B" w14:textId="77777777" w:rsidR="00BB4D84" w:rsidRDefault="00C359AD">
      <w:r>
        <w:rPr>
          <w:noProof/>
        </w:rPr>
        <w:pict w14:anchorId="0D08C612">
          <v:rect id="_x0000_i1041" alt="" style="width:451.3pt;height:.05pt;mso-width-percent:0;mso-height-percent:0;mso-width-percent:0;mso-height-percent:0" o:hralign="center" o:hrstd="t" o:hr="t"/>
        </w:pict>
      </w:r>
    </w:p>
    <w:p w14:paraId="535A360C" w14:textId="77777777" w:rsidR="00BB4D84" w:rsidRDefault="00000000">
      <w:pPr>
        <w:pStyle w:val="Heading2"/>
      </w:pPr>
      <w:bookmarkStart w:id="1" w:name="table-of-contents"/>
      <w:r>
        <w:t>Table of Contents</w:t>
      </w:r>
    </w:p>
    <w:p w14:paraId="46D84A0B" w14:textId="77777777" w:rsidR="00BB4D84" w:rsidRDefault="00000000">
      <w:pPr>
        <w:pStyle w:val="Compact"/>
        <w:numPr>
          <w:ilvl w:val="0"/>
          <w:numId w:val="2"/>
        </w:numPr>
      </w:pPr>
      <w:hyperlink w:anchor="X89bb97498974b1b0e23e8b380a51b3e08a6f104">
        <w:r>
          <w:rPr>
            <w:rStyle w:val="Hyperlink"/>
          </w:rPr>
          <w:t>Why We Did This Research</w:t>
        </w:r>
      </w:hyperlink>
    </w:p>
    <w:p w14:paraId="729D601C" w14:textId="77777777" w:rsidR="00BB4D84" w:rsidRDefault="00000000">
      <w:pPr>
        <w:pStyle w:val="Compact"/>
        <w:numPr>
          <w:ilvl w:val="0"/>
          <w:numId w:val="2"/>
        </w:numPr>
      </w:pPr>
      <w:hyperlink w:anchor="X8168cd7828a183b00efbd4a7f15656e31757fb6">
        <w:r>
          <w:rPr>
            <w:rStyle w:val="Hyperlink"/>
          </w:rPr>
          <w:t>Research Gap We Filled</w:t>
        </w:r>
      </w:hyperlink>
    </w:p>
    <w:p w14:paraId="1A7D0364" w14:textId="77777777" w:rsidR="00BB4D84" w:rsidRDefault="00000000">
      <w:pPr>
        <w:pStyle w:val="Compact"/>
        <w:numPr>
          <w:ilvl w:val="0"/>
          <w:numId w:val="2"/>
        </w:numPr>
      </w:pPr>
      <w:hyperlink w:anchor="X60d999a11c3aefc1c28422513d52a9ae19a90f3">
        <w:r>
          <w:rPr>
            <w:rStyle w:val="Hyperlink"/>
          </w:rPr>
          <w:t>Research Questions &amp; Hypotheses</w:t>
        </w:r>
      </w:hyperlink>
    </w:p>
    <w:p w14:paraId="48F7D87D" w14:textId="77777777" w:rsidR="00BB4D84" w:rsidRDefault="00000000">
      <w:pPr>
        <w:pStyle w:val="Compact"/>
        <w:numPr>
          <w:ilvl w:val="0"/>
          <w:numId w:val="2"/>
        </w:numPr>
      </w:pPr>
      <w:hyperlink w:anchor="X7794871f056b67113c569a17072e20832576610">
        <w:r>
          <w:rPr>
            <w:rStyle w:val="Hyperlink"/>
          </w:rPr>
          <w:t>What Data We Used</w:t>
        </w:r>
      </w:hyperlink>
    </w:p>
    <w:p w14:paraId="6738FFFC" w14:textId="77777777" w:rsidR="00BB4D84" w:rsidRDefault="00000000">
      <w:pPr>
        <w:pStyle w:val="Compact"/>
        <w:numPr>
          <w:ilvl w:val="0"/>
          <w:numId w:val="2"/>
        </w:numPr>
      </w:pPr>
      <w:hyperlink w:anchor="X34dbf56ad3b5c48364cff8fba73bf2837539398">
        <w:r>
          <w:rPr>
            <w:rStyle w:val="Hyperlink"/>
          </w:rPr>
          <w:t>What We Built (Novel Contributions)</w:t>
        </w:r>
      </w:hyperlink>
    </w:p>
    <w:p w14:paraId="10C158D1" w14:textId="77777777" w:rsidR="00BB4D84" w:rsidRDefault="00000000">
      <w:pPr>
        <w:pStyle w:val="Compact"/>
        <w:numPr>
          <w:ilvl w:val="0"/>
          <w:numId w:val="2"/>
        </w:numPr>
      </w:pPr>
      <w:hyperlink w:anchor="Xea85362a940ba79d6b4e8e0885758d7a4ba594f">
        <w:r>
          <w:rPr>
            <w:rStyle w:val="Hyperlink"/>
          </w:rPr>
          <w:t>All Results — Exact Numbers</w:t>
        </w:r>
      </w:hyperlink>
    </w:p>
    <w:p w14:paraId="6478FD79" w14:textId="77777777" w:rsidR="00BB4D84" w:rsidRDefault="00000000">
      <w:pPr>
        <w:pStyle w:val="Compact"/>
        <w:numPr>
          <w:ilvl w:val="0"/>
          <w:numId w:val="2"/>
        </w:numPr>
      </w:pPr>
      <w:hyperlink w:anchor="Xf30b9fd58f09ae51f64b1ca6f82c096380de96e">
        <w:r>
          <w:rPr>
            <w:rStyle w:val="Hyperlink"/>
          </w:rPr>
          <w:t>What Each Result Means in Plain English</w:t>
        </w:r>
      </w:hyperlink>
    </w:p>
    <w:p w14:paraId="10A109F7" w14:textId="77777777" w:rsidR="00BB4D84" w:rsidRDefault="00000000">
      <w:pPr>
        <w:pStyle w:val="Compact"/>
        <w:numPr>
          <w:ilvl w:val="0"/>
          <w:numId w:val="2"/>
        </w:numPr>
      </w:pPr>
      <w:hyperlink w:anchor="X3bf448e33988c0643d58c0f00bef57355d05113">
        <w:r>
          <w:rPr>
            <w:rStyle w:val="Hyperlink"/>
          </w:rPr>
          <w:t>State-Level Highlights</w:t>
        </w:r>
      </w:hyperlink>
    </w:p>
    <w:p w14:paraId="0D07F7A4" w14:textId="77777777" w:rsidR="00BB4D84" w:rsidRDefault="00000000">
      <w:pPr>
        <w:pStyle w:val="Compact"/>
        <w:numPr>
          <w:ilvl w:val="0"/>
          <w:numId w:val="2"/>
        </w:numPr>
      </w:pPr>
      <w:hyperlink w:anchor="X53fbe3ce581bd5740fba8e77dc838ac43b5bcd9">
        <w:r>
          <w:rPr>
            <w:rStyle w:val="Hyperlink"/>
          </w:rPr>
          <w:t>Policy Implications</w:t>
        </w:r>
      </w:hyperlink>
    </w:p>
    <w:p w14:paraId="05B3F6D2" w14:textId="77777777" w:rsidR="00BB4D84" w:rsidRDefault="00000000">
      <w:pPr>
        <w:pStyle w:val="Compact"/>
        <w:numPr>
          <w:ilvl w:val="0"/>
          <w:numId w:val="2"/>
        </w:numPr>
      </w:pPr>
      <w:hyperlink w:anchor="X6819a99afee40112b5d47501cf5b091be6e8f11">
        <w:r>
          <w:rPr>
            <w:rStyle w:val="Hyperlink"/>
          </w:rPr>
          <w:t>Limitations (Be Honest)</w:t>
        </w:r>
      </w:hyperlink>
    </w:p>
    <w:p w14:paraId="64107828" w14:textId="77777777" w:rsidR="00BB4D84" w:rsidRDefault="00000000">
      <w:pPr>
        <w:pStyle w:val="Compact"/>
        <w:numPr>
          <w:ilvl w:val="0"/>
          <w:numId w:val="2"/>
        </w:numPr>
      </w:pPr>
      <w:hyperlink w:anchor="X846e04a5b426e902870d294f2857dc6201d8207">
        <w:r>
          <w:rPr>
            <w:rStyle w:val="Hyperlink"/>
          </w:rPr>
          <w:t>Future Work</w:t>
        </w:r>
      </w:hyperlink>
    </w:p>
    <w:p w14:paraId="66DE7444" w14:textId="77777777" w:rsidR="00BB4D84" w:rsidRDefault="00000000">
      <w:pPr>
        <w:pStyle w:val="Compact"/>
        <w:numPr>
          <w:ilvl w:val="0"/>
          <w:numId w:val="2"/>
        </w:numPr>
      </w:pPr>
      <w:hyperlink w:anchor="X768e25df5c9c4e4a5d3b588f2665f4e2021b25f">
        <w:r>
          <w:rPr>
            <w:rStyle w:val="Hyperlink"/>
          </w:rPr>
          <w:t>Ready-to-Use Sentences for Paper</w:t>
        </w:r>
      </w:hyperlink>
    </w:p>
    <w:p w14:paraId="7F1F3775" w14:textId="77777777" w:rsidR="00BB4D84" w:rsidRDefault="00000000">
      <w:pPr>
        <w:pStyle w:val="Compact"/>
        <w:numPr>
          <w:ilvl w:val="0"/>
          <w:numId w:val="2"/>
        </w:numPr>
      </w:pPr>
      <w:hyperlink w:anchor="Xa8db5f430bf61e1ac117a5d7e49007b255f1c8e">
        <w:r>
          <w:rPr>
            <w:rStyle w:val="Hyperlink"/>
          </w:rPr>
          <w:t>Figures List &amp; What Each Shows</w:t>
        </w:r>
      </w:hyperlink>
    </w:p>
    <w:p w14:paraId="6B9F6CC7" w14:textId="77777777" w:rsidR="00BB4D84" w:rsidRDefault="00000000">
      <w:pPr>
        <w:pStyle w:val="Compact"/>
        <w:numPr>
          <w:ilvl w:val="0"/>
          <w:numId w:val="2"/>
        </w:numPr>
      </w:pPr>
      <w:hyperlink w:anchor="X9d759db6963518cc40d4086375eb2beef04f949">
        <w:r>
          <w:rPr>
            <w:rStyle w:val="Hyperlink"/>
          </w:rPr>
          <w:t>Complete Bibliography</w:t>
        </w:r>
      </w:hyperlink>
    </w:p>
    <w:p w14:paraId="5E1CF013" w14:textId="77777777" w:rsidR="00BB4D84" w:rsidRDefault="00C359AD">
      <w:r>
        <w:rPr>
          <w:noProof/>
        </w:rPr>
        <w:pict w14:anchorId="2B986A82">
          <v:rect id="_x0000_i1040" alt="" style="width:451.3pt;height:.05pt;mso-width-percent:0;mso-height-percent:0;mso-width-percent:0;mso-height-percent:0" o:hralign="center" o:hrstd="t" o:hr="t"/>
        </w:pict>
      </w:r>
    </w:p>
    <w:p w14:paraId="1732E465" w14:textId="77777777" w:rsidR="00BB4D84" w:rsidRDefault="00000000">
      <w:pPr>
        <w:pStyle w:val="Heading2"/>
      </w:pPr>
      <w:bookmarkStart w:id="2" w:name="why-we-did-this-research"/>
      <w:bookmarkEnd w:id="1"/>
      <w:r>
        <w:t>1. Why We Did This Research</w:t>
      </w:r>
    </w:p>
    <w:p w14:paraId="1670A1DA" w14:textId="77777777" w:rsidR="00BB4D84" w:rsidRDefault="00000000">
      <w:pPr>
        <w:pStyle w:val="Heading3"/>
      </w:pPr>
      <w:bookmarkStart w:id="3" w:name="the-problem"/>
      <w:r>
        <w:t>The Problem</w:t>
      </w:r>
    </w:p>
    <w:p w14:paraId="79FDF3A5" w14:textId="77777777" w:rsidR="00BB4D84" w:rsidRDefault="00000000">
      <w:pPr>
        <w:pStyle w:val="FirstParagraph"/>
      </w:pPr>
      <w:r>
        <w:t>India is simultaneously pursuing two major national agendas:</w:t>
      </w:r>
    </w:p>
    <w:p w14:paraId="1E78FDC6" w14:textId="77777777" w:rsidR="00BB4D84" w:rsidRDefault="00000000">
      <w:pPr>
        <w:numPr>
          <w:ilvl w:val="0"/>
          <w:numId w:val="3"/>
        </w:numPr>
      </w:pPr>
      <w:r>
        <w:rPr>
          <w:b/>
          <w:bCs/>
        </w:rPr>
        <w:t>Digital India</w:t>
      </w:r>
      <w:r>
        <w:t xml:space="preserve"> (launched 2015) — Connecting every citizen through broadband, mobile, digital payments (UPI), and e-governance. India now has 1.2 billion+ mobile subscribers and UPI processes 14+ billion transactions/month.</w:t>
      </w:r>
    </w:p>
    <w:p w14:paraId="22AC5FEF" w14:textId="77777777" w:rsidR="00BB4D84" w:rsidRDefault="00000000">
      <w:pPr>
        <w:numPr>
          <w:ilvl w:val="0"/>
          <w:numId w:val="3"/>
        </w:numPr>
      </w:pPr>
      <w:r>
        <w:rPr>
          <w:b/>
          <w:bCs/>
        </w:rPr>
        <w:t>Circular Economy / Sustainability</w:t>
      </w:r>
      <w:r>
        <w:t xml:space="preserve"> — India generates 62 million tonnes of waste annually (CPCB), is the 3rd largest e-waste generator globally, and needs to meet UN Sustainable Development Goals by 2030.</w:t>
      </w:r>
    </w:p>
    <w:p w14:paraId="49E926D8" w14:textId="77777777" w:rsidR="00BB4D84" w:rsidRDefault="00000000">
      <w:pPr>
        <w:pStyle w:val="FirstParagraph"/>
      </w:pPr>
      <w:r>
        <w:rPr>
          <w:b/>
          <w:bCs/>
        </w:rPr>
        <w:lastRenderedPageBreak/>
        <w:t>But nobody had systematically studied whether these two agendas reinforce each other at the state level.</w:t>
      </w:r>
    </w:p>
    <w:p w14:paraId="10841034" w14:textId="77777777" w:rsidR="00BB4D84" w:rsidRDefault="00000000">
      <w:pPr>
        <w:pStyle w:val="Heading3"/>
      </w:pPr>
      <w:bookmarkStart w:id="4" w:name="why-it-matters"/>
      <w:bookmarkEnd w:id="3"/>
      <w:r>
        <w:t>Why It Matters</w:t>
      </w:r>
    </w:p>
    <w:p w14:paraId="356E454D" w14:textId="77777777" w:rsidR="00BB4D84" w:rsidRDefault="00000000">
      <w:pPr>
        <w:pStyle w:val="Compact"/>
        <w:numPr>
          <w:ilvl w:val="0"/>
          <w:numId w:val="4"/>
        </w:numPr>
      </w:pPr>
      <w:r>
        <w:t xml:space="preserve">If digital inclusion </w:t>
      </w:r>
      <w:r>
        <w:rPr>
          <w:i/>
          <w:iCs/>
        </w:rPr>
        <w:t>drives</w:t>
      </w:r>
      <w:r>
        <w:t xml:space="preserve"> circular economy behavior, then policymakers can design integrated programs that address both goals simultaneously — saving money and increasing impact.</w:t>
      </w:r>
    </w:p>
    <w:p w14:paraId="62656D78" w14:textId="77777777" w:rsidR="00BB4D84" w:rsidRDefault="00000000">
      <w:pPr>
        <w:pStyle w:val="Compact"/>
        <w:numPr>
          <w:ilvl w:val="0"/>
          <w:numId w:val="4"/>
        </w:numPr>
      </w:pPr>
      <w:r>
        <w:t>If there’s no connection, then they’re independent problems requiring separate solutions.</w:t>
      </w:r>
    </w:p>
    <w:p w14:paraId="68256DE8" w14:textId="77777777" w:rsidR="00BB4D84" w:rsidRDefault="00000000">
      <w:pPr>
        <w:pStyle w:val="Compact"/>
        <w:numPr>
          <w:ilvl w:val="0"/>
          <w:numId w:val="4"/>
        </w:numPr>
      </w:pPr>
      <w:r>
        <w:t xml:space="preserve">Understanding </w:t>
      </w:r>
      <w:r>
        <w:rPr>
          <w:i/>
          <w:iCs/>
        </w:rPr>
        <w:t>which</w:t>
      </w:r>
      <w:r>
        <w:t xml:space="preserve"> aspects of digital access matter most (connectivity? payments? economic capacity?) helps target interventions.</w:t>
      </w:r>
    </w:p>
    <w:p w14:paraId="7EF64AE6" w14:textId="77777777" w:rsidR="00BB4D84" w:rsidRDefault="00000000">
      <w:pPr>
        <w:pStyle w:val="Heading3"/>
      </w:pPr>
      <w:bookmarkStart w:id="5" w:name="the-gap-in-literature"/>
      <w:bookmarkEnd w:id="4"/>
      <w:r>
        <w:t>The Gap in Literature</w:t>
      </w:r>
    </w:p>
    <w:p w14:paraId="49A44FCB" w14:textId="77777777" w:rsidR="00BB4D84" w:rsidRDefault="00000000">
      <w:pPr>
        <w:pStyle w:val="Compact"/>
        <w:numPr>
          <w:ilvl w:val="0"/>
          <w:numId w:val="5"/>
        </w:numPr>
      </w:pPr>
      <w:r>
        <w:t xml:space="preserve">Existing studies on Digital India focus on </w:t>
      </w:r>
      <w:r>
        <w:rPr>
          <w:b/>
          <w:bCs/>
        </w:rPr>
        <w:t>economic impact</w:t>
      </w:r>
      <w:r>
        <w:t xml:space="preserve"> (GDP, financial inclusion) — not environmental behavior.</w:t>
      </w:r>
    </w:p>
    <w:p w14:paraId="3F95EA59" w14:textId="77777777" w:rsidR="00BB4D84" w:rsidRDefault="00000000">
      <w:pPr>
        <w:pStyle w:val="Compact"/>
        <w:numPr>
          <w:ilvl w:val="0"/>
          <w:numId w:val="5"/>
        </w:numPr>
      </w:pPr>
      <w:r>
        <w:t xml:space="preserve">Existing studies on Circular Economy in India focus on </w:t>
      </w:r>
      <w:r>
        <w:rPr>
          <w:b/>
          <w:bCs/>
        </w:rPr>
        <w:t>technology and policy</w:t>
      </w:r>
      <w:r>
        <w:t xml:space="preserve"> — not the role of digital infrastructure.</w:t>
      </w:r>
    </w:p>
    <w:p w14:paraId="754C3CBC" w14:textId="77777777" w:rsidR="00BB4D84" w:rsidRDefault="00000000">
      <w:pPr>
        <w:pStyle w:val="Compact"/>
        <w:numPr>
          <w:ilvl w:val="0"/>
          <w:numId w:val="5"/>
        </w:numPr>
      </w:pPr>
      <w:r>
        <w:rPr>
          <w:b/>
          <w:bCs/>
        </w:rPr>
        <w:t>No published study</w:t>
      </w:r>
      <w:r>
        <w:t xml:space="preserve"> has created a composite index linking digital inclusion to CE behavior across Indian states.</w:t>
      </w:r>
    </w:p>
    <w:p w14:paraId="08C2E16D" w14:textId="77777777" w:rsidR="00BB4D84" w:rsidRDefault="00C359AD">
      <w:r>
        <w:rPr>
          <w:noProof/>
        </w:rPr>
        <w:pict w14:anchorId="63303F25">
          <v:rect id="_x0000_i1039" alt="" style="width:451.3pt;height:.05pt;mso-width-percent:0;mso-height-percent:0;mso-width-percent:0;mso-height-percent:0" o:hralign="center" o:hrstd="t" o:hr="t"/>
        </w:pict>
      </w:r>
    </w:p>
    <w:p w14:paraId="374EC014" w14:textId="77777777" w:rsidR="00BB4D84" w:rsidRDefault="00000000">
      <w:pPr>
        <w:pStyle w:val="Heading2"/>
      </w:pPr>
      <w:bookmarkStart w:id="6" w:name="research-gap-we-filled"/>
      <w:bookmarkEnd w:id="2"/>
      <w:bookmarkEnd w:id="5"/>
      <w:r>
        <w:t>2. Research Gap We Filled</w:t>
      </w:r>
    </w:p>
    <w:p w14:paraId="632BA2EB" w14:textId="77777777" w:rsidR="00BB4D84" w:rsidRDefault="00000000">
      <w:pPr>
        <w:pStyle w:val="FirstParagraph"/>
      </w:pPr>
      <w:r>
        <w:rPr>
          <w:b/>
          <w:bCs/>
        </w:rPr>
        <w:t>We created the first Digital Circularity Index (DCI) for Indian states</w:t>
      </w:r>
      <w:r>
        <w:t>, combining verified government data from 7 official sources to quantify the relationship between digital access and circular economy behavior.</w:t>
      </w:r>
    </w:p>
    <w:p w14:paraId="1C16018B" w14:textId="77777777" w:rsidR="00BB4D84" w:rsidRDefault="00000000">
      <w:pPr>
        <w:pStyle w:val="BodyText"/>
      </w:pPr>
      <w:r>
        <w:rPr>
          <w:b/>
          <w:bCs/>
        </w:rPr>
        <w:t>What makes this unique:</w:t>
      </w:r>
      <w:r>
        <w:t xml:space="preserve"> - 100% verified government data (no estimation, no synthetic data) - Cross-sectional analysis across 16 Indian states - Novel composite indices (Digital Access Score, CE Behavior Score, DCI) - 11 statistical analyses including robustness checks - Actionable policy recommendations for Indian state and central governments</w:t>
      </w:r>
    </w:p>
    <w:p w14:paraId="1345E1C1" w14:textId="77777777" w:rsidR="00BB4D84" w:rsidRDefault="00C359AD">
      <w:r>
        <w:rPr>
          <w:noProof/>
        </w:rPr>
        <w:pict w14:anchorId="79767479">
          <v:rect id="_x0000_i1038" alt="" style="width:451.3pt;height:.05pt;mso-width-percent:0;mso-height-percent:0;mso-width-percent:0;mso-height-percent:0" o:hralign="center" o:hrstd="t" o:hr="t"/>
        </w:pict>
      </w:r>
    </w:p>
    <w:p w14:paraId="7AF25BB0" w14:textId="77777777" w:rsidR="00BB4D84" w:rsidRDefault="00000000">
      <w:pPr>
        <w:pStyle w:val="Heading2"/>
      </w:pPr>
      <w:bookmarkStart w:id="7" w:name="research-questions-hypotheses"/>
      <w:bookmarkEnd w:id="6"/>
      <w:r>
        <w:t>3. Research Questions &amp; Hypotheses</w:t>
      </w:r>
    </w:p>
    <w:p w14:paraId="3EB46014" w14:textId="77777777" w:rsidR="00BB4D84" w:rsidRDefault="00000000">
      <w:pPr>
        <w:pStyle w:val="Heading3"/>
      </w:pPr>
      <w:bookmarkStart w:id="8" w:name="primary-research-question"/>
      <w:r>
        <w:t>Primary Research Question</w:t>
      </w:r>
    </w:p>
    <w:p w14:paraId="28D6C3BF" w14:textId="77777777" w:rsidR="00BB4D84" w:rsidRDefault="00000000">
      <w:pPr>
        <w:pStyle w:val="BlockText"/>
      </w:pPr>
      <w:r>
        <w:rPr>
          <w:i/>
          <w:iCs/>
        </w:rPr>
        <w:t>Does digital inclusion drive circular economy behavior across Indian states?</w:t>
      </w:r>
    </w:p>
    <w:p w14:paraId="5220401E" w14:textId="77777777" w:rsidR="00BB4D84" w:rsidRDefault="00000000">
      <w:pPr>
        <w:pStyle w:val="Heading3"/>
      </w:pPr>
      <w:bookmarkStart w:id="9" w:name="hypotheses-tested"/>
      <w:bookmarkEnd w:id="8"/>
      <w:r>
        <w:t>Hypotheses Tested</w:t>
      </w:r>
    </w:p>
    <w:tbl>
      <w:tblPr>
        <w:tblStyle w:val="Table"/>
        <w:tblW w:w="5000" w:type="pct"/>
        <w:tblLayout w:type="fixed"/>
        <w:tblLook w:val="0020" w:firstRow="1" w:lastRow="0" w:firstColumn="0" w:lastColumn="0" w:noHBand="0" w:noVBand="0"/>
      </w:tblPr>
      <w:tblGrid>
        <w:gridCol w:w="1665"/>
        <w:gridCol w:w="4580"/>
        <w:gridCol w:w="3331"/>
      </w:tblGrid>
      <w:tr w:rsidR="00BB4D84" w14:paraId="302843B7" w14:textId="77777777" w:rsidTr="00BB4D84">
        <w:trPr>
          <w:cnfStyle w:val="100000000000" w:firstRow="1" w:lastRow="0" w:firstColumn="0" w:lastColumn="0" w:oddVBand="0" w:evenVBand="0" w:oddHBand="0" w:evenHBand="0" w:firstRowFirstColumn="0" w:firstRowLastColumn="0" w:lastRowFirstColumn="0" w:lastRowLastColumn="0"/>
          <w:tblHeader/>
        </w:trPr>
        <w:tc>
          <w:tcPr>
            <w:tcW w:w="1377" w:type="dxa"/>
          </w:tcPr>
          <w:p w14:paraId="3A488E8C" w14:textId="77777777" w:rsidR="00BB4D84" w:rsidRDefault="00000000">
            <w:pPr>
              <w:pStyle w:val="Compact"/>
            </w:pPr>
            <w:r>
              <w:t>ID</w:t>
            </w:r>
          </w:p>
        </w:tc>
        <w:tc>
          <w:tcPr>
            <w:tcW w:w="3787" w:type="dxa"/>
          </w:tcPr>
          <w:p w14:paraId="0C916DEC" w14:textId="77777777" w:rsidR="00BB4D84" w:rsidRDefault="00000000">
            <w:pPr>
              <w:pStyle w:val="Compact"/>
            </w:pPr>
            <w:r>
              <w:t>Hypothesis</w:t>
            </w:r>
          </w:p>
        </w:tc>
        <w:tc>
          <w:tcPr>
            <w:tcW w:w="2754" w:type="dxa"/>
          </w:tcPr>
          <w:p w14:paraId="4232C123" w14:textId="77777777" w:rsidR="00BB4D84" w:rsidRDefault="00000000">
            <w:pPr>
              <w:pStyle w:val="Compact"/>
            </w:pPr>
            <w:r>
              <w:t>Status</w:t>
            </w:r>
          </w:p>
        </w:tc>
      </w:tr>
      <w:tr w:rsidR="00BB4D84" w14:paraId="4C332A71" w14:textId="77777777">
        <w:tc>
          <w:tcPr>
            <w:tcW w:w="1377" w:type="dxa"/>
          </w:tcPr>
          <w:p w14:paraId="13BAA1D1" w14:textId="77777777" w:rsidR="00BB4D84" w:rsidRDefault="00000000">
            <w:pPr>
              <w:pStyle w:val="Compact"/>
            </w:pPr>
            <w:r>
              <w:rPr>
                <w:b/>
                <w:bCs/>
              </w:rPr>
              <w:t>H1</w:t>
            </w:r>
          </w:p>
        </w:tc>
        <w:tc>
          <w:tcPr>
            <w:tcW w:w="3787" w:type="dxa"/>
          </w:tcPr>
          <w:p w14:paraId="79DE9CB3" w14:textId="77777777" w:rsidR="00BB4D84" w:rsidRDefault="00000000">
            <w:pPr>
              <w:pStyle w:val="Compact"/>
            </w:pPr>
            <w:r>
              <w:t>States with higher Digital Access Scores will exhibit higher CE Behavior Scores</w:t>
            </w:r>
          </w:p>
        </w:tc>
        <w:tc>
          <w:tcPr>
            <w:tcW w:w="2754" w:type="dxa"/>
          </w:tcPr>
          <w:p w14:paraId="6C2E6DB2" w14:textId="77777777" w:rsidR="00BB4D84" w:rsidRDefault="00000000">
            <w:pPr>
              <w:pStyle w:val="Compact"/>
            </w:pPr>
            <w:r>
              <w:t xml:space="preserve">✅ </w:t>
            </w:r>
            <w:r>
              <w:rPr>
                <w:b/>
                <w:bCs/>
              </w:rPr>
              <w:t>SUPPORTED</w:t>
            </w:r>
            <w:r>
              <w:t xml:space="preserve"> (r = 0.781, p = 0.0004)</w:t>
            </w:r>
          </w:p>
        </w:tc>
      </w:tr>
      <w:tr w:rsidR="00BB4D84" w14:paraId="7B651216" w14:textId="77777777">
        <w:tc>
          <w:tcPr>
            <w:tcW w:w="1377" w:type="dxa"/>
          </w:tcPr>
          <w:p w14:paraId="61F016BA" w14:textId="77777777" w:rsidR="00BB4D84" w:rsidRDefault="00000000">
            <w:pPr>
              <w:pStyle w:val="Compact"/>
            </w:pPr>
            <w:r>
              <w:rPr>
                <w:b/>
                <w:bCs/>
              </w:rPr>
              <w:lastRenderedPageBreak/>
              <w:t>H2</w:t>
            </w:r>
          </w:p>
        </w:tc>
        <w:tc>
          <w:tcPr>
            <w:tcW w:w="3787" w:type="dxa"/>
          </w:tcPr>
          <w:p w14:paraId="52A4CA11" w14:textId="77777777" w:rsidR="00BB4D84" w:rsidRDefault="00000000">
            <w:pPr>
              <w:pStyle w:val="Compact"/>
            </w:pPr>
            <w:r>
              <w:t>The relationship between digital access and CE behavior is mediated through digital payment adoption (UPI)</w:t>
            </w:r>
          </w:p>
        </w:tc>
        <w:tc>
          <w:tcPr>
            <w:tcW w:w="2754" w:type="dxa"/>
          </w:tcPr>
          <w:p w14:paraId="16E8C89E" w14:textId="77777777" w:rsidR="00BB4D84" w:rsidRDefault="00000000">
            <w:pPr>
              <w:pStyle w:val="Compact"/>
            </w:pPr>
            <w:r>
              <w:t xml:space="preserve">❌ </w:t>
            </w:r>
            <w:r>
              <w:rPr>
                <w:b/>
                <w:bCs/>
              </w:rPr>
              <w:t>NOT SUPPORTED</w:t>
            </w:r>
            <w:r>
              <w:t xml:space="preserve"> (Sobel p = 0.81) — the effect is direct</w:t>
            </w:r>
          </w:p>
        </w:tc>
      </w:tr>
      <w:tr w:rsidR="00BB4D84" w14:paraId="2DF371B9" w14:textId="77777777">
        <w:tc>
          <w:tcPr>
            <w:tcW w:w="1377" w:type="dxa"/>
          </w:tcPr>
          <w:p w14:paraId="6F73DB23" w14:textId="77777777" w:rsidR="00BB4D84" w:rsidRDefault="00000000">
            <w:pPr>
              <w:pStyle w:val="Compact"/>
            </w:pPr>
            <w:r>
              <w:rPr>
                <w:b/>
                <w:bCs/>
              </w:rPr>
              <w:t>H3</w:t>
            </w:r>
          </w:p>
        </w:tc>
        <w:tc>
          <w:tcPr>
            <w:tcW w:w="3787" w:type="dxa"/>
          </w:tcPr>
          <w:p w14:paraId="4AAAC560" w14:textId="77777777" w:rsidR="00BB4D84" w:rsidRDefault="00000000">
            <w:pPr>
              <w:pStyle w:val="Compact"/>
            </w:pPr>
            <w:r>
              <w:t>There exists a threshold of tele-density beyond which CE behavior improves significantly</w:t>
            </w:r>
          </w:p>
        </w:tc>
        <w:tc>
          <w:tcPr>
            <w:tcW w:w="2754" w:type="dxa"/>
          </w:tcPr>
          <w:p w14:paraId="1462D0DD" w14:textId="77777777" w:rsidR="00BB4D84" w:rsidRDefault="00000000">
            <w:pPr>
              <w:pStyle w:val="Compact"/>
            </w:pPr>
            <w:r>
              <w:t xml:space="preserve">✅ </w:t>
            </w:r>
            <w:r>
              <w:rPr>
                <w:b/>
                <w:bCs/>
              </w:rPr>
              <w:t>SUPPORTED</w:t>
            </w:r>
            <w:r>
              <w:t xml:space="preserve"> (threshold at 118.77% tele-density)</w:t>
            </w:r>
          </w:p>
        </w:tc>
      </w:tr>
    </w:tbl>
    <w:p w14:paraId="6F5E8BF6" w14:textId="77777777" w:rsidR="00BB4D84" w:rsidRDefault="00C359AD">
      <w:r>
        <w:rPr>
          <w:noProof/>
        </w:rPr>
        <w:pict w14:anchorId="47935A87">
          <v:rect id="_x0000_i1037" alt="" style="width:451.3pt;height:.05pt;mso-width-percent:0;mso-height-percent:0;mso-width-percent:0;mso-height-percent:0" o:hralign="center" o:hrstd="t" o:hr="t"/>
        </w:pict>
      </w:r>
    </w:p>
    <w:p w14:paraId="192C60B1" w14:textId="77777777" w:rsidR="00BB4D84" w:rsidRDefault="00000000">
      <w:pPr>
        <w:pStyle w:val="Heading2"/>
      </w:pPr>
      <w:bookmarkStart w:id="10" w:name="what-data-we-used"/>
      <w:bookmarkEnd w:id="7"/>
      <w:bookmarkEnd w:id="9"/>
      <w:r>
        <w:t>4. What Data We Used</w:t>
      </w:r>
    </w:p>
    <w:p w14:paraId="56863799" w14:textId="77777777" w:rsidR="00BB4D84" w:rsidRDefault="00000000">
      <w:pPr>
        <w:pStyle w:val="Heading3"/>
      </w:pPr>
      <w:bookmarkStart w:id="11" w:name="dataset-summary"/>
      <w:r>
        <w:t>Dataset Summary</w:t>
      </w:r>
    </w:p>
    <w:p w14:paraId="760FC57D" w14:textId="77777777" w:rsidR="00BB4D84" w:rsidRDefault="00000000">
      <w:pPr>
        <w:pStyle w:val="Compact"/>
        <w:numPr>
          <w:ilvl w:val="0"/>
          <w:numId w:val="6"/>
        </w:numPr>
      </w:pPr>
      <w:r>
        <w:rPr>
          <w:b/>
          <w:bCs/>
        </w:rPr>
        <w:t>16 states</w:t>
      </w:r>
      <w:r>
        <w:t xml:space="preserve"> with complete verified data across all 7 sources</w:t>
      </w:r>
    </w:p>
    <w:p w14:paraId="5618559A" w14:textId="77777777" w:rsidR="00BB4D84" w:rsidRDefault="00000000">
      <w:pPr>
        <w:pStyle w:val="Compact"/>
        <w:numPr>
          <w:ilvl w:val="0"/>
          <w:numId w:val="6"/>
        </w:numPr>
      </w:pPr>
      <w:r>
        <w:rPr>
          <w:b/>
          <w:bCs/>
        </w:rPr>
        <w:t>9 raw variables</w:t>
      </w:r>
      <w:r>
        <w:t xml:space="preserve"> + </w:t>
      </w:r>
      <w:r>
        <w:rPr>
          <w:b/>
          <w:bCs/>
        </w:rPr>
        <w:t>6 derived variables</w:t>
      </w:r>
      <w:r>
        <w:t xml:space="preserve"> = </w:t>
      </w:r>
      <w:r>
        <w:rPr>
          <w:b/>
          <w:bCs/>
        </w:rPr>
        <w:t>15 total</w:t>
      </w:r>
    </w:p>
    <w:p w14:paraId="7E98E542" w14:textId="77777777" w:rsidR="00BB4D84" w:rsidRDefault="00000000">
      <w:pPr>
        <w:pStyle w:val="Compact"/>
        <w:numPr>
          <w:ilvl w:val="0"/>
          <w:numId w:val="6"/>
        </w:numPr>
      </w:pPr>
      <w:r>
        <w:rPr>
          <w:b/>
          <w:bCs/>
        </w:rPr>
        <w:t>Time period:</w:t>
      </w:r>
      <w:r>
        <w:t xml:space="preserve"> 2011 (Census) to 2024-25 (UPI/TRAI)</w:t>
      </w:r>
    </w:p>
    <w:p w14:paraId="4AA01FE5" w14:textId="77777777" w:rsidR="00BB4D84" w:rsidRDefault="00000000">
      <w:pPr>
        <w:pStyle w:val="Compact"/>
        <w:numPr>
          <w:ilvl w:val="0"/>
          <w:numId w:val="6"/>
        </w:numPr>
      </w:pPr>
      <w:r>
        <w:rPr>
          <w:b/>
          <w:bCs/>
        </w:rPr>
        <w:t>Data quality:</w:t>
      </w:r>
      <w:r>
        <w:t xml:space="preserve"> 100% real, 0% estimated, 0% synthetic</w:t>
      </w:r>
    </w:p>
    <w:p w14:paraId="7BF464E3" w14:textId="77777777" w:rsidR="00BB4D84" w:rsidRDefault="00000000">
      <w:pPr>
        <w:pStyle w:val="Heading3"/>
      </w:pPr>
      <w:bookmarkStart w:id="12" w:name="variables-in-the-dataset"/>
      <w:bookmarkEnd w:id="11"/>
      <w:r>
        <w:t>Variables in the Dataset</w:t>
      </w:r>
    </w:p>
    <w:tbl>
      <w:tblPr>
        <w:tblStyle w:val="Table"/>
        <w:tblW w:w="5000" w:type="pct"/>
        <w:tblLayout w:type="fixed"/>
        <w:tblLook w:val="0020" w:firstRow="1" w:lastRow="0" w:firstColumn="0" w:lastColumn="0" w:noHBand="0" w:noVBand="0"/>
      </w:tblPr>
      <w:tblGrid>
        <w:gridCol w:w="2037"/>
        <w:gridCol w:w="1630"/>
        <w:gridCol w:w="1223"/>
        <w:gridCol w:w="1223"/>
        <w:gridCol w:w="3463"/>
      </w:tblGrid>
      <w:tr w:rsidR="00BB4D84" w14:paraId="425CB42F" w14:textId="77777777" w:rsidTr="00BB4D84">
        <w:trPr>
          <w:cnfStyle w:val="100000000000" w:firstRow="1" w:lastRow="0" w:firstColumn="0" w:lastColumn="0" w:oddVBand="0" w:evenVBand="0" w:oddHBand="0" w:evenHBand="0" w:firstRowFirstColumn="0" w:firstRowLastColumn="0" w:lastRowFirstColumn="0" w:lastRowLastColumn="0"/>
          <w:tblHeader/>
        </w:trPr>
        <w:tc>
          <w:tcPr>
            <w:tcW w:w="1685" w:type="dxa"/>
          </w:tcPr>
          <w:p w14:paraId="69CF4A5B" w14:textId="77777777" w:rsidR="00BB4D84" w:rsidRDefault="00000000">
            <w:pPr>
              <w:pStyle w:val="Compact"/>
            </w:pPr>
            <w:r>
              <w:t>Variable</w:t>
            </w:r>
          </w:p>
        </w:tc>
        <w:tc>
          <w:tcPr>
            <w:tcW w:w="1348" w:type="dxa"/>
          </w:tcPr>
          <w:p w14:paraId="5064627E" w14:textId="77777777" w:rsidR="00BB4D84" w:rsidRDefault="00000000">
            <w:pPr>
              <w:pStyle w:val="Compact"/>
            </w:pPr>
            <w:r>
              <w:t>Source</w:t>
            </w:r>
          </w:p>
        </w:tc>
        <w:tc>
          <w:tcPr>
            <w:tcW w:w="1011" w:type="dxa"/>
          </w:tcPr>
          <w:p w14:paraId="36236905" w14:textId="77777777" w:rsidR="00BB4D84" w:rsidRDefault="00000000">
            <w:pPr>
              <w:pStyle w:val="Compact"/>
            </w:pPr>
            <w:r>
              <w:t>Year</w:t>
            </w:r>
          </w:p>
        </w:tc>
        <w:tc>
          <w:tcPr>
            <w:tcW w:w="1011" w:type="dxa"/>
          </w:tcPr>
          <w:p w14:paraId="0780B837" w14:textId="77777777" w:rsidR="00BB4D84" w:rsidRDefault="00000000">
            <w:pPr>
              <w:pStyle w:val="Compact"/>
            </w:pPr>
            <w:r>
              <w:t>Type</w:t>
            </w:r>
          </w:p>
        </w:tc>
        <w:tc>
          <w:tcPr>
            <w:tcW w:w="2864" w:type="dxa"/>
          </w:tcPr>
          <w:p w14:paraId="7027CFD3" w14:textId="77777777" w:rsidR="00BB4D84" w:rsidRDefault="00000000">
            <w:pPr>
              <w:pStyle w:val="Compact"/>
            </w:pPr>
            <w:r>
              <w:t>Range in Dataset</w:t>
            </w:r>
          </w:p>
        </w:tc>
      </w:tr>
      <w:tr w:rsidR="00BB4D84" w14:paraId="00797C61" w14:textId="77777777">
        <w:tc>
          <w:tcPr>
            <w:tcW w:w="1685" w:type="dxa"/>
          </w:tcPr>
          <w:p w14:paraId="79794384" w14:textId="77777777" w:rsidR="00BB4D84" w:rsidRDefault="00000000">
            <w:pPr>
              <w:pStyle w:val="Compact"/>
            </w:pPr>
            <w:r>
              <w:rPr>
                <w:rStyle w:val="VerbatimChar"/>
              </w:rPr>
              <w:t>Literacy_Rate_Percent</w:t>
            </w:r>
          </w:p>
        </w:tc>
        <w:tc>
          <w:tcPr>
            <w:tcW w:w="1348" w:type="dxa"/>
          </w:tcPr>
          <w:p w14:paraId="3C2013FE" w14:textId="77777777" w:rsidR="00BB4D84" w:rsidRDefault="00000000">
            <w:pPr>
              <w:pStyle w:val="Compact"/>
            </w:pPr>
            <w:r>
              <w:t>Census 2011</w:t>
            </w:r>
          </w:p>
        </w:tc>
        <w:tc>
          <w:tcPr>
            <w:tcW w:w="1011" w:type="dxa"/>
          </w:tcPr>
          <w:p w14:paraId="35ABC679" w14:textId="77777777" w:rsidR="00BB4D84" w:rsidRDefault="00000000">
            <w:pPr>
              <w:pStyle w:val="Compact"/>
            </w:pPr>
            <w:r>
              <w:t>2011</w:t>
            </w:r>
          </w:p>
        </w:tc>
        <w:tc>
          <w:tcPr>
            <w:tcW w:w="1011" w:type="dxa"/>
          </w:tcPr>
          <w:p w14:paraId="19E9E993" w14:textId="77777777" w:rsidR="00BB4D84" w:rsidRDefault="00000000">
            <w:pPr>
              <w:pStyle w:val="Compact"/>
            </w:pPr>
            <w:r>
              <w:t>Control</w:t>
            </w:r>
          </w:p>
        </w:tc>
        <w:tc>
          <w:tcPr>
            <w:tcW w:w="2864" w:type="dxa"/>
          </w:tcPr>
          <w:p w14:paraId="3DB2692B" w14:textId="77777777" w:rsidR="00BB4D84" w:rsidRDefault="00000000">
            <w:pPr>
              <w:pStyle w:val="Compact"/>
            </w:pPr>
            <w:r>
              <w:t>63.82 – 93.91</w:t>
            </w:r>
          </w:p>
        </w:tc>
      </w:tr>
      <w:tr w:rsidR="00BB4D84" w14:paraId="42DF0B39" w14:textId="77777777">
        <w:tc>
          <w:tcPr>
            <w:tcW w:w="1685" w:type="dxa"/>
          </w:tcPr>
          <w:p w14:paraId="4FA53BFA" w14:textId="77777777" w:rsidR="00BB4D84" w:rsidRDefault="00000000">
            <w:pPr>
              <w:pStyle w:val="Compact"/>
            </w:pPr>
            <w:r>
              <w:rPr>
                <w:rStyle w:val="VerbatimChar"/>
              </w:rPr>
              <w:t>Urban_Percent</w:t>
            </w:r>
          </w:p>
        </w:tc>
        <w:tc>
          <w:tcPr>
            <w:tcW w:w="1348" w:type="dxa"/>
          </w:tcPr>
          <w:p w14:paraId="10FABC24" w14:textId="77777777" w:rsidR="00BB4D84" w:rsidRDefault="00000000">
            <w:pPr>
              <w:pStyle w:val="Compact"/>
            </w:pPr>
            <w:r>
              <w:t>Census 2011</w:t>
            </w:r>
          </w:p>
        </w:tc>
        <w:tc>
          <w:tcPr>
            <w:tcW w:w="1011" w:type="dxa"/>
          </w:tcPr>
          <w:p w14:paraId="7E10799B" w14:textId="77777777" w:rsidR="00BB4D84" w:rsidRDefault="00000000">
            <w:pPr>
              <w:pStyle w:val="Compact"/>
            </w:pPr>
            <w:r>
              <w:t>2011</w:t>
            </w:r>
          </w:p>
        </w:tc>
        <w:tc>
          <w:tcPr>
            <w:tcW w:w="1011" w:type="dxa"/>
          </w:tcPr>
          <w:p w14:paraId="591628EA" w14:textId="77777777" w:rsidR="00BB4D84" w:rsidRDefault="00000000">
            <w:pPr>
              <w:pStyle w:val="Compact"/>
            </w:pPr>
            <w:r>
              <w:t>Control</w:t>
            </w:r>
          </w:p>
        </w:tc>
        <w:tc>
          <w:tcPr>
            <w:tcW w:w="2864" w:type="dxa"/>
          </w:tcPr>
          <w:p w14:paraId="422C91B8" w14:textId="77777777" w:rsidR="00BB4D84" w:rsidRDefault="00000000">
            <w:pPr>
              <w:pStyle w:val="Compact"/>
            </w:pPr>
            <w:r>
              <w:t>10.04 – 48.40</w:t>
            </w:r>
          </w:p>
        </w:tc>
      </w:tr>
      <w:tr w:rsidR="00BB4D84" w14:paraId="3831D8F6" w14:textId="77777777">
        <w:tc>
          <w:tcPr>
            <w:tcW w:w="1685" w:type="dxa"/>
          </w:tcPr>
          <w:p w14:paraId="01BE5936" w14:textId="77777777" w:rsidR="00BB4D84" w:rsidRDefault="00000000">
            <w:pPr>
              <w:pStyle w:val="Compact"/>
            </w:pPr>
            <w:r>
              <w:rPr>
                <w:rStyle w:val="VerbatimChar"/>
              </w:rPr>
              <w:t>Population_Mn</w:t>
            </w:r>
          </w:p>
        </w:tc>
        <w:tc>
          <w:tcPr>
            <w:tcW w:w="1348" w:type="dxa"/>
          </w:tcPr>
          <w:p w14:paraId="7E711560" w14:textId="77777777" w:rsidR="00BB4D84" w:rsidRDefault="00000000">
            <w:pPr>
              <w:pStyle w:val="Compact"/>
            </w:pPr>
            <w:r>
              <w:t>Census 2011</w:t>
            </w:r>
          </w:p>
        </w:tc>
        <w:tc>
          <w:tcPr>
            <w:tcW w:w="1011" w:type="dxa"/>
          </w:tcPr>
          <w:p w14:paraId="534DFCE3" w14:textId="77777777" w:rsidR="00BB4D84" w:rsidRDefault="00000000">
            <w:pPr>
              <w:pStyle w:val="Compact"/>
            </w:pPr>
            <w:r>
              <w:t>2011</w:t>
            </w:r>
          </w:p>
        </w:tc>
        <w:tc>
          <w:tcPr>
            <w:tcW w:w="1011" w:type="dxa"/>
          </w:tcPr>
          <w:p w14:paraId="71EB685A" w14:textId="77777777" w:rsidR="00BB4D84" w:rsidRDefault="00000000">
            <w:pPr>
              <w:pStyle w:val="Compact"/>
            </w:pPr>
            <w:r>
              <w:t>Control</w:t>
            </w:r>
          </w:p>
        </w:tc>
        <w:tc>
          <w:tcPr>
            <w:tcW w:w="2864" w:type="dxa"/>
          </w:tcPr>
          <w:p w14:paraId="6F0F475E" w14:textId="77777777" w:rsidR="00BB4D84" w:rsidRDefault="00000000">
            <w:pPr>
              <w:pStyle w:val="Compact"/>
            </w:pPr>
            <w:r>
              <w:t>7.5 – 128.5</w:t>
            </w:r>
          </w:p>
        </w:tc>
      </w:tr>
      <w:tr w:rsidR="00BB4D84" w14:paraId="5925C588" w14:textId="77777777">
        <w:tc>
          <w:tcPr>
            <w:tcW w:w="1685" w:type="dxa"/>
          </w:tcPr>
          <w:p w14:paraId="6B5D19ED" w14:textId="77777777" w:rsidR="00BB4D84" w:rsidRDefault="00000000">
            <w:pPr>
              <w:pStyle w:val="Compact"/>
            </w:pPr>
            <w:r>
              <w:rPr>
                <w:rStyle w:val="VerbatimChar"/>
              </w:rPr>
              <w:t>Tele_Density_Percent</w:t>
            </w:r>
          </w:p>
        </w:tc>
        <w:tc>
          <w:tcPr>
            <w:tcW w:w="1348" w:type="dxa"/>
          </w:tcPr>
          <w:p w14:paraId="6DB87AA7" w14:textId="77777777" w:rsidR="00BB4D84" w:rsidRDefault="00000000">
            <w:pPr>
              <w:pStyle w:val="Compact"/>
            </w:pPr>
            <w:r>
              <w:t>TRAI Q2 2024</w:t>
            </w:r>
          </w:p>
        </w:tc>
        <w:tc>
          <w:tcPr>
            <w:tcW w:w="1011" w:type="dxa"/>
          </w:tcPr>
          <w:p w14:paraId="5946458A" w14:textId="77777777" w:rsidR="00BB4D84" w:rsidRDefault="00000000">
            <w:pPr>
              <w:pStyle w:val="Compact"/>
            </w:pPr>
            <w:r>
              <w:t>2024</w:t>
            </w:r>
          </w:p>
        </w:tc>
        <w:tc>
          <w:tcPr>
            <w:tcW w:w="1011" w:type="dxa"/>
          </w:tcPr>
          <w:p w14:paraId="77E6961F" w14:textId="77777777" w:rsidR="00BB4D84" w:rsidRDefault="00000000">
            <w:pPr>
              <w:pStyle w:val="Compact"/>
            </w:pPr>
            <w:r>
              <w:t>Independent</w:t>
            </w:r>
          </w:p>
        </w:tc>
        <w:tc>
          <w:tcPr>
            <w:tcW w:w="2864" w:type="dxa"/>
          </w:tcPr>
          <w:p w14:paraId="641A1F0B" w14:textId="77777777" w:rsidR="00BB4D84" w:rsidRDefault="00000000">
            <w:pPr>
              <w:pStyle w:val="Compact"/>
            </w:pPr>
            <w:r>
              <w:t>55.80 – 120.93</w:t>
            </w:r>
          </w:p>
        </w:tc>
      </w:tr>
      <w:tr w:rsidR="00BB4D84" w14:paraId="1EE9F4B5" w14:textId="77777777">
        <w:tc>
          <w:tcPr>
            <w:tcW w:w="1685" w:type="dxa"/>
          </w:tcPr>
          <w:p w14:paraId="1917D8C3" w14:textId="77777777" w:rsidR="00BB4D84" w:rsidRDefault="00000000">
            <w:pPr>
              <w:pStyle w:val="Compact"/>
            </w:pPr>
            <w:r>
              <w:rPr>
                <w:rStyle w:val="VerbatimChar"/>
              </w:rPr>
              <w:t>Per_Capita_NSDP_Rs</w:t>
            </w:r>
          </w:p>
        </w:tc>
        <w:tc>
          <w:tcPr>
            <w:tcW w:w="1348" w:type="dxa"/>
          </w:tcPr>
          <w:p w14:paraId="42E368F6" w14:textId="77777777" w:rsidR="00BB4D84" w:rsidRDefault="00000000">
            <w:pPr>
              <w:pStyle w:val="Compact"/>
            </w:pPr>
            <w:r>
              <w:t>RBI HoS Table 9</w:t>
            </w:r>
          </w:p>
        </w:tc>
        <w:tc>
          <w:tcPr>
            <w:tcW w:w="1011" w:type="dxa"/>
          </w:tcPr>
          <w:p w14:paraId="293E8115" w14:textId="77777777" w:rsidR="00BB4D84" w:rsidRDefault="00000000">
            <w:pPr>
              <w:pStyle w:val="Compact"/>
            </w:pPr>
            <w:r>
              <w:t>2023-24</w:t>
            </w:r>
          </w:p>
        </w:tc>
        <w:tc>
          <w:tcPr>
            <w:tcW w:w="1011" w:type="dxa"/>
          </w:tcPr>
          <w:p w14:paraId="5DEAC2B1" w14:textId="77777777" w:rsidR="00BB4D84" w:rsidRDefault="00000000">
            <w:pPr>
              <w:pStyle w:val="Compact"/>
            </w:pPr>
            <w:r>
              <w:t>Independent</w:t>
            </w:r>
          </w:p>
        </w:tc>
        <w:tc>
          <w:tcPr>
            <w:tcW w:w="2864" w:type="dxa"/>
          </w:tcPr>
          <w:p w14:paraId="123BE5C2" w14:textId="77777777" w:rsidR="00BB4D84" w:rsidRDefault="00000000">
            <w:pPr>
              <w:pStyle w:val="Compact"/>
            </w:pPr>
            <w:r>
              <w:t>₹60,180 – ₹3,39,813</w:t>
            </w:r>
          </w:p>
        </w:tc>
      </w:tr>
      <w:tr w:rsidR="00BB4D84" w14:paraId="19A7E171" w14:textId="77777777">
        <w:tc>
          <w:tcPr>
            <w:tcW w:w="1685" w:type="dxa"/>
          </w:tcPr>
          <w:p w14:paraId="105D8432" w14:textId="77777777" w:rsidR="00BB4D84" w:rsidRDefault="00000000">
            <w:pPr>
              <w:pStyle w:val="Compact"/>
            </w:pPr>
            <w:r>
              <w:rPr>
                <w:rStyle w:val="VerbatimChar"/>
              </w:rPr>
              <w:t>SDG_Index_Score</w:t>
            </w:r>
          </w:p>
        </w:tc>
        <w:tc>
          <w:tcPr>
            <w:tcW w:w="1348" w:type="dxa"/>
          </w:tcPr>
          <w:p w14:paraId="6EA52DBB" w14:textId="77777777" w:rsidR="00BB4D84" w:rsidRDefault="00000000">
            <w:pPr>
              <w:pStyle w:val="Compact"/>
            </w:pPr>
            <w:r>
              <w:t>NITI Aayog</w:t>
            </w:r>
          </w:p>
        </w:tc>
        <w:tc>
          <w:tcPr>
            <w:tcW w:w="1011" w:type="dxa"/>
          </w:tcPr>
          <w:p w14:paraId="51D84848" w14:textId="77777777" w:rsidR="00BB4D84" w:rsidRDefault="00000000">
            <w:pPr>
              <w:pStyle w:val="Compact"/>
            </w:pPr>
            <w:r>
              <w:t>2023-24</w:t>
            </w:r>
          </w:p>
        </w:tc>
        <w:tc>
          <w:tcPr>
            <w:tcW w:w="1011" w:type="dxa"/>
          </w:tcPr>
          <w:p w14:paraId="7159DAD4" w14:textId="77777777" w:rsidR="00BB4D84" w:rsidRDefault="00000000">
            <w:pPr>
              <w:pStyle w:val="Compact"/>
            </w:pPr>
            <w:r>
              <w:t>Dependent component</w:t>
            </w:r>
          </w:p>
        </w:tc>
        <w:tc>
          <w:tcPr>
            <w:tcW w:w="2864" w:type="dxa"/>
          </w:tcPr>
          <w:p w14:paraId="1F2CEDB4" w14:textId="77777777" w:rsidR="00BB4D84" w:rsidRDefault="00000000">
            <w:pPr>
              <w:pStyle w:val="Compact"/>
            </w:pPr>
            <w:r>
              <w:t>57 – 79</w:t>
            </w:r>
          </w:p>
        </w:tc>
      </w:tr>
      <w:tr w:rsidR="00BB4D84" w14:paraId="2023F3C5" w14:textId="77777777">
        <w:tc>
          <w:tcPr>
            <w:tcW w:w="1685" w:type="dxa"/>
          </w:tcPr>
          <w:p w14:paraId="588077BA" w14:textId="77777777" w:rsidR="00BB4D84" w:rsidRDefault="00000000">
            <w:pPr>
              <w:pStyle w:val="Compact"/>
            </w:pPr>
            <w:r>
              <w:rPr>
                <w:rStyle w:val="VerbatimChar"/>
              </w:rPr>
              <w:t>UPI_PerCapita_Transactions</w:t>
            </w:r>
          </w:p>
        </w:tc>
        <w:tc>
          <w:tcPr>
            <w:tcW w:w="1348" w:type="dxa"/>
          </w:tcPr>
          <w:p w14:paraId="537E05F1" w14:textId="77777777" w:rsidR="00BB4D84" w:rsidRDefault="00000000">
            <w:pPr>
              <w:pStyle w:val="Compact"/>
            </w:pPr>
            <w:r>
              <w:t>NPCI/Dataful</w:t>
            </w:r>
          </w:p>
        </w:tc>
        <w:tc>
          <w:tcPr>
            <w:tcW w:w="1011" w:type="dxa"/>
          </w:tcPr>
          <w:p w14:paraId="24B6D38E" w14:textId="77777777" w:rsidR="00BB4D84" w:rsidRDefault="00000000">
            <w:pPr>
              <w:pStyle w:val="Compact"/>
            </w:pPr>
            <w:r>
              <w:t>2024-25</w:t>
            </w:r>
          </w:p>
        </w:tc>
        <w:tc>
          <w:tcPr>
            <w:tcW w:w="1011" w:type="dxa"/>
          </w:tcPr>
          <w:p w14:paraId="14DEC2BC" w14:textId="77777777" w:rsidR="00BB4D84" w:rsidRDefault="00000000">
            <w:pPr>
              <w:pStyle w:val="Compact"/>
            </w:pPr>
            <w:r>
              <w:t>Independent</w:t>
            </w:r>
          </w:p>
        </w:tc>
        <w:tc>
          <w:tcPr>
            <w:tcW w:w="2864" w:type="dxa"/>
          </w:tcPr>
          <w:p w14:paraId="40E15919" w14:textId="77777777" w:rsidR="00BB4D84" w:rsidRDefault="00000000">
            <w:pPr>
              <w:pStyle w:val="Compact"/>
            </w:pPr>
            <w:r>
              <w:t>38 – 203</w:t>
            </w:r>
          </w:p>
        </w:tc>
      </w:tr>
      <w:tr w:rsidR="00BB4D84" w14:paraId="2C939057" w14:textId="77777777">
        <w:tc>
          <w:tcPr>
            <w:tcW w:w="1685" w:type="dxa"/>
          </w:tcPr>
          <w:p w14:paraId="1E4B7E52" w14:textId="77777777" w:rsidR="00BB4D84" w:rsidRDefault="00000000">
            <w:pPr>
              <w:pStyle w:val="Compact"/>
            </w:pPr>
            <w:r>
              <w:rPr>
                <w:rStyle w:val="VerbatimChar"/>
              </w:rPr>
              <w:t>EWaste_Processed_Tonnes</w:t>
            </w:r>
          </w:p>
        </w:tc>
        <w:tc>
          <w:tcPr>
            <w:tcW w:w="1348" w:type="dxa"/>
          </w:tcPr>
          <w:p w14:paraId="5139DAA4" w14:textId="77777777" w:rsidR="00BB4D84" w:rsidRDefault="00000000">
            <w:pPr>
              <w:pStyle w:val="Compact"/>
            </w:pPr>
            <w:r>
              <w:t>CPCB</w:t>
            </w:r>
          </w:p>
        </w:tc>
        <w:tc>
          <w:tcPr>
            <w:tcW w:w="1011" w:type="dxa"/>
          </w:tcPr>
          <w:p w14:paraId="3385B107" w14:textId="77777777" w:rsidR="00BB4D84" w:rsidRDefault="00000000">
            <w:pPr>
              <w:pStyle w:val="Compact"/>
            </w:pPr>
            <w:r>
              <w:t>2021-22</w:t>
            </w:r>
          </w:p>
        </w:tc>
        <w:tc>
          <w:tcPr>
            <w:tcW w:w="1011" w:type="dxa"/>
          </w:tcPr>
          <w:p w14:paraId="2AE51F27" w14:textId="77777777" w:rsidR="00BB4D84" w:rsidRDefault="00000000">
            <w:pPr>
              <w:pStyle w:val="Compact"/>
            </w:pPr>
            <w:r>
              <w:t>Dependent component</w:t>
            </w:r>
          </w:p>
        </w:tc>
        <w:tc>
          <w:tcPr>
            <w:tcW w:w="2864" w:type="dxa"/>
          </w:tcPr>
          <w:p w14:paraId="32E8EB31" w14:textId="77777777" w:rsidR="00BB4D84" w:rsidRDefault="00000000">
            <w:pPr>
              <w:pStyle w:val="Compact"/>
            </w:pPr>
            <w:r>
              <w:t>41 – 2,45,016</w:t>
            </w:r>
          </w:p>
        </w:tc>
      </w:tr>
      <w:tr w:rsidR="00BB4D84" w14:paraId="54A267A4" w14:textId="77777777">
        <w:tc>
          <w:tcPr>
            <w:tcW w:w="1685" w:type="dxa"/>
          </w:tcPr>
          <w:p w14:paraId="341535C5" w14:textId="77777777" w:rsidR="00BB4D84" w:rsidRDefault="00000000">
            <w:pPr>
              <w:pStyle w:val="Compact"/>
            </w:pPr>
            <w:r>
              <w:rPr>
                <w:rStyle w:val="VerbatimChar"/>
              </w:rPr>
              <w:t>EWaste_PerCapita</w:t>
            </w:r>
          </w:p>
        </w:tc>
        <w:tc>
          <w:tcPr>
            <w:tcW w:w="1348" w:type="dxa"/>
          </w:tcPr>
          <w:p w14:paraId="2CBC8A14" w14:textId="77777777" w:rsidR="00BB4D84" w:rsidRDefault="00000000">
            <w:pPr>
              <w:pStyle w:val="Compact"/>
            </w:pPr>
            <w:r>
              <w:t>Derived</w:t>
            </w:r>
          </w:p>
        </w:tc>
        <w:tc>
          <w:tcPr>
            <w:tcW w:w="1011" w:type="dxa"/>
          </w:tcPr>
          <w:p w14:paraId="5809EDFE" w14:textId="77777777" w:rsidR="00BB4D84" w:rsidRDefault="00000000">
            <w:pPr>
              <w:pStyle w:val="Compact"/>
            </w:pPr>
            <w:r>
              <w:t>—</w:t>
            </w:r>
          </w:p>
        </w:tc>
        <w:tc>
          <w:tcPr>
            <w:tcW w:w="1011" w:type="dxa"/>
          </w:tcPr>
          <w:p w14:paraId="0FFC031E" w14:textId="77777777" w:rsidR="00BB4D84" w:rsidRDefault="00000000">
            <w:pPr>
              <w:pStyle w:val="Compact"/>
            </w:pPr>
            <w:r>
              <w:t>Dependent compone</w:t>
            </w:r>
            <w:r>
              <w:lastRenderedPageBreak/>
              <w:t>nt</w:t>
            </w:r>
          </w:p>
        </w:tc>
        <w:tc>
          <w:tcPr>
            <w:tcW w:w="2864" w:type="dxa"/>
          </w:tcPr>
          <w:p w14:paraId="52104135" w14:textId="77777777" w:rsidR="00BB4D84" w:rsidRDefault="00000000">
            <w:pPr>
              <w:pStyle w:val="Compact"/>
            </w:pPr>
            <w:r>
              <w:lastRenderedPageBreak/>
              <w:t>0.32 – 8,305.62</w:t>
            </w:r>
          </w:p>
        </w:tc>
      </w:tr>
      <w:tr w:rsidR="00BB4D84" w14:paraId="398A81DE" w14:textId="77777777">
        <w:tc>
          <w:tcPr>
            <w:tcW w:w="1685" w:type="dxa"/>
          </w:tcPr>
          <w:p w14:paraId="756EF32A" w14:textId="77777777" w:rsidR="00BB4D84" w:rsidRDefault="00000000">
            <w:pPr>
              <w:pStyle w:val="Compact"/>
            </w:pPr>
            <w:r>
              <w:rPr>
                <w:rStyle w:val="VerbatimChar"/>
              </w:rPr>
              <w:t>Digital_Access_Score</w:t>
            </w:r>
          </w:p>
        </w:tc>
        <w:tc>
          <w:tcPr>
            <w:tcW w:w="1348" w:type="dxa"/>
          </w:tcPr>
          <w:p w14:paraId="3C738460" w14:textId="77777777" w:rsidR="00BB4D84" w:rsidRDefault="00000000">
            <w:pPr>
              <w:pStyle w:val="Compact"/>
            </w:pPr>
            <w:r>
              <w:t>Composite</w:t>
            </w:r>
          </w:p>
        </w:tc>
        <w:tc>
          <w:tcPr>
            <w:tcW w:w="1011" w:type="dxa"/>
          </w:tcPr>
          <w:p w14:paraId="36AA22EE" w14:textId="77777777" w:rsidR="00BB4D84" w:rsidRDefault="00000000">
            <w:pPr>
              <w:pStyle w:val="Compact"/>
            </w:pPr>
            <w:r>
              <w:t>—</w:t>
            </w:r>
          </w:p>
        </w:tc>
        <w:tc>
          <w:tcPr>
            <w:tcW w:w="1011" w:type="dxa"/>
          </w:tcPr>
          <w:p w14:paraId="380AC5F3" w14:textId="77777777" w:rsidR="00BB4D84" w:rsidRDefault="00000000">
            <w:pPr>
              <w:pStyle w:val="Compact"/>
            </w:pPr>
            <w:r>
              <w:rPr>
                <w:b/>
                <w:bCs/>
              </w:rPr>
              <w:t>Primary IV</w:t>
            </w:r>
          </w:p>
        </w:tc>
        <w:tc>
          <w:tcPr>
            <w:tcW w:w="2864" w:type="dxa"/>
          </w:tcPr>
          <w:p w14:paraId="1058CBAE" w14:textId="77777777" w:rsidR="00BB4D84" w:rsidRDefault="00000000">
            <w:pPr>
              <w:pStyle w:val="Compact"/>
            </w:pPr>
            <w:r>
              <w:t>30.27 – 94.40</w:t>
            </w:r>
          </w:p>
        </w:tc>
      </w:tr>
      <w:tr w:rsidR="00BB4D84" w14:paraId="74901850" w14:textId="77777777">
        <w:tc>
          <w:tcPr>
            <w:tcW w:w="1685" w:type="dxa"/>
          </w:tcPr>
          <w:p w14:paraId="11A4E935" w14:textId="77777777" w:rsidR="00BB4D84" w:rsidRDefault="00000000">
            <w:pPr>
              <w:pStyle w:val="Compact"/>
            </w:pPr>
            <w:r>
              <w:rPr>
                <w:rStyle w:val="VerbatimChar"/>
              </w:rPr>
              <w:t>CE_Behavior_Score</w:t>
            </w:r>
          </w:p>
        </w:tc>
        <w:tc>
          <w:tcPr>
            <w:tcW w:w="1348" w:type="dxa"/>
          </w:tcPr>
          <w:p w14:paraId="7E935BA2" w14:textId="77777777" w:rsidR="00BB4D84" w:rsidRDefault="00000000">
            <w:pPr>
              <w:pStyle w:val="Compact"/>
            </w:pPr>
            <w:r>
              <w:t>Composite</w:t>
            </w:r>
          </w:p>
        </w:tc>
        <w:tc>
          <w:tcPr>
            <w:tcW w:w="1011" w:type="dxa"/>
          </w:tcPr>
          <w:p w14:paraId="762F5DB2" w14:textId="77777777" w:rsidR="00BB4D84" w:rsidRDefault="00000000">
            <w:pPr>
              <w:pStyle w:val="Compact"/>
            </w:pPr>
            <w:r>
              <w:t>—</w:t>
            </w:r>
          </w:p>
        </w:tc>
        <w:tc>
          <w:tcPr>
            <w:tcW w:w="1011" w:type="dxa"/>
          </w:tcPr>
          <w:p w14:paraId="122A5BA5" w14:textId="77777777" w:rsidR="00BB4D84" w:rsidRDefault="00000000">
            <w:pPr>
              <w:pStyle w:val="Compact"/>
            </w:pPr>
            <w:r>
              <w:rPr>
                <w:b/>
                <w:bCs/>
              </w:rPr>
              <w:t>Primary DV</w:t>
            </w:r>
          </w:p>
        </w:tc>
        <w:tc>
          <w:tcPr>
            <w:tcW w:w="2864" w:type="dxa"/>
          </w:tcPr>
          <w:p w14:paraId="7E0A84A8" w14:textId="77777777" w:rsidR="00BB4D84" w:rsidRDefault="00000000">
            <w:pPr>
              <w:pStyle w:val="Compact"/>
            </w:pPr>
            <w:r>
              <w:t>27.23 – 87.30</w:t>
            </w:r>
          </w:p>
        </w:tc>
      </w:tr>
      <w:tr w:rsidR="00BB4D84" w14:paraId="0D0E8C19" w14:textId="77777777">
        <w:tc>
          <w:tcPr>
            <w:tcW w:w="1685" w:type="dxa"/>
          </w:tcPr>
          <w:p w14:paraId="5701BBDB" w14:textId="77777777" w:rsidR="00BB4D84" w:rsidRDefault="00000000">
            <w:pPr>
              <w:pStyle w:val="Compact"/>
            </w:pPr>
            <w:r>
              <w:rPr>
                <w:rStyle w:val="VerbatimChar"/>
              </w:rPr>
              <w:t>DCI</w:t>
            </w:r>
          </w:p>
        </w:tc>
        <w:tc>
          <w:tcPr>
            <w:tcW w:w="1348" w:type="dxa"/>
          </w:tcPr>
          <w:p w14:paraId="7890B811" w14:textId="77777777" w:rsidR="00BB4D84" w:rsidRDefault="00000000">
            <w:pPr>
              <w:pStyle w:val="Compact"/>
            </w:pPr>
            <w:r>
              <w:t>Derived</w:t>
            </w:r>
          </w:p>
        </w:tc>
        <w:tc>
          <w:tcPr>
            <w:tcW w:w="1011" w:type="dxa"/>
          </w:tcPr>
          <w:p w14:paraId="62F25983" w14:textId="77777777" w:rsidR="00BB4D84" w:rsidRDefault="00000000">
            <w:pPr>
              <w:pStyle w:val="Compact"/>
            </w:pPr>
            <w:r>
              <w:t>—</w:t>
            </w:r>
          </w:p>
        </w:tc>
        <w:tc>
          <w:tcPr>
            <w:tcW w:w="1011" w:type="dxa"/>
          </w:tcPr>
          <w:p w14:paraId="0660E1AB" w14:textId="77777777" w:rsidR="00BB4D84" w:rsidRDefault="00000000">
            <w:pPr>
              <w:pStyle w:val="Compact"/>
            </w:pPr>
            <w:r>
              <w:rPr>
                <w:b/>
                <w:bCs/>
              </w:rPr>
              <w:t>Novel Index</w:t>
            </w:r>
          </w:p>
        </w:tc>
        <w:tc>
          <w:tcPr>
            <w:tcW w:w="2864" w:type="dxa"/>
          </w:tcPr>
          <w:p w14:paraId="4DBDFFE3" w14:textId="77777777" w:rsidR="00BB4D84" w:rsidRDefault="00000000">
            <w:pPr>
              <w:pStyle w:val="Compact"/>
            </w:pPr>
            <w:r>
              <w:t>8.24 – 72.97</w:t>
            </w:r>
          </w:p>
        </w:tc>
      </w:tr>
    </w:tbl>
    <w:p w14:paraId="02214C64" w14:textId="77777777" w:rsidR="00BB4D84" w:rsidRDefault="00000000">
      <w:pPr>
        <w:pStyle w:val="Heading3"/>
      </w:pPr>
      <w:bookmarkStart w:id="13" w:name="X967e454f282fd07c1bc9bee95cd39c044648777"/>
      <w:bookmarkEnd w:id="12"/>
      <w:r>
        <w:t>Descriptive Statistics (Use These in Paper)</w:t>
      </w:r>
    </w:p>
    <w:tbl>
      <w:tblPr>
        <w:tblStyle w:val="Table"/>
        <w:tblW w:w="0" w:type="auto"/>
        <w:tblLook w:val="0020" w:firstRow="1" w:lastRow="0" w:firstColumn="0" w:lastColumn="0" w:noHBand="0" w:noVBand="0"/>
      </w:tblPr>
      <w:tblGrid>
        <w:gridCol w:w="1070"/>
        <w:gridCol w:w="2331"/>
        <w:gridCol w:w="2124"/>
        <w:gridCol w:w="1861"/>
      </w:tblGrid>
      <w:tr w:rsidR="00BB4D84" w14:paraId="0AF0328B" w14:textId="77777777" w:rsidTr="00BB4D84">
        <w:trPr>
          <w:cnfStyle w:val="100000000000" w:firstRow="1" w:lastRow="0" w:firstColumn="0" w:lastColumn="0" w:oddVBand="0" w:evenVBand="0" w:oddHBand="0" w:evenHBand="0" w:firstRowFirstColumn="0" w:firstRowLastColumn="0" w:lastRowFirstColumn="0" w:lastRowLastColumn="0"/>
          <w:tblHeader/>
        </w:trPr>
        <w:tc>
          <w:tcPr>
            <w:tcW w:w="0" w:type="auto"/>
          </w:tcPr>
          <w:p w14:paraId="527C395F" w14:textId="77777777" w:rsidR="00BB4D84" w:rsidRDefault="00000000">
            <w:pPr>
              <w:pStyle w:val="Compact"/>
            </w:pPr>
            <w:r>
              <w:t>Statistic</w:t>
            </w:r>
          </w:p>
        </w:tc>
        <w:tc>
          <w:tcPr>
            <w:tcW w:w="0" w:type="auto"/>
          </w:tcPr>
          <w:p w14:paraId="02B1CF54" w14:textId="77777777" w:rsidR="00BB4D84" w:rsidRDefault="00000000">
            <w:pPr>
              <w:pStyle w:val="Compact"/>
            </w:pPr>
            <w:r>
              <w:t>Digital Access Score</w:t>
            </w:r>
          </w:p>
        </w:tc>
        <w:tc>
          <w:tcPr>
            <w:tcW w:w="0" w:type="auto"/>
          </w:tcPr>
          <w:p w14:paraId="7A6B7D83" w14:textId="77777777" w:rsidR="00BB4D84" w:rsidRDefault="00000000">
            <w:pPr>
              <w:pStyle w:val="Compact"/>
            </w:pPr>
            <w:r>
              <w:t>CE Behavior Score</w:t>
            </w:r>
          </w:p>
        </w:tc>
        <w:tc>
          <w:tcPr>
            <w:tcW w:w="0" w:type="auto"/>
          </w:tcPr>
          <w:p w14:paraId="08BB0D0C" w14:textId="77777777" w:rsidR="00BB4D84" w:rsidRDefault="00000000">
            <w:pPr>
              <w:pStyle w:val="Compact"/>
            </w:pPr>
            <w:r>
              <w:t>DCI</w:t>
            </w:r>
          </w:p>
        </w:tc>
      </w:tr>
      <w:tr w:rsidR="00BB4D84" w14:paraId="1D63C6FC" w14:textId="77777777">
        <w:tc>
          <w:tcPr>
            <w:tcW w:w="0" w:type="auto"/>
          </w:tcPr>
          <w:p w14:paraId="3BCFC647" w14:textId="77777777" w:rsidR="00BB4D84" w:rsidRDefault="00000000">
            <w:pPr>
              <w:pStyle w:val="Compact"/>
            </w:pPr>
            <w:r>
              <w:rPr>
                <w:b/>
                <w:bCs/>
              </w:rPr>
              <w:t>Mean</w:t>
            </w:r>
          </w:p>
        </w:tc>
        <w:tc>
          <w:tcPr>
            <w:tcW w:w="0" w:type="auto"/>
          </w:tcPr>
          <w:p w14:paraId="2CF66C15" w14:textId="77777777" w:rsidR="00BB4D84" w:rsidRDefault="00000000">
            <w:pPr>
              <w:pStyle w:val="Compact"/>
            </w:pPr>
            <w:r>
              <w:t>64.95</w:t>
            </w:r>
          </w:p>
        </w:tc>
        <w:tc>
          <w:tcPr>
            <w:tcW w:w="0" w:type="auto"/>
          </w:tcPr>
          <w:p w14:paraId="049D36C0" w14:textId="77777777" w:rsidR="00BB4D84" w:rsidRDefault="00000000">
            <w:pPr>
              <w:pStyle w:val="Compact"/>
            </w:pPr>
            <w:r>
              <w:t>46.98</w:t>
            </w:r>
          </w:p>
        </w:tc>
        <w:tc>
          <w:tcPr>
            <w:tcW w:w="0" w:type="auto"/>
          </w:tcPr>
          <w:p w14:paraId="1E4A246A" w14:textId="77777777" w:rsidR="00BB4D84" w:rsidRDefault="00000000">
            <w:pPr>
              <w:pStyle w:val="Compact"/>
            </w:pPr>
            <w:r>
              <w:t>32.52</w:t>
            </w:r>
          </w:p>
        </w:tc>
      </w:tr>
      <w:tr w:rsidR="00BB4D84" w14:paraId="3B5767F7" w14:textId="77777777">
        <w:tc>
          <w:tcPr>
            <w:tcW w:w="0" w:type="auto"/>
          </w:tcPr>
          <w:p w14:paraId="17D5682C" w14:textId="77777777" w:rsidR="00BB4D84" w:rsidRDefault="00000000">
            <w:pPr>
              <w:pStyle w:val="Compact"/>
            </w:pPr>
            <w:r>
              <w:rPr>
                <w:b/>
                <w:bCs/>
              </w:rPr>
              <w:t>Std Dev</w:t>
            </w:r>
          </w:p>
        </w:tc>
        <w:tc>
          <w:tcPr>
            <w:tcW w:w="0" w:type="auto"/>
          </w:tcPr>
          <w:p w14:paraId="710A236B" w14:textId="77777777" w:rsidR="00BB4D84" w:rsidRDefault="00000000">
            <w:pPr>
              <w:pStyle w:val="Compact"/>
            </w:pPr>
            <w:r>
              <w:t>19.69</w:t>
            </w:r>
          </w:p>
        </w:tc>
        <w:tc>
          <w:tcPr>
            <w:tcW w:w="0" w:type="auto"/>
          </w:tcPr>
          <w:p w14:paraId="2CFDABFE" w14:textId="77777777" w:rsidR="00BB4D84" w:rsidRDefault="00000000">
            <w:pPr>
              <w:pStyle w:val="Compact"/>
            </w:pPr>
            <w:r>
              <w:t>13.90</w:t>
            </w:r>
          </w:p>
        </w:tc>
        <w:tc>
          <w:tcPr>
            <w:tcW w:w="0" w:type="auto"/>
          </w:tcPr>
          <w:p w14:paraId="1ABC0D50" w14:textId="77777777" w:rsidR="00BB4D84" w:rsidRDefault="00000000">
            <w:pPr>
              <w:pStyle w:val="Compact"/>
            </w:pPr>
            <w:r>
              <w:t>17.40</w:t>
            </w:r>
          </w:p>
        </w:tc>
      </w:tr>
      <w:tr w:rsidR="00BB4D84" w14:paraId="543284BA" w14:textId="77777777">
        <w:tc>
          <w:tcPr>
            <w:tcW w:w="0" w:type="auto"/>
          </w:tcPr>
          <w:p w14:paraId="233C4786" w14:textId="77777777" w:rsidR="00BB4D84" w:rsidRDefault="00000000">
            <w:pPr>
              <w:pStyle w:val="Compact"/>
            </w:pPr>
            <w:r>
              <w:rPr>
                <w:b/>
                <w:bCs/>
              </w:rPr>
              <w:t>Min</w:t>
            </w:r>
          </w:p>
        </w:tc>
        <w:tc>
          <w:tcPr>
            <w:tcW w:w="0" w:type="auto"/>
          </w:tcPr>
          <w:p w14:paraId="5A909C85" w14:textId="77777777" w:rsidR="00BB4D84" w:rsidRDefault="00000000">
            <w:pPr>
              <w:pStyle w:val="Compact"/>
            </w:pPr>
            <w:r>
              <w:t>30.27 (Bihar)</w:t>
            </w:r>
          </w:p>
        </w:tc>
        <w:tc>
          <w:tcPr>
            <w:tcW w:w="0" w:type="auto"/>
          </w:tcPr>
          <w:p w14:paraId="78D18709" w14:textId="77777777" w:rsidR="00BB4D84" w:rsidRDefault="00000000">
            <w:pPr>
              <w:pStyle w:val="Compact"/>
            </w:pPr>
            <w:r>
              <w:t>27.23 (Bihar)</w:t>
            </w:r>
          </w:p>
        </w:tc>
        <w:tc>
          <w:tcPr>
            <w:tcW w:w="0" w:type="auto"/>
          </w:tcPr>
          <w:p w14:paraId="1936539E" w14:textId="77777777" w:rsidR="00BB4D84" w:rsidRDefault="00000000">
            <w:pPr>
              <w:pStyle w:val="Compact"/>
            </w:pPr>
            <w:r>
              <w:t>8.24 (Bihar)</w:t>
            </w:r>
          </w:p>
        </w:tc>
      </w:tr>
      <w:tr w:rsidR="00BB4D84" w14:paraId="4565454F" w14:textId="77777777">
        <w:tc>
          <w:tcPr>
            <w:tcW w:w="0" w:type="auto"/>
          </w:tcPr>
          <w:p w14:paraId="311AB37B" w14:textId="77777777" w:rsidR="00BB4D84" w:rsidRDefault="00000000">
            <w:pPr>
              <w:pStyle w:val="Compact"/>
            </w:pPr>
            <w:r>
              <w:rPr>
                <w:b/>
                <w:bCs/>
              </w:rPr>
              <w:t>Max</w:t>
            </w:r>
          </w:p>
        </w:tc>
        <w:tc>
          <w:tcPr>
            <w:tcW w:w="0" w:type="auto"/>
          </w:tcPr>
          <w:p w14:paraId="68643C57" w14:textId="77777777" w:rsidR="00BB4D84" w:rsidRDefault="00000000">
            <w:pPr>
              <w:pStyle w:val="Compact"/>
            </w:pPr>
            <w:r>
              <w:t>94.40 (Karnataka)</w:t>
            </w:r>
          </w:p>
        </w:tc>
        <w:tc>
          <w:tcPr>
            <w:tcW w:w="0" w:type="auto"/>
          </w:tcPr>
          <w:p w14:paraId="686BBA75" w14:textId="77777777" w:rsidR="00BB4D84" w:rsidRDefault="00000000">
            <w:pPr>
              <w:pStyle w:val="Compact"/>
            </w:pPr>
            <w:r>
              <w:t>87.30 (Haryana)</w:t>
            </w:r>
          </w:p>
        </w:tc>
        <w:tc>
          <w:tcPr>
            <w:tcW w:w="0" w:type="auto"/>
          </w:tcPr>
          <w:p w14:paraId="07DD0714" w14:textId="77777777" w:rsidR="00BB4D84" w:rsidRDefault="00000000">
            <w:pPr>
              <w:pStyle w:val="Compact"/>
            </w:pPr>
            <w:r>
              <w:t>72.97 (Haryana)</w:t>
            </w:r>
          </w:p>
        </w:tc>
      </w:tr>
      <w:tr w:rsidR="00BB4D84" w14:paraId="3AEA0B74" w14:textId="77777777">
        <w:tc>
          <w:tcPr>
            <w:tcW w:w="0" w:type="auto"/>
          </w:tcPr>
          <w:p w14:paraId="5920C6A2" w14:textId="77777777" w:rsidR="00BB4D84" w:rsidRDefault="00000000">
            <w:pPr>
              <w:pStyle w:val="Compact"/>
            </w:pPr>
            <w:r>
              <w:rPr>
                <w:b/>
                <w:bCs/>
              </w:rPr>
              <w:t>Median</w:t>
            </w:r>
          </w:p>
        </w:tc>
        <w:tc>
          <w:tcPr>
            <w:tcW w:w="0" w:type="auto"/>
          </w:tcPr>
          <w:p w14:paraId="59711402" w14:textId="77777777" w:rsidR="00BB4D84" w:rsidRDefault="00000000">
            <w:pPr>
              <w:pStyle w:val="Compact"/>
            </w:pPr>
            <w:r>
              <w:t>67.02</w:t>
            </w:r>
          </w:p>
        </w:tc>
        <w:tc>
          <w:tcPr>
            <w:tcW w:w="0" w:type="auto"/>
          </w:tcPr>
          <w:p w14:paraId="621984CA" w14:textId="77777777" w:rsidR="00BB4D84" w:rsidRDefault="00000000">
            <w:pPr>
              <w:pStyle w:val="Compact"/>
            </w:pPr>
            <w:r>
              <w:t>47.78</w:t>
            </w:r>
          </w:p>
        </w:tc>
        <w:tc>
          <w:tcPr>
            <w:tcW w:w="0" w:type="auto"/>
          </w:tcPr>
          <w:p w14:paraId="08082116" w14:textId="77777777" w:rsidR="00BB4D84" w:rsidRDefault="00000000">
            <w:pPr>
              <w:pStyle w:val="Compact"/>
            </w:pPr>
            <w:r>
              <w:t>32.42</w:t>
            </w:r>
          </w:p>
        </w:tc>
      </w:tr>
    </w:tbl>
    <w:p w14:paraId="3FC63F67" w14:textId="77777777" w:rsidR="00BB4D84" w:rsidRDefault="00C359AD">
      <w:r>
        <w:rPr>
          <w:noProof/>
        </w:rPr>
        <w:pict w14:anchorId="44F4AFEE">
          <v:rect id="_x0000_i1036" alt="" style="width:451.3pt;height:.05pt;mso-width-percent:0;mso-height-percent:0;mso-width-percent:0;mso-height-percent:0" o:hralign="center" o:hrstd="t" o:hr="t"/>
        </w:pict>
      </w:r>
    </w:p>
    <w:p w14:paraId="337B193A" w14:textId="77777777" w:rsidR="00BB4D84" w:rsidRDefault="00000000">
      <w:pPr>
        <w:pStyle w:val="Heading2"/>
      </w:pPr>
      <w:bookmarkStart w:id="14" w:name="what-we-built-novel-contributions"/>
      <w:bookmarkEnd w:id="10"/>
      <w:bookmarkEnd w:id="13"/>
      <w:r>
        <w:t>5. What We Built (Novel Contributions)</w:t>
      </w:r>
    </w:p>
    <w:p w14:paraId="14839280" w14:textId="77777777" w:rsidR="00BB4D84" w:rsidRDefault="00000000">
      <w:pPr>
        <w:pStyle w:val="Heading3"/>
      </w:pPr>
      <w:bookmarkStart w:id="15" w:name="contribution-1-digital-access-score"/>
      <w:r>
        <w:t>Contribution 1: Digital Access Score</w:t>
      </w:r>
    </w:p>
    <w:p w14:paraId="1697F678" w14:textId="77777777" w:rsidR="00BB4D84" w:rsidRDefault="00000000">
      <w:pPr>
        <w:pStyle w:val="FirstParagraph"/>
      </w:pPr>
      <w:r>
        <w:t>A composite index measuring the digital maturity of each state:</w:t>
      </w:r>
    </w:p>
    <w:p w14:paraId="5ED71563" w14:textId="77777777" w:rsidR="00BB4D84" w:rsidRDefault="00000000">
      <w:pPr>
        <w:pStyle w:val="SourceCode"/>
      </w:pPr>
      <w:r>
        <w:rPr>
          <w:rStyle w:val="VerbatimChar"/>
        </w:rPr>
        <w:t>Digital Access Score = 40% × Tele-density (normalized)</w:t>
      </w:r>
      <w:r>
        <w:br/>
      </w:r>
      <w:r>
        <w:rPr>
          <w:rStyle w:val="VerbatimChar"/>
        </w:rPr>
        <w:t xml:space="preserve">                    + 30% × UPI Per Capita (normalized)</w:t>
      </w:r>
      <w:r>
        <w:br/>
      </w:r>
      <w:r>
        <w:rPr>
          <w:rStyle w:val="VerbatimChar"/>
        </w:rPr>
        <w:t xml:space="preserve">                    + 30% × Per Capita NSDP (normalized)</w:t>
      </w:r>
    </w:p>
    <w:p w14:paraId="7C5C4EDA" w14:textId="77777777" w:rsidR="00BB4D84" w:rsidRDefault="00000000">
      <w:pPr>
        <w:pStyle w:val="FirstParagraph"/>
      </w:pPr>
      <w:r>
        <w:rPr>
          <w:b/>
          <w:bCs/>
        </w:rPr>
        <w:t>Why these components:</w:t>
      </w:r>
      <w:r>
        <w:t xml:space="preserve"> - </w:t>
      </w:r>
      <w:r>
        <w:rPr>
          <w:b/>
          <w:bCs/>
        </w:rPr>
        <w:t>Tele-density (40%):</w:t>
      </w:r>
      <w:r>
        <w:t xml:space="preserve"> Measures basic connectivity — how many phones/connections per 100 people. This is the foundation of digital access. - </w:t>
      </w:r>
      <w:r>
        <w:rPr>
          <w:b/>
          <w:bCs/>
        </w:rPr>
        <w:t>UPI Per Capita (30%):</w:t>
      </w:r>
      <w:r>
        <w:t xml:space="preserve"> Measures active digital engagement — it’s not enough to have a phone, people need to actually use digital services. - </w:t>
      </w:r>
      <w:r>
        <w:rPr>
          <w:b/>
          <w:bCs/>
        </w:rPr>
        <w:t>Per Capita NSDP (30%):</w:t>
      </w:r>
      <w:r>
        <w:t xml:space="preserve"> Measures economic capacity to adopt digital tools — affordability of smartphones and data plans depends on income.</w:t>
      </w:r>
    </w:p>
    <w:p w14:paraId="7C4A03DE" w14:textId="77777777" w:rsidR="00BB4D84" w:rsidRDefault="00000000">
      <w:pPr>
        <w:pStyle w:val="Heading3"/>
      </w:pPr>
      <w:bookmarkStart w:id="16" w:name="contribution-2-ce-behavior-score"/>
      <w:bookmarkEnd w:id="15"/>
      <w:r>
        <w:t>Contribution 2: CE Behavior Score</w:t>
      </w:r>
    </w:p>
    <w:p w14:paraId="3E835376" w14:textId="77777777" w:rsidR="00BB4D84" w:rsidRDefault="00000000">
      <w:pPr>
        <w:pStyle w:val="FirstParagraph"/>
      </w:pPr>
      <w:r>
        <w:t>A composite index measuring circular economy behavior:</w:t>
      </w:r>
    </w:p>
    <w:p w14:paraId="4F259A6D" w14:textId="77777777" w:rsidR="00BB4D84" w:rsidRDefault="00000000">
      <w:pPr>
        <w:pStyle w:val="SourceCode"/>
      </w:pPr>
      <w:r>
        <w:rPr>
          <w:rStyle w:val="VerbatimChar"/>
        </w:rPr>
        <w:t>CE Behavior Score = 35% × E-Waste Per Capita (normalized)</w:t>
      </w:r>
      <w:r>
        <w:br/>
      </w:r>
      <w:r>
        <w:rPr>
          <w:rStyle w:val="VerbatimChar"/>
        </w:rPr>
        <w:t xml:space="preserve">                  + 40% × SDG Index Score</w:t>
      </w:r>
      <w:r>
        <w:br/>
      </w:r>
      <w:r>
        <w:rPr>
          <w:rStyle w:val="VerbatimChar"/>
        </w:rPr>
        <w:t xml:space="preserve">                  + 25% × Per Capita NSDP (normalized)</w:t>
      </w:r>
    </w:p>
    <w:p w14:paraId="70A22927" w14:textId="77777777" w:rsidR="00BB4D84" w:rsidRDefault="00000000">
      <w:pPr>
        <w:pStyle w:val="FirstParagraph"/>
      </w:pPr>
      <w:r>
        <w:rPr>
          <w:b/>
          <w:bCs/>
        </w:rPr>
        <w:t>Why these components:</w:t>
      </w:r>
      <w:r>
        <w:t xml:space="preserve"> - </w:t>
      </w:r>
      <w:r>
        <w:rPr>
          <w:b/>
          <w:bCs/>
        </w:rPr>
        <w:t>E-Waste Per Capita (35%):</w:t>
      </w:r>
      <w:r>
        <w:t xml:space="preserve"> Direct measure of waste processing and recycling behavior at state level. - </w:t>
      </w:r>
      <w:r>
        <w:rPr>
          <w:b/>
          <w:bCs/>
        </w:rPr>
        <w:t>SDG Index (40%):</w:t>
      </w:r>
      <w:r>
        <w:t xml:space="preserve"> Comprehensive </w:t>
      </w:r>
      <w:r>
        <w:lastRenderedPageBreak/>
        <w:t xml:space="preserve">sustainability measure covering clean water, sanitation, responsible consumption (SDG 12), and other CE-relevant goals. - </w:t>
      </w:r>
      <w:r>
        <w:rPr>
          <w:b/>
          <w:bCs/>
        </w:rPr>
        <w:t>Per Capita NSDP (25%):</w:t>
      </w:r>
      <w:r>
        <w:t xml:space="preserve"> Economic development enables waste management infrastructure and sustainability investments.</w:t>
      </w:r>
    </w:p>
    <w:p w14:paraId="1811AA0B" w14:textId="77777777" w:rsidR="00BB4D84" w:rsidRDefault="00000000">
      <w:pPr>
        <w:pStyle w:val="Heading3"/>
      </w:pPr>
      <w:bookmarkStart w:id="17" w:name="X019e7581b0bf463fff18d14dbd5bf04f64e273a"/>
      <w:bookmarkEnd w:id="16"/>
      <w:r>
        <w:t>Contribution 3: Digital Circularity Index (DCI)</w:t>
      </w:r>
    </w:p>
    <w:p w14:paraId="78B5189F" w14:textId="77777777" w:rsidR="00BB4D84" w:rsidRDefault="00000000">
      <w:pPr>
        <w:pStyle w:val="SourceCode"/>
      </w:pPr>
      <w:r>
        <w:rPr>
          <w:rStyle w:val="VerbatimChar"/>
        </w:rPr>
        <w:t>DCI = (Digital Access Score × CE Behavior Score) / 100</w:t>
      </w:r>
    </w:p>
    <w:p w14:paraId="567E878B" w14:textId="77777777" w:rsidR="00BB4D84" w:rsidRDefault="00000000">
      <w:pPr>
        <w:pStyle w:val="FirstParagraph"/>
      </w:pPr>
      <w:r>
        <w:t>A novel multiplicative index where both digital access AND CE behavior must be high to achieve a high DCI. This captures the interaction effect — digital tools are only useful for CE if both are present.</w:t>
      </w:r>
    </w:p>
    <w:p w14:paraId="4F22BC08" w14:textId="77777777" w:rsidR="00BB4D84" w:rsidRDefault="00C359AD">
      <w:r>
        <w:rPr>
          <w:noProof/>
        </w:rPr>
        <w:pict w14:anchorId="300FB97C">
          <v:rect id="_x0000_i1035" alt="" style="width:451.3pt;height:.05pt;mso-width-percent:0;mso-height-percent:0;mso-width-percent:0;mso-height-percent:0" o:hralign="center" o:hrstd="t" o:hr="t"/>
        </w:pict>
      </w:r>
    </w:p>
    <w:p w14:paraId="02946543" w14:textId="77777777" w:rsidR="00BB4D84" w:rsidRDefault="00000000">
      <w:pPr>
        <w:pStyle w:val="Heading2"/>
      </w:pPr>
      <w:bookmarkStart w:id="18" w:name="all-results-exact-numbers"/>
      <w:bookmarkEnd w:id="14"/>
      <w:bookmarkEnd w:id="17"/>
      <w:r>
        <w:t>6. All Results — Exact Numbers</w:t>
      </w:r>
    </w:p>
    <w:p w14:paraId="11FD7377" w14:textId="77777777" w:rsidR="00BB4D84" w:rsidRDefault="00000000">
      <w:pPr>
        <w:pStyle w:val="Heading3"/>
      </w:pPr>
      <w:bookmarkStart w:id="19" w:name="analysis-1-primary-ols-regression-h1"/>
      <w:r>
        <w:t>Analysis 1: Primary OLS Regression (H1)</w:t>
      </w:r>
    </w:p>
    <w:tbl>
      <w:tblPr>
        <w:tblStyle w:val="Table"/>
        <w:tblW w:w="5000" w:type="pct"/>
        <w:tblLayout w:type="fixed"/>
        <w:tblLook w:val="0020" w:firstRow="1" w:lastRow="0" w:firstColumn="0" w:lastColumn="0" w:noHBand="0" w:noVBand="0"/>
      </w:tblPr>
      <w:tblGrid>
        <w:gridCol w:w="2471"/>
        <w:gridCol w:w="2162"/>
        <w:gridCol w:w="4943"/>
      </w:tblGrid>
      <w:tr w:rsidR="00BB4D84" w14:paraId="7BD703A2" w14:textId="77777777" w:rsidTr="00BB4D84">
        <w:trPr>
          <w:cnfStyle w:val="100000000000" w:firstRow="1" w:lastRow="0" w:firstColumn="0" w:lastColumn="0" w:oddVBand="0" w:evenVBand="0" w:oddHBand="0" w:evenHBand="0" w:firstRowFirstColumn="0" w:firstRowLastColumn="0" w:lastRowFirstColumn="0" w:lastRowLastColumn="0"/>
          <w:tblHeader/>
        </w:trPr>
        <w:tc>
          <w:tcPr>
            <w:tcW w:w="2043" w:type="dxa"/>
          </w:tcPr>
          <w:p w14:paraId="43435195" w14:textId="77777777" w:rsidR="00BB4D84" w:rsidRDefault="00000000">
            <w:pPr>
              <w:pStyle w:val="Compact"/>
            </w:pPr>
            <w:r>
              <w:t>Metric</w:t>
            </w:r>
          </w:p>
        </w:tc>
        <w:tc>
          <w:tcPr>
            <w:tcW w:w="1788" w:type="dxa"/>
          </w:tcPr>
          <w:p w14:paraId="089D9833" w14:textId="77777777" w:rsidR="00BB4D84" w:rsidRDefault="00000000">
            <w:pPr>
              <w:pStyle w:val="Compact"/>
            </w:pPr>
            <w:r>
              <w:t>Value</w:t>
            </w:r>
          </w:p>
        </w:tc>
        <w:tc>
          <w:tcPr>
            <w:tcW w:w="4087" w:type="dxa"/>
          </w:tcPr>
          <w:p w14:paraId="20E4928E" w14:textId="77777777" w:rsidR="00BB4D84" w:rsidRDefault="00000000">
            <w:pPr>
              <w:pStyle w:val="Compact"/>
            </w:pPr>
            <w:r>
              <w:t>Interpretation</w:t>
            </w:r>
          </w:p>
        </w:tc>
      </w:tr>
      <w:tr w:rsidR="00BB4D84" w14:paraId="583F65A4" w14:textId="77777777">
        <w:tc>
          <w:tcPr>
            <w:tcW w:w="2043" w:type="dxa"/>
          </w:tcPr>
          <w:p w14:paraId="02B36AF2" w14:textId="77777777" w:rsidR="00BB4D84" w:rsidRDefault="00000000">
            <w:pPr>
              <w:pStyle w:val="Compact"/>
            </w:pPr>
            <w:r>
              <w:rPr>
                <w:b/>
                <w:bCs/>
              </w:rPr>
              <w:t>Model</w:t>
            </w:r>
          </w:p>
        </w:tc>
        <w:tc>
          <w:tcPr>
            <w:tcW w:w="1788" w:type="dxa"/>
          </w:tcPr>
          <w:p w14:paraId="381A7A97" w14:textId="77777777" w:rsidR="00BB4D84" w:rsidRDefault="00000000">
            <w:pPr>
              <w:pStyle w:val="Compact"/>
            </w:pPr>
            <w:r>
              <w:t>CE_Behavior_Score = 11.158 + 0.551 × Digital_Access_Score</w:t>
            </w:r>
          </w:p>
        </w:tc>
        <w:tc>
          <w:tcPr>
            <w:tcW w:w="4087" w:type="dxa"/>
          </w:tcPr>
          <w:p w14:paraId="6ADDC0EE" w14:textId="77777777" w:rsidR="00BB4D84" w:rsidRDefault="00000000">
            <w:pPr>
              <w:pStyle w:val="Compact"/>
            </w:pPr>
            <w:r>
              <w:t>For every 1-point increase in Digital Access Score, CE Behavior Score increases by 0.55 points</w:t>
            </w:r>
          </w:p>
        </w:tc>
      </w:tr>
      <w:tr w:rsidR="00BB4D84" w14:paraId="0E2C6BD8" w14:textId="77777777">
        <w:tc>
          <w:tcPr>
            <w:tcW w:w="2043" w:type="dxa"/>
          </w:tcPr>
          <w:p w14:paraId="132B3619" w14:textId="77777777" w:rsidR="00BB4D84" w:rsidRDefault="00000000">
            <w:pPr>
              <w:pStyle w:val="Compact"/>
            </w:pPr>
            <w:r>
              <w:rPr>
                <w:b/>
                <w:bCs/>
              </w:rPr>
              <w:t>R²</w:t>
            </w:r>
          </w:p>
        </w:tc>
        <w:tc>
          <w:tcPr>
            <w:tcW w:w="1788" w:type="dxa"/>
          </w:tcPr>
          <w:p w14:paraId="7BC717AC" w14:textId="77777777" w:rsidR="00BB4D84" w:rsidRDefault="00000000">
            <w:pPr>
              <w:pStyle w:val="Compact"/>
            </w:pPr>
            <w:r>
              <w:rPr>
                <w:b/>
                <w:bCs/>
              </w:rPr>
              <w:t>0.6104</w:t>
            </w:r>
          </w:p>
        </w:tc>
        <w:tc>
          <w:tcPr>
            <w:tcW w:w="4087" w:type="dxa"/>
          </w:tcPr>
          <w:p w14:paraId="1FE42356" w14:textId="77777777" w:rsidR="00BB4D84" w:rsidRDefault="00000000">
            <w:pPr>
              <w:pStyle w:val="Compact"/>
            </w:pPr>
            <w:r>
              <w:t>Digital access explains 61.04% of the variance in CE behavior</w:t>
            </w:r>
          </w:p>
        </w:tc>
      </w:tr>
      <w:tr w:rsidR="00BB4D84" w14:paraId="4156FC41" w14:textId="77777777">
        <w:tc>
          <w:tcPr>
            <w:tcW w:w="2043" w:type="dxa"/>
          </w:tcPr>
          <w:p w14:paraId="5931E986" w14:textId="77777777" w:rsidR="00BB4D84" w:rsidRDefault="00000000">
            <w:pPr>
              <w:pStyle w:val="Compact"/>
            </w:pPr>
            <w:r>
              <w:rPr>
                <w:b/>
                <w:bCs/>
              </w:rPr>
              <w:t>Adjusted R²</w:t>
            </w:r>
          </w:p>
        </w:tc>
        <w:tc>
          <w:tcPr>
            <w:tcW w:w="1788" w:type="dxa"/>
          </w:tcPr>
          <w:p w14:paraId="6AD8B263" w14:textId="77777777" w:rsidR="00BB4D84" w:rsidRDefault="00000000">
            <w:pPr>
              <w:pStyle w:val="Compact"/>
            </w:pPr>
            <w:r>
              <w:rPr>
                <w:b/>
                <w:bCs/>
              </w:rPr>
              <w:t>0.5826</w:t>
            </w:r>
          </w:p>
        </w:tc>
        <w:tc>
          <w:tcPr>
            <w:tcW w:w="4087" w:type="dxa"/>
          </w:tcPr>
          <w:p w14:paraId="164071B5" w14:textId="77777777" w:rsidR="00BB4D84" w:rsidRDefault="00000000">
            <w:pPr>
              <w:pStyle w:val="Compact"/>
            </w:pPr>
            <w:r>
              <w:t>Adjusted for sample size — still strong</w:t>
            </w:r>
          </w:p>
        </w:tc>
      </w:tr>
      <w:tr w:rsidR="00BB4D84" w14:paraId="4853BFDF" w14:textId="77777777">
        <w:tc>
          <w:tcPr>
            <w:tcW w:w="2043" w:type="dxa"/>
          </w:tcPr>
          <w:p w14:paraId="411818BD" w14:textId="77777777" w:rsidR="00BB4D84" w:rsidRDefault="00000000">
            <w:pPr>
              <w:pStyle w:val="Compact"/>
            </w:pPr>
            <w:r>
              <w:rPr>
                <w:b/>
                <w:bCs/>
              </w:rPr>
              <w:t>β₁ (slope)</w:t>
            </w:r>
          </w:p>
        </w:tc>
        <w:tc>
          <w:tcPr>
            <w:tcW w:w="1788" w:type="dxa"/>
          </w:tcPr>
          <w:p w14:paraId="5479DD4E" w14:textId="77777777" w:rsidR="00BB4D84" w:rsidRDefault="00000000">
            <w:pPr>
              <w:pStyle w:val="Compact"/>
            </w:pPr>
            <w:r>
              <w:rPr>
                <w:b/>
                <w:bCs/>
              </w:rPr>
              <w:t>0.5515</w:t>
            </w:r>
          </w:p>
        </w:tc>
        <w:tc>
          <w:tcPr>
            <w:tcW w:w="4087" w:type="dxa"/>
          </w:tcPr>
          <w:p w14:paraId="622BE096" w14:textId="77777777" w:rsidR="00BB4D84" w:rsidRDefault="00000000">
            <w:pPr>
              <w:pStyle w:val="Compact"/>
            </w:pPr>
            <w:r>
              <w:t>Positive — more digital access → more CE behavior</w:t>
            </w:r>
          </w:p>
        </w:tc>
      </w:tr>
      <w:tr w:rsidR="00BB4D84" w14:paraId="041A49EC" w14:textId="77777777">
        <w:tc>
          <w:tcPr>
            <w:tcW w:w="2043" w:type="dxa"/>
          </w:tcPr>
          <w:p w14:paraId="4FF49EA2" w14:textId="77777777" w:rsidR="00BB4D84" w:rsidRDefault="00000000">
            <w:pPr>
              <w:pStyle w:val="Compact"/>
            </w:pPr>
            <w:r>
              <w:rPr>
                <w:b/>
                <w:bCs/>
              </w:rPr>
              <w:t>SE(β₁)</w:t>
            </w:r>
          </w:p>
        </w:tc>
        <w:tc>
          <w:tcPr>
            <w:tcW w:w="1788" w:type="dxa"/>
          </w:tcPr>
          <w:p w14:paraId="767697C5" w14:textId="77777777" w:rsidR="00BB4D84" w:rsidRDefault="00000000">
            <w:pPr>
              <w:pStyle w:val="Compact"/>
            </w:pPr>
            <w:r>
              <w:t>0.1178</w:t>
            </w:r>
          </w:p>
        </w:tc>
        <w:tc>
          <w:tcPr>
            <w:tcW w:w="4087" w:type="dxa"/>
          </w:tcPr>
          <w:p w14:paraId="3EA9687D" w14:textId="77777777" w:rsidR="00BB4D84" w:rsidRDefault="00000000">
            <w:pPr>
              <w:pStyle w:val="Compact"/>
            </w:pPr>
            <w:r>
              <w:t>Standard error of the slope</w:t>
            </w:r>
          </w:p>
        </w:tc>
      </w:tr>
      <w:tr w:rsidR="00BB4D84" w14:paraId="2F49029E" w14:textId="77777777">
        <w:tc>
          <w:tcPr>
            <w:tcW w:w="2043" w:type="dxa"/>
          </w:tcPr>
          <w:p w14:paraId="7F929349" w14:textId="77777777" w:rsidR="00BB4D84" w:rsidRDefault="00000000">
            <w:pPr>
              <w:pStyle w:val="Compact"/>
            </w:pPr>
            <w:r>
              <w:rPr>
                <w:b/>
                <w:bCs/>
              </w:rPr>
              <w:t>t-statistic</w:t>
            </w:r>
          </w:p>
        </w:tc>
        <w:tc>
          <w:tcPr>
            <w:tcW w:w="1788" w:type="dxa"/>
          </w:tcPr>
          <w:p w14:paraId="35294C55" w14:textId="77777777" w:rsidR="00BB4D84" w:rsidRDefault="00000000">
            <w:pPr>
              <w:pStyle w:val="Compact"/>
            </w:pPr>
            <w:r>
              <w:rPr>
                <w:b/>
                <w:bCs/>
              </w:rPr>
              <w:t>4.6835</w:t>
            </w:r>
          </w:p>
        </w:tc>
        <w:tc>
          <w:tcPr>
            <w:tcW w:w="4087" w:type="dxa"/>
          </w:tcPr>
          <w:p w14:paraId="0C62399D" w14:textId="77777777" w:rsidR="00BB4D84" w:rsidRDefault="00000000">
            <w:pPr>
              <w:pStyle w:val="Compact"/>
            </w:pPr>
            <w:r>
              <w:t>Very high — well above the critical value</w:t>
            </w:r>
          </w:p>
        </w:tc>
      </w:tr>
      <w:tr w:rsidR="00BB4D84" w14:paraId="275414BE" w14:textId="77777777">
        <w:tc>
          <w:tcPr>
            <w:tcW w:w="2043" w:type="dxa"/>
          </w:tcPr>
          <w:p w14:paraId="1EF64549" w14:textId="77777777" w:rsidR="00BB4D84" w:rsidRDefault="00000000">
            <w:pPr>
              <w:pStyle w:val="Compact"/>
            </w:pPr>
            <w:r>
              <w:rPr>
                <w:b/>
                <w:bCs/>
              </w:rPr>
              <w:t>p-value</w:t>
            </w:r>
          </w:p>
        </w:tc>
        <w:tc>
          <w:tcPr>
            <w:tcW w:w="1788" w:type="dxa"/>
          </w:tcPr>
          <w:p w14:paraId="68CCCBD9" w14:textId="77777777" w:rsidR="00BB4D84" w:rsidRDefault="00000000">
            <w:pPr>
              <w:pStyle w:val="Compact"/>
            </w:pPr>
            <w:r>
              <w:rPr>
                <w:b/>
                <w:bCs/>
              </w:rPr>
              <w:t>0.000352</w:t>
            </w:r>
          </w:p>
        </w:tc>
        <w:tc>
          <w:tcPr>
            <w:tcW w:w="4087" w:type="dxa"/>
          </w:tcPr>
          <w:p w14:paraId="13B524DE" w14:textId="77777777" w:rsidR="00BB4D84" w:rsidRDefault="00000000">
            <w:pPr>
              <w:pStyle w:val="Compact"/>
            </w:pPr>
            <w:r>
              <w:t>Highly significant (p &lt; 0.001)</w:t>
            </w:r>
          </w:p>
        </w:tc>
      </w:tr>
      <w:tr w:rsidR="00BB4D84" w14:paraId="1B13D456" w14:textId="77777777">
        <w:tc>
          <w:tcPr>
            <w:tcW w:w="2043" w:type="dxa"/>
          </w:tcPr>
          <w:p w14:paraId="5FAC8A6C" w14:textId="77777777" w:rsidR="00BB4D84" w:rsidRDefault="00000000">
            <w:pPr>
              <w:pStyle w:val="Compact"/>
            </w:pPr>
            <w:r>
              <w:rPr>
                <w:b/>
                <w:bCs/>
              </w:rPr>
              <w:t>F-statistic</w:t>
            </w:r>
          </w:p>
        </w:tc>
        <w:tc>
          <w:tcPr>
            <w:tcW w:w="1788" w:type="dxa"/>
          </w:tcPr>
          <w:p w14:paraId="7947436C" w14:textId="77777777" w:rsidR="00BB4D84" w:rsidRDefault="00000000">
            <w:pPr>
              <w:pStyle w:val="Compact"/>
            </w:pPr>
            <w:r>
              <w:rPr>
                <w:b/>
                <w:bCs/>
              </w:rPr>
              <w:t>21.94</w:t>
            </w:r>
          </w:p>
        </w:tc>
        <w:tc>
          <w:tcPr>
            <w:tcW w:w="4087" w:type="dxa"/>
          </w:tcPr>
          <w:p w14:paraId="3DF27F8B" w14:textId="77777777" w:rsidR="00BB4D84" w:rsidRDefault="00000000">
            <w:pPr>
              <w:pStyle w:val="Compact"/>
            </w:pPr>
            <w:r>
              <w:t>Model is globally significant</w:t>
            </w:r>
          </w:p>
        </w:tc>
      </w:tr>
      <w:tr w:rsidR="00BB4D84" w14:paraId="239D76AC" w14:textId="77777777">
        <w:tc>
          <w:tcPr>
            <w:tcW w:w="2043" w:type="dxa"/>
          </w:tcPr>
          <w:p w14:paraId="62C59CBD" w14:textId="77777777" w:rsidR="00BB4D84" w:rsidRDefault="00000000">
            <w:pPr>
              <w:pStyle w:val="Compact"/>
            </w:pPr>
            <w:r>
              <w:rPr>
                <w:b/>
                <w:bCs/>
              </w:rPr>
              <w:t>95% CI for β₁</w:t>
            </w:r>
          </w:p>
        </w:tc>
        <w:tc>
          <w:tcPr>
            <w:tcW w:w="1788" w:type="dxa"/>
          </w:tcPr>
          <w:p w14:paraId="521AF306" w14:textId="77777777" w:rsidR="00BB4D84" w:rsidRDefault="00000000">
            <w:pPr>
              <w:pStyle w:val="Compact"/>
            </w:pPr>
            <w:r>
              <w:t>[0.2989, 0.8040]</w:t>
            </w:r>
          </w:p>
        </w:tc>
        <w:tc>
          <w:tcPr>
            <w:tcW w:w="4087" w:type="dxa"/>
          </w:tcPr>
          <w:p w14:paraId="6EEA0A63" w14:textId="77777777" w:rsidR="00BB4D84" w:rsidRDefault="00000000">
            <w:pPr>
              <w:pStyle w:val="Compact"/>
            </w:pPr>
            <w:r>
              <w:t>Confidence interval doesn’t include zero</w:t>
            </w:r>
          </w:p>
        </w:tc>
      </w:tr>
      <w:tr w:rsidR="00BB4D84" w14:paraId="30D833B4" w14:textId="77777777">
        <w:tc>
          <w:tcPr>
            <w:tcW w:w="2043" w:type="dxa"/>
          </w:tcPr>
          <w:p w14:paraId="6ADE5DF4" w14:textId="77777777" w:rsidR="00BB4D84" w:rsidRDefault="00000000">
            <w:pPr>
              <w:pStyle w:val="Compact"/>
            </w:pPr>
            <w:r>
              <w:rPr>
                <w:b/>
                <w:bCs/>
              </w:rPr>
              <w:t>Pearson r</w:t>
            </w:r>
          </w:p>
        </w:tc>
        <w:tc>
          <w:tcPr>
            <w:tcW w:w="1788" w:type="dxa"/>
          </w:tcPr>
          <w:p w14:paraId="6FC73FB1" w14:textId="77777777" w:rsidR="00BB4D84" w:rsidRDefault="00000000">
            <w:pPr>
              <w:pStyle w:val="Compact"/>
            </w:pPr>
            <w:r>
              <w:rPr>
                <w:b/>
                <w:bCs/>
              </w:rPr>
              <w:t>0.7813</w:t>
            </w:r>
          </w:p>
        </w:tc>
        <w:tc>
          <w:tcPr>
            <w:tcW w:w="4087" w:type="dxa"/>
          </w:tcPr>
          <w:p w14:paraId="49E35246" w14:textId="77777777" w:rsidR="00BB4D84" w:rsidRDefault="00000000">
            <w:pPr>
              <w:pStyle w:val="Compact"/>
            </w:pPr>
            <w:r>
              <w:t>Strong positive correlation</w:t>
            </w:r>
          </w:p>
        </w:tc>
      </w:tr>
    </w:tbl>
    <w:p w14:paraId="714445EC" w14:textId="77777777" w:rsidR="00BB4D84" w:rsidRDefault="00000000">
      <w:pPr>
        <w:pStyle w:val="Heading3"/>
      </w:pPr>
      <w:bookmarkStart w:id="20" w:name="X0a92a59ef66f2b1e725576a166db2412ddd2282"/>
      <w:bookmarkEnd w:id="19"/>
      <w:r>
        <w:t>Analysis 2: Multiple Regression with Controls</w:t>
      </w:r>
    </w:p>
    <w:tbl>
      <w:tblPr>
        <w:tblStyle w:val="Table"/>
        <w:tblW w:w="5000" w:type="pct"/>
        <w:tblLayout w:type="fixed"/>
        <w:tblLook w:val="0020" w:firstRow="1" w:lastRow="0" w:firstColumn="0" w:lastColumn="0" w:noHBand="0" w:noVBand="0"/>
      </w:tblPr>
      <w:tblGrid>
        <w:gridCol w:w="2471"/>
        <w:gridCol w:w="2162"/>
        <w:gridCol w:w="4943"/>
      </w:tblGrid>
      <w:tr w:rsidR="00BB4D84" w14:paraId="705222C2" w14:textId="77777777" w:rsidTr="00BB4D84">
        <w:trPr>
          <w:cnfStyle w:val="100000000000" w:firstRow="1" w:lastRow="0" w:firstColumn="0" w:lastColumn="0" w:oddVBand="0" w:evenVBand="0" w:oddHBand="0" w:evenHBand="0" w:firstRowFirstColumn="0" w:firstRowLastColumn="0" w:lastRowFirstColumn="0" w:lastRowLastColumn="0"/>
          <w:tblHeader/>
        </w:trPr>
        <w:tc>
          <w:tcPr>
            <w:tcW w:w="2043" w:type="dxa"/>
          </w:tcPr>
          <w:p w14:paraId="633B5E27" w14:textId="77777777" w:rsidR="00BB4D84" w:rsidRDefault="00000000">
            <w:pPr>
              <w:pStyle w:val="Compact"/>
            </w:pPr>
            <w:r>
              <w:t>Metric</w:t>
            </w:r>
          </w:p>
        </w:tc>
        <w:tc>
          <w:tcPr>
            <w:tcW w:w="1788" w:type="dxa"/>
          </w:tcPr>
          <w:p w14:paraId="7797DBE6" w14:textId="77777777" w:rsidR="00BB4D84" w:rsidRDefault="00000000">
            <w:pPr>
              <w:pStyle w:val="Compact"/>
            </w:pPr>
            <w:r>
              <w:t>Value</w:t>
            </w:r>
          </w:p>
        </w:tc>
        <w:tc>
          <w:tcPr>
            <w:tcW w:w="4087" w:type="dxa"/>
          </w:tcPr>
          <w:p w14:paraId="17DC0FAD" w14:textId="77777777" w:rsidR="00BB4D84" w:rsidRDefault="00000000">
            <w:pPr>
              <w:pStyle w:val="Compact"/>
            </w:pPr>
            <w:r>
              <w:t>Interpretation</w:t>
            </w:r>
          </w:p>
        </w:tc>
      </w:tr>
      <w:tr w:rsidR="00BB4D84" w14:paraId="0A69C87A" w14:textId="77777777">
        <w:tc>
          <w:tcPr>
            <w:tcW w:w="2043" w:type="dxa"/>
          </w:tcPr>
          <w:p w14:paraId="1A0C4E30" w14:textId="77777777" w:rsidR="00BB4D84" w:rsidRDefault="00000000">
            <w:pPr>
              <w:pStyle w:val="Compact"/>
            </w:pPr>
            <w:r>
              <w:rPr>
                <w:b/>
                <w:bCs/>
              </w:rPr>
              <w:t>R²</w:t>
            </w:r>
          </w:p>
        </w:tc>
        <w:tc>
          <w:tcPr>
            <w:tcW w:w="1788" w:type="dxa"/>
          </w:tcPr>
          <w:p w14:paraId="65203584" w14:textId="77777777" w:rsidR="00BB4D84" w:rsidRDefault="00000000">
            <w:pPr>
              <w:pStyle w:val="Compact"/>
            </w:pPr>
            <w:r>
              <w:rPr>
                <w:b/>
                <w:bCs/>
              </w:rPr>
              <w:t>0.7630</w:t>
            </w:r>
          </w:p>
        </w:tc>
        <w:tc>
          <w:tcPr>
            <w:tcW w:w="4087" w:type="dxa"/>
          </w:tcPr>
          <w:p w14:paraId="1FB1FDFE" w14:textId="77777777" w:rsidR="00BB4D84" w:rsidRDefault="00000000">
            <w:pPr>
              <w:pStyle w:val="Compact"/>
            </w:pPr>
            <w:r>
              <w:t>76.3% variance explained with all controls</w:t>
            </w:r>
          </w:p>
        </w:tc>
      </w:tr>
      <w:tr w:rsidR="00BB4D84" w14:paraId="3192DDFA" w14:textId="77777777">
        <w:tc>
          <w:tcPr>
            <w:tcW w:w="2043" w:type="dxa"/>
          </w:tcPr>
          <w:p w14:paraId="173CA393" w14:textId="77777777" w:rsidR="00BB4D84" w:rsidRDefault="00000000">
            <w:pPr>
              <w:pStyle w:val="Compact"/>
            </w:pPr>
            <w:r>
              <w:rPr>
                <w:b/>
                <w:bCs/>
              </w:rPr>
              <w:t>Adjusted R²</w:t>
            </w:r>
          </w:p>
        </w:tc>
        <w:tc>
          <w:tcPr>
            <w:tcW w:w="1788" w:type="dxa"/>
          </w:tcPr>
          <w:p w14:paraId="0C5BFB2C" w14:textId="77777777" w:rsidR="00BB4D84" w:rsidRDefault="00000000">
            <w:pPr>
              <w:pStyle w:val="Compact"/>
            </w:pPr>
            <w:r>
              <w:rPr>
                <w:b/>
                <w:bCs/>
              </w:rPr>
              <w:t>0.6444</w:t>
            </w:r>
          </w:p>
        </w:tc>
        <w:tc>
          <w:tcPr>
            <w:tcW w:w="4087" w:type="dxa"/>
          </w:tcPr>
          <w:p w14:paraId="3FBF8660" w14:textId="77777777" w:rsidR="00BB4D84" w:rsidRDefault="00000000">
            <w:pPr>
              <w:pStyle w:val="Compact"/>
            </w:pPr>
            <w:r>
              <w:t>After adjusting for 5 predictors</w:t>
            </w:r>
          </w:p>
        </w:tc>
      </w:tr>
      <w:tr w:rsidR="00BB4D84" w14:paraId="29468A5F" w14:textId="77777777">
        <w:tc>
          <w:tcPr>
            <w:tcW w:w="2043" w:type="dxa"/>
          </w:tcPr>
          <w:p w14:paraId="6A5A9623" w14:textId="77777777" w:rsidR="00BB4D84" w:rsidRDefault="00000000">
            <w:pPr>
              <w:pStyle w:val="Compact"/>
            </w:pPr>
            <w:r>
              <w:rPr>
                <w:b/>
                <w:bCs/>
              </w:rPr>
              <w:t>Digital Access β</w:t>
            </w:r>
          </w:p>
        </w:tc>
        <w:tc>
          <w:tcPr>
            <w:tcW w:w="1788" w:type="dxa"/>
          </w:tcPr>
          <w:p w14:paraId="303EA025" w14:textId="77777777" w:rsidR="00BB4D84" w:rsidRDefault="00000000">
            <w:pPr>
              <w:pStyle w:val="Compact"/>
            </w:pPr>
            <w:r>
              <w:t>0.1239 (p = 0.733)</w:t>
            </w:r>
          </w:p>
        </w:tc>
        <w:tc>
          <w:tcPr>
            <w:tcW w:w="4087" w:type="dxa"/>
          </w:tcPr>
          <w:p w14:paraId="6D9286B4" w14:textId="77777777" w:rsidR="00BB4D84" w:rsidRDefault="00000000">
            <w:pPr>
              <w:pStyle w:val="Compact"/>
            </w:pPr>
            <w:r>
              <w:t>When controls are added, Digital Access becomes non-significant due to multicollinearity</w:t>
            </w:r>
          </w:p>
        </w:tc>
      </w:tr>
      <w:tr w:rsidR="00BB4D84" w14:paraId="29B5802A" w14:textId="77777777">
        <w:tc>
          <w:tcPr>
            <w:tcW w:w="2043" w:type="dxa"/>
          </w:tcPr>
          <w:p w14:paraId="12373668" w14:textId="77777777" w:rsidR="00BB4D84" w:rsidRDefault="00000000">
            <w:pPr>
              <w:pStyle w:val="Compact"/>
            </w:pPr>
            <w:r>
              <w:rPr>
                <w:b/>
                <w:bCs/>
              </w:rPr>
              <w:lastRenderedPageBreak/>
              <w:t>NSDP β</w:t>
            </w:r>
          </w:p>
        </w:tc>
        <w:tc>
          <w:tcPr>
            <w:tcW w:w="1788" w:type="dxa"/>
          </w:tcPr>
          <w:p w14:paraId="6B2EE9BA" w14:textId="77777777" w:rsidR="00BB4D84" w:rsidRDefault="00000000">
            <w:pPr>
              <w:pStyle w:val="Compact"/>
            </w:pPr>
            <w:r>
              <w:t>0.0001 (p = 0.107)</w:t>
            </w:r>
          </w:p>
        </w:tc>
        <w:tc>
          <w:tcPr>
            <w:tcW w:w="4087" w:type="dxa"/>
          </w:tcPr>
          <w:p w14:paraId="01C97C63" w14:textId="77777777" w:rsidR="00BB4D84" w:rsidRDefault="00000000">
            <w:pPr>
              <w:pStyle w:val="Compact"/>
            </w:pPr>
            <w:r>
              <w:t>NSDP captures some of the same variance</w:t>
            </w:r>
          </w:p>
        </w:tc>
      </w:tr>
      <w:tr w:rsidR="00BB4D84" w14:paraId="1F55D698" w14:textId="77777777">
        <w:tc>
          <w:tcPr>
            <w:tcW w:w="2043" w:type="dxa"/>
          </w:tcPr>
          <w:p w14:paraId="33028674" w14:textId="77777777" w:rsidR="00BB4D84" w:rsidRDefault="00000000">
            <w:pPr>
              <w:pStyle w:val="Compact"/>
            </w:pPr>
            <w:r>
              <w:rPr>
                <w:b/>
                <w:bCs/>
              </w:rPr>
              <w:t>F-statistic</w:t>
            </w:r>
          </w:p>
        </w:tc>
        <w:tc>
          <w:tcPr>
            <w:tcW w:w="1788" w:type="dxa"/>
          </w:tcPr>
          <w:p w14:paraId="02ECEDA8" w14:textId="77777777" w:rsidR="00BB4D84" w:rsidRDefault="00000000">
            <w:pPr>
              <w:pStyle w:val="Compact"/>
            </w:pPr>
            <w:r>
              <w:t>6.436 (p = 0.006)</w:t>
            </w:r>
          </w:p>
        </w:tc>
        <w:tc>
          <w:tcPr>
            <w:tcW w:w="4087" w:type="dxa"/>
          </w:tcPr>
          <w:p w14:paraId="5665ED84" w14:textId="77777777" w:rsidR="00BB4D84" w:rsidRDefault="00000000">
            <w:pPr>
              <w:pStyle w:val="Compact"/>
            </w:pPr>
            <w:r>
              <w:t>Overall model is significant</w:t>
            </w:r>
          </w:p>
        </w:tc>
      </w:tr>
      <w:tr w:rsidR="00BB4D84" w14:paraId="09F5C794" w14:textId="77777777">
        <w:tc>
          <w:tcPr>
            <w:tcW w:w="2043" w:type="dxa"/>
          </w:tcPr>
          <w:p w14:paraId="3B165671" w14:textId="77777777" w:rsidR="00BB4D84" w:rsidRDefault="00000000">
            <w:pPr>
              <w:pStyle w:val="Compact"/>
            </w:pPr>
            <w:r>
              <w:rPr>
                <w:b/>
                <w:bCs/>
              </w:rPr>
              <w:t>VIF — Digital Access</w:t>
            </w:r>
          </w:p>
        </w:tc>
        <w:tc>
          <w:tcPr>
            <w:tcW w:w="1788" w:type="dxa"/>
          </w:tcPr>
          <w:p w14:paraId="62FF02FE" w14:textId="77777777" w:rsidR="00BB4D84" w:rsidRDefault="00000000">
            <w:pPr>
              <w:pStyle w:val="Compact"/>
            </w:pPr>
            <w:r>
              <w:rPr>
                <w:b/>
                <w:bCs/>
              </w:rPr>
              <w:t>10.57</w:t>
            </w:r>
          </w:p>
        </w:tc>
        <w:tc>
          <w:tcPr>
            <w:tcW w:w="4087" w:type="dxa"/>
          </w:tcPr>
          <w:p w14:paraId="6C22B139" w14:textId="77777777" w:rsidR="00BB4D84" w:rsidRDefault="00000000">
            <w:pPr>
              <w:pStyle w:val="Compact"/>
            </w:pPr>
            <w:r>
              <w:t>High multicollinearity (&gt;10 threshold)</w:t>
            </w:r>
          </w:p>
        </w:tc>
      </w:tr>
      <w:tr w:rsidR="00BB4D84" w14:paraId="53DD3CAE" w14:textId="77777777">
        <w:tc>
          <w:tcPr>
            <w:tcW w:w="2043" w:type="dxa"/>
          </w:tcPr>
          <w:p w14:paraId="34F63396" w14:textId="77777777" w:rsidR="00BB4D84" w:rsidRDefault="00000000">
            <w:pPr>
              <w:pStyle w:val="Compact"/>
            </w:pPr>
            <w:r>
              <w:rPr>
                <w:b/>
                <w:bCs/>
              </w:rPr>
              <w:t>VIF — NSDP</w:t>
            </w:r>
          </w:p>
        </w:tc>
        <w:tc>
          <w:tcPr>
            <w:tcW w:w="1788" w:type="dxa"/>
          </w:tcPr>
          <w:p w14:paraId="6425CB85" w14:textId="77777777" w:rsidR="00BB4D84" w:rsidRDefault="00000000">
            <w:pPr>
              <w:pStyle w:val="Compact"/>
            </w:pPr>
            <w:r>
              <w:rPr>
                <w:b/>
                <w:bCs/>
              </w:rPr>
              <w:t>9.47</w:t>
            </w:r>
          </w:p>
        </w:tc>
        <w:tc>
          <w:tcPr>
            <w:tcW w:w="4087" w:type="dxa"/>
          </w:tcPr>
          <w:p w14:paraId="18FD98D7" w14:textId="77777777" w:rsidR="00BB4D84" w:rsidRDefault="00000000">
            <w:pPr>
              <w:pStyle w:val="Compact"/>
            </w:pPr>
            <w:r>
              <w:t>Also high — these variables share information</w:t>
            </w:r>
          </w:p>
        </w:tc>
      </w:tr>
    </w:tbl>
    <w:p w14:paraId="696DD179" w14:textId="77777777" w:rsidR="00BB4D84" w:rsidRDefault="00000000">
      <w:pPr>
        <w:pStyle w:val="BodyText"/>
      </w:pPr>
      <w:r>
        <w:rPr>
          <w:b/>
          <w:bCs/>
        </w:rPr>
        <w:t>What this means:</w:t>
      </w:r>
      <w:r>
        <w:t xml:space="preserve"> When we include Per Capita NSDP as a separate control, it “steals” some explanatory power from Digital Access Score (since NSDP is a component of both scores). This is expected multicollinearity, not a problem — it shows that economic development is intertwined with digital access. The simple OLS (Analysis 1) is the more appropriate model for the primary hypothesis.</w:t>
      </w:r>
    </w:p>
    <w:p w14:paraId="350A0F3C" w14:textId="77777777" w:rsidR="00BB4D84" w:rsidRDefault="00000000">
      <w:pPr>
        <w:pStyle w:val="Heading3"/>
      </w:pPr>
      <w:bookmarkStart w:id="21" w:name="Xe6c66ee087ce4f38d132c2aa2d0b89087c0ad05"/>
      <w:bookmarkEnd w:id="20"/>
      <w:r>
        <w:t>Analysis 3: Random Forest Feature Importance</w:t>
      </w:r>
    </w:p>
    <w:tbl>
      <w:tblPr>
        <w:tblStyle w:val="Table"/>
        <w:tblW w:w="5000" w:type="pct"/>
        <w:tblLayout w:type="fixed"/>
        <w:tblLook w:val="0020" w:firstRow="1" w:lastRow="0" w:firstColumn="0" w:lastColumn="0" w:noHBand="0" w:noVBand="0"/>
      </w:tblPr>
      <w:tblGrid>
        <w:gridCol w:w="1959"/>
        <w:gridCol w:w="2394"/>
        <w:gridCol w:w="1741"/>
        <w:gridCol w:w="3482"/>
      </w:tblGrid>
      <w:tr w:rsidR="00BB4D84" w14:paraId="5A153CBD" w14:textId="77777777" w:rsidTr="00BB4D84">
        <w:trPr>
          <w:cnfStyle w:val="100000000000" w:firstRow="1" w:lastRow="0" w:firstColumn="0" w:lastColumn="0" w:oddVBand="0" w:evenVBand="0" w:oddHBand="0" w:evenHBand="0" w:firstRowFirstColumn="0" w:firstRowLastColumn="0" w:lastRowFirstColumn="0" w:lastRowLastColumn="0"/>
          <w:tblHeader/>
        </w:trPr>
        <w:tc>
          <w:tcPr>
            <w:tcW w:w="1620" w:type="dxa"/>
          </w:tcPr>
          <w:p w14:paraId="5DF7496F" w14:textId="77777777" w:rsidR="00BB4D84" w:rsidRDefault="00000000">
            <w:pPr>
              <w:pStyle w:val="Compact"/>
            </w:pPr>
            <w:r>
              <w:t>Feature</w:t>
            </w:r>
          </w:p>
        </w:tc>
        <w:tc>
          <w:tcPr>
            <w:tcW w:w="1980" w:type="dxa"/>
          </w:tcPr>
          <w:p w14:paraId="72C922F4" w14:textId="77777777" w:rsidR="00BB4D84" w:rsidRDefault="00000000">
            <w:pPr>
              <w:pStyle w:val="Compact"/>
            </w:pPr>
            <w:r>
              <w:t>Importance</w:t>
            </w:r>
          </w:p>
        </w:tc>
        <w:tc>
          <w:tcPr>
            <w:tcW w:w="1440" w:type="dxa"/>
          </w:tcPr>
          <w:p w14:paraId="294EDF9B" w14:textId="77777777" w:rsidR="00BB4D84" w:rsidRDefault="00000000">
            <w:pPr>
              <w:pStyle w:val="Compact"/>
            </w:pPr>
            <w:r>
              <w:t>Source</w:t>
            </w:r>
          </w:p>
        </w:tc>
        <w:tc>
          <w:tcPr>
            <w:tcW w:w="2880" w:type="dxa"/>
          </w:tcPr>
          <w:p w14:paraId="51E5059D" w14:textId="77777777" w:rsidR="00BB4D84" w:rsidRDefault="00000000">
            <w:pPr>
              <w:pStyle w:val="Compact"/>
            </w:pPr>
            <w:r>
              <w:t>Interpretation</w:t>
            </w:r>
          </w:p>
        </w:tc>
      </w:tr>
      <w:tr w:rsidR="00BB4D84" w14:paraId="1BC786D1" w14:textId="77777777">
        <w:tc>
          <w:tcPr>
            <w:tcW w:w="1620" w:type="dxa"/>
          </w:tcPr>
          <w:p w14:paraId="7BC7FD4B" w14:textId="77777777" w:rsidR="00BB4D84" w:rsidRDefault="00000000">
            <w:pPr>
              <w:pStyle w:val="Compact"/>
            </w:pPr>
            <w:r>
              <w:rPr>
                <w:b/>
                <w:bCs/>
              </w:rPr>
              <w:t>Per_Capita_NSDP</w:t>
            </w:r>
          </w:p>
        </w:tc>
        <w:tc>
          <w:tcPr>
            <w:tcW w:w="1980" w:type="dxa"/>
          </w:tcPr>
          <w:p w14:paraId="424D0FE5" w14:textId="77777777" w:rsidR="00BB4D84" w:rsidRDefault="00000000">
            <w:pPr>
              <w:pStyle w:val="Compact"/>
            </w:pPr>
            <w:r>
              <w:rPr>
                <w:b/>
                <w:bCs/>
              </w:rPr>
              <w:t>48.78%</w:t>
            </w:r>
          </w:p>
        </w:tc>
        <w:tc>
          <w:tcPr>
            <w:tcW w:w="1440" w:type="dxa"/>
          </w:tcPr>
          <w:p w14:paraId="2167A261" w14:textId="77777777" w:rsidR="00BB4D84" w:rsidRDefault="00000000">
            <w:pPr>
              <w:pStyle w:val="Compact"/>
            </w:pPr>
            <w:r>
              <w:t>RBI</w:t>
            </w:r>
          </w:p>
        </w:tc>
        <w:tc>
          <w:tcPr>
            <w:tcW w:w="2880" w:type="dxa"/>
          </w:tcPr>
          <w:p w14:paraId="1FCD2314" w14:textId="77777777" w:rsidR="00BB4D84" w:rsidRDefault="00000000">
            <w:pPr>
              <w:pStyle w:val="Compact"/>
            </w:pPr>
            <w:r>
              <w:t>Economic development is the strongest single predictor of CE behavior</w:t>
            </w:r>
          </w:p>
        </w:tc>
      </w:tr>
      <w:tr w:rsidR="00BB4D84" w14:paraId="5EC1C99A" w14:textId="77777777">
        <w:tc>
          <w:tcPr>
            <w:tcW w:w="1620" w:type="dxa"/>
          </w:tcPr>
          <w:p w14:paraId="508BBD84" w14:textId="77777777" w:rsidR="00BB4D84" w:rsidRDefault="00000000">
            <w:pPr>
              <w:pStyle w:val="Compact"/>
            </w:pPr>
            <w:r>
              <w:rPr>
                <w:b/>
                <w:bCs/>
              </w:rPr>
              <w:t>Tele_Density</w:t>
            </w:r>
          </w:p>
        </w:tc>
        <w:tc>
          <w:tcPr>
            <w:tcW w:w="1980" w:type="dxa"/>
          </w:tcPr>
          <w:p w14:paraId="1BF256A2" w14:textId="77777777" w:rsidR="00BB4D84" w:rsidRDefault="00000000">
            <w:pPr>
              <w:pStyle w:val="Compact"/>
            </w:pPr>
            <w:r>
              <w:rPr>
                <w:b/>
                <w:bCs/>
              </w:rPr>
              <w:t>15.09%</w:t>
            </w:r>
          </w:p>
        </w:tc>
        <w:tc>
          <w:tcPr>
            <w:tcW w:w="1440" w:type="dxa"/>
          </w:tcPr>
          <w:p w14:paraId="3AF24AFC" w14:textId="77777777" w:rsidR="00BB4D84" w:rsidRDefault="00000000">
            <w:pPr>
              <w:pStyle w:val="Compact"/>
            </w:pPr>
            <w:r>
              <w:t>TRAI</w:t>
            </w:r>
          </w:p>
        </w:tc>
        <w:tc>
          <w:tcPr>
            <w:tcW w:w="2880" w:type="dxa"/>
          </w:tcPr>
          <w:p w14:paraId="7C337FFB" w14:textId="77777777" w:rsidR="00BB4D84" w:rsidRDefault="00000000">
            <w:pPr>
              <w:pStyle w:val="Compact"/>
            </w:pPr>
            <w:r>
              <w:t>Connectivity is the 2nd most important factor</w:t>
            </w:r>
          </w:p>
        </w:tc>
      </w:tr>
      <w:tr w:rsidR="00BB4D84" w14:paraId="0F6FEA27" w14:textId="77777777">
        <w:tc>
          <w:tcPr>
            <w:tcW w:w="1620" w:type="dxa"/>
          </w:tcPr>
          <w:p w14:paraId="4B5FF7BB" w14:textId="77777777" w:rsidR="00BB4D84" w:rsidRDefault="00000000">
            <w:pPr>
              <w:pStyle w:val="Compact"/>
            </w:pPr>
            <w:r>
              <w:rPr>
                <w:b/>
                <w:bCs/>
              </w:rPr>
              <w:t>SDG_Index</w:t>
            </w:r>
          </w:p>
        </w:tc>
        <w:tc>
          <w:tcPr>
            <w:tcW w:w="1980" w:type="dxa"/>
          </w:tcPr>
          <w:p w14:paraId="3BAF9228" w14:textId="77777777" w:rsidR="00BB4D84" w:rsidRDefault="00000000">
            <w:pPr>
              <w:pStyle w:val="Compact"/>
            </w:pPr>
            <w:r>
              <w:rPr>
                <w:b/>
                <w:bCs/>
              </w:rPr>
              <w:t>15.07%</w:t>
            </w:r>
          </w:p>
        </w:tc>
        <w:tc>
          <w:tcPr>
            <w:tcW w:w="1440" w:type="dxa"/>
          </w:tcPr>
          <w:p w14:paraId="5986DE79" w14:textId="77777777" w:rsidR="00BB4D84" w:rsidRDefault="00000000">
            <w:pPr>
              <w:pStyle w:val="Compact"/>
            </w:pPr>
            <w:r>
              <w:t>NITI Aayog</w:t>
            </w:r>
          </w:p>
        </w:tc>
        <w:tc>
          <w:tcPr>
            <w:tcW w:w="2880" w:type="dxa"/>
          </w:tcPr>
          <w:p w14:paraId="2611AEE9" w14:textId="77777777" w:rsidR="00BB4D84" w:rsidRDefault="00000000">
            <w:pPr>
              <w:pStyle w:val="Compact"/>
            </w:pPr>
            <w:r>
              <w:t>Existing sustainability performance matters</w:t>
            </w:r>
          </w:p>
        </w:tc>
      </w:tr>
      <w:tr w:rsidR="00BB4D84" w14:paraId="792CF032" w14:textId="77777777">
        <w:tc>
          <w:tcPr>
            <w:tcW w:w="1620" w:type="dxa"/>
          </w:tcPr>
          <w:p w14:paraId="537694E9" w14:textId="77777777" w:rsidR="00BB4D84" w:rsidRDefault="00000000">
            <w:pPr>
              <w:pStyle w:val="Compact"/>
            </w:pPr>
            <w:r>
              <w:rPr>
                <w:b/>
                <w:bCs/>
              </w:rPr>
              <w:t>Urban_Percent</w:t>
            </w:r>
          </w:p>
        </w:tc>
        <w:tc>
          <w:tcPr>
            <w:tcW w:w="1980" w:type="dxa"/>
          </w:tcPr>
          <w:p w14:paraId="073B9813" w14:textId="77777777" w:rsidR="00BB4D84" w:rsidRDefault="00000000">
            <w:pPr>
              <w:pStyle w:val="Compact"/>
            </w:pPr>
            <w:r>
              <w:rPr>
                <w:b/>
                <w:bCs/>
              </w:rPr>
              <w:t>7.82%</w:t>
            </w:r>
          </w:p>
        </w:tc>
        <w:tc>
          <w:tcPr>
            <w:tcW w:w="1440" w:type="dxa"/>
          </w:tcPr>
          <w:p w14:paraId="1445B3D2" w14:textId="77777777" w:rsidR="00BB4D84" w:rsidRDefault="00000000">
            <w:pPr>
              <w:pStyle w:val="Compact"/>
            </w:pPr>
            <w:r>
              <w:t>Census</w:t>
            </w:r>
          </w:p>
        </w:tc>
        <w:tc>
          <w:tcPr>
            <w:tcW w:w="2880" w:type="dxa"/>
          </w:tcPr>
          <w:p w14:paraId="51104B7E" w14:textId="77777777" w:rsidR="00BB4D84" w:rsidRDefault="00000000">
            <w:pPr>
              <w:pStyle w:val="Compact"/>
            </w:pPr>
            <w:r>
              <w:t>Urbanization contributes moderately</w:t>
            </w:r>
          </w:p>
        </w:tc>
      </w:tr>
      <w:tr w:rsidR="00BB4D84" w14:paraId="7B8740A2" w14:textId="77777777">
        <w:tc>
          <w:tcPr>
            <w:tcW w:w="1620" w:type="dxa"/>
          </w:tcPr>
          <w:p w14:paraId="4C079CAF" w14:textId="77777777" w:rsidR="00BB4D84" w:rsidRDefault="00000000">
            <w:pPr>
              <w:pStyle w:val="Compact"/>
            </w:pPr>
            <w:r>
              <w:rPr>
                <w:b/>
                <w:bCs/>
              </w:rPr>
              <w:t>EWaste_PerCapita</w:t>
            </w:r>
          </w:p>
        </w:tc>
        <w:tc>
          <w:tcPr>
            <w:tcW w:w="1980" w:type="dxa"/>
          </w:tcPr>
          <w:p w14:paraId="5B12BC6A" w14:textId="77777777" w:rsidR="00BB4D84" w:rsidRDefault="00000000">
            <w:pPr>
              <w:pStyle w:val="Compact"/>
            </w:pPr>
            <w:r>
              <w:rPr>
                <w:b/>
                <w:bCs/>
              </w:rPr>
              <w:t>5.26%</w:t>
            </w:r>
          </w:p>
        </w:tc>
        <w:tc>
          <w:tcPr>
            <w:tcW w:w="1440" w:type="dxa"/>
          </w:tcPr>
          <w:p w14:paraId="78D31C59" w14:textId="77777777" w:rsidR="00BB4D84" w:rsidRDefault="00000000">
            <w:pPr>
              <w:pStyle w:val="Compact"/>
            </w:pPr>
            <w:r>
              <w:t>CPCB</w:t>
            </w:r>
          </w:p>
        </w:tc>
        <w:tc>
          <w:tcPr>
            <w:tcW w:w="2880" w:type="dxa"/>
          </w:tcPr>
          <w:p w14:paraId="55F38D79" w14:textId="77777777" w:rsidR="00BB4D84" w:rsidRDefault="00000000">
            <w:pPr>
              <w:pStyle w:val="Compact"/>
            </w:pPr>
            <w:r>
              <w:t>E-waste processing capacity matters</w:t>
            </w:r>
          </w:p>
        </w:tc>
      </w:tr>
      <w:tr w:rsidR="00BB4D84" w14:paraId="6212F128" w14:textId="77777777">
        <w:tc>
          <w:tcPr>
            <w:tcW w:w="1620" w:type="dxa"/>
          </w:tcPr>
          <w:p w14:paraId="0EC7735A" w14:textId="77777777" w:rsidR="00BB4D84" w:rsidRDefault="00000000">
            <w:pPr>
              <w:pStyle w:val="Compact"/>
            </w:pPr>
            <w:r>
              <w:rPr>
                <w:b/>
                <w:bCs/>
              </w:rPr>
              <w:t>Literacy_Rate</w:t>
            </w:r>
          </w:p>
        </w:tc>
        <w:tc>
          <w:tcPr>
            <w:tcW w:w="1980" w:type="dxa"/>
          </w:tcPr>
          <w:p w14:paraId="14A0F7C6" w14:textId="77777777" w:rsidR="00BB4D84" w:rsidRDefault="00000000">
            <w:pPr>
              <w:pStyle w:val="Compact"/>
            </w:pPr>
            <w:r>
              <w:rPr>
                <w:b/>
                <w:bCs/>
              </w:rPr>
              <w:t>5.13%</w:t>
            </w:r>
          </w:p>
        </w:tc>
        <w:tc>
          <w:tcPr>
            <w:tcW w:w="1440" w:type="dxa"/>
          </w:tcPr>
          <w:p w14:paraId="7E4E239E" w14:textId="77777777" w:rsidR="00BB4D84" w:rsidRDefault="00000000">
            <w:pPr>
              <w:pStyle w:val="Compact"/>
            </w:pPr>
            <w:r>
              <w:t>Census</w:t>
            </w:r>
          </w:p>
        </w:tc>
        <w:tc>
          <w:tcPr>
            <w:tcW w:w="2880" w:type="dxa"/>
          </w:tcPr>
          <w:p w14:paraId="16B9698D" w14:textId="77777777" w:rsidR="00BB4D84" w:rsidRDefault="00000000">
            <w:pPr>
              <w:pStyle w:val="Compact"/>
            </w:pPr>
            <w:r>
              <w:t>Education enables CE awareness</w:t>
            </w:r>
          </w:p>
        </w:tc>
      </w:tr>
      <w:tr w:rsidR="00BB4D84" w14:paraId="056CC864" w14:textId="77777777">
        <w:tc>
          <w:tcPr>
            <w:tcW w:w="1620" w:type="dxa"/>
          </w:tcPr>
          <w:p w14:paraId="0BBA6872" w14:textId="77777777" w:rsidR="00BB4D84" w:rsidRDefault="00000000">
            <w:pPr>
              <w:pStyle w:val="Compact"/>
            </w:pPr>
            <w:r>
              <w:rPr>
                <w:b/>
                <w:bCs/>
              </w:rPr>
              <w:t>UPI_PerCapita</w:t>
            </w:r>
          </w:p>
        </w:tc>
        <w:tc>
          <w:tcPr>
            <w:tcW w:w="1980" w:type="dxa"/>
          </w:tcPr>
          <w:p w14:paraId="094599E3" w14:textId="77777777" w:rsidR="00BB4D84" w:rsidRDefault="00000000">
            <w:pPr>
              <w:pStyle w:val="Compact"/>
            </w:pPr>
            <w:r>
              <w:rPr>
                <w:b/>
                <w:bCs/>
              </w:rPr>
              <w:t>2.64%</w:t>
            </w:r>
          </w:p>
        </w:tc>
        <w:tc>
          <w:tcPr>
            <w:tcW w:w="1440" w:type="dxa"/>
          </w:tcPr>
          <w:p w14:paraId="4E2D3CFB" w14:textId="77777777" w:rsidR="00BB4D84" w:rsidRDefault="00000000">
            <w:pPr>
              <w:pStyle w:val="Compact"/>
            </w:pPr>
            <w:r>
              <w:t>NPCI</w:t>
            </w:r>
          </w:p>
        </w:tc>
        <w:tc>
          <w:tcPr>
            <w:tcW w:w="2880" w:type="dxa"/>
          </w:tcPr>
          <w:p w14:paraId="388946C5" w14:textId="77777777" w:rsidR="00BB4D84" w:rsidRDefault="00000000">
            <w:pPr>
              <w:pStyle w:val="Compact"/>
            </w:pPr>
            <w:r>
              <w:t>Digital payment adoption has smaller independent effect</w:t>
            </w:r>
          </w:p>
        </w:tc>
      </w:tr>
      <w:tr w:rsidR="00BB4D84" w14:paraId="5BDAFB8E" w14:textId="77777777">
        <w:tc>
          <w:tcPr>
            <w:tcW w:w="1620" w:type="dxa"/>
          </w:tcPr>
          <w:p w14:paraId="3950491E" w14:textId="77777777" w:rsidR="00BB4D84" w:rsidRDefault="00000000">
            <w:pPr>
              <w:pStyle w:val="Compact"/>
            </w:pPr>
            <w:r>
              <w:rPr>
                <w:b/>
                <w:bCs/>
              </w:rPr>
              <w:t>Population</w:t>
            </w:r>
          </w:p>
        </w:tc>
        <w:tc>
          <w:tcPr>
            <w:tcW w:w="1980" w:type="dxa"/>
          </w:tcPr>
          <w:p w14:paraId="5811E4DB" w14:textId="77777777" w:rsidR="00BB4D84" w:rsidRDefault="00000000">
            <w:pPr>
              <w:pStyle w:val="Compact"/>
            </w:pPr>
            <w:r>
              <w:rPr>
                <w:b/>
                <w:bCs/>
              </w:rPr>
              <w:t>0.20%</w:t>
            </w:r>
          </w:p>
        </w:tc>
        <w:tc>
          <w:tcPr>
            <w:tcW w:w="1440" w:type="dxa"/>
          </w:tcPr>
          <w:p w14:paraId="4185810C" w14:textId="77777777" w:rsidR="00BB4D84" w:rsidRDefault="00000000">
            <w:pPr>
              <w:pStyle w:val="Compact"/>
            </w:pPr>
            <w:r>
              <w:t>Census</w:t>
            </w:r>
          </w:p>
        </w:tc>
        <w:tc>
          <w:tcPr>
            <w:tcW w:w="2880" w:type="dxa"/>
          </w:tcPr>
          <w:p w14:paraId="39B47AE2" w14:textId="77777777" w:rsidR="00BB4D84" w:rsidRDefault="00000000">
            <w:pPr>
              <w:pStyle w:val="Compact"/>
            </w:pPr>
            <w:r>
              <w:t>Population size is almost irrelevant</w:t>
            </w:r>
          </w:p>
        </w:tc>
      </w:tr>
    </w:tbl>
    <w:p w14:paraId="7AF14D0D" w14:textId="77777777" w:rsidR="00BB4D84" w:rsidRDefault="00000000">
      <w:pPr>
        <w:pStyle w:val="BodyText"/>
      </w:pPr>
      <w:r>
        <w:rPr>
          <w:b/>
          <w:bCs/>
        </w:rPr>
        <w:t>Key insight:</w:t>
      </w:r>
      <w:r>
        <w:t xml:space="preserve"> Economic development (NSDP) is the dominant predictor, but tele-density and SDG performance together account for 30% — confirming that digital infrastructure matters beyond just being wealthy.</w:t>
      </w:r>
    </w:p>
    <w:p w14:paraId="1625DD18" w14:textId="77777777" w:rsidR="00BB4D84" w:rsidRDefault="00000000">
      <w:pPr>
        <w:pStyle w:val="Heading3"/>
      </w:pPr>
      <w:bookmarkStart w:id="22" w:name="X99a79bdcba864e33561e484b90adf11b9f9017c"/>
      <w:bookmarkEnd w:id="21"/>
      <w:r>
        <w:t>Analysis 4: Piecewise/Threshold Regression (H3)</w:t>
      </w:r>
    </w:p>
    <w:tbl>
      <w:tblPr>
        <w:tblStyle w:val="Table"/>
        <w:tblW w:w="5000" w:type="pct"/>
        <w:tblLayout w:type="fixed"/>
        <w:tblLook w:val="0020" w:firstRow="1" w:lastRow="0" w:firstColumn="0" w:lastColumn="0" w:noHBand="0" w:noVBand="0"/>
      </w:tblPr>
      <w:tblGrid>
        <w:gridCol w:w="2471"/>
        <w:gridCol w:w="2162"/>
        <w:gridCol w:w="4943"/>
      </w:tblGrid>
      <w:tr w:rsidR="00BB4D84" w14:paraId="063C0355" w14:textId="77777777" w:rsidTr="00BB4D84">
        <w:trPr>
          <w:cnfStyle w:val="100000000000" w:firstRow="1" w:lastRow="0" w:firstColumn="0" w:lastColumn="0" w:oddVBand="0" w:evenVBand="0" w:oddHBand="0" w:evenHBand="0" w:firstRowFirstColumn="0" w:firstRowLastColumn="0" w:lastRowFirstColumn="0" w:lastRowLastColumn="0"/>
          <w:tblHeader/>
        </w:trPr>
        <w:tc>
          <w:tcPr>
            <w:tcW w:w="2043" w:type="dxa"/>
          </w:tcPr>
          <w:p w14:paraId="459F8E73" w14:textId="77777777" w:rsidR="00BB4D84" w:rsidRDefault="00000000">
            <w:pPr>
              <w:pStyle w:val="Compact"/>
            </w:pPr>
            <w:r>
              <w:t>Metric</w:t>
            </w:r>
          </w:p>
        </w:tc>
        <w:tc>
          <w:tcPr>
            <w:tcW w:w="1788" w:type="dxa"/>
          </w:tcPr>
          <w:p w14:paraId="1528BC7A" w14:textId="77777777" w:rsidR="00BB4D84" w:rsidRDefault="00000000">
            <w:pPr>
              <w:pStyle w:val="Compact"/>
            </w:pPr>
            <w:r>
              <w:t>Value</w:t>
            </w:r>
          </w:p>
        </w:tc>
        <w:tc>
          <w:tcPr>
            <w:tcW w:w="4087" w:type="dxa"/>
          </w:tcPr>
          <w:p w14:paraId="56D360F9" w14:textId="77777777" w:rsidR="00BB4D84" w:rsidRDefault="00000000">
            <w:pPr>
              <w:pStyle w:val="Compact"/>
            </w:pPr>
            <w:r>
              <w:t>Interpretation</w:t>
            </w:r>
          </w:p>
        </w:tc>
      </w:tr>
      <w:tr w:rsidR="00BB4D84" w14:paraId="068F0D6F" w14:textId="77777777">
        <w:tc>
          <w:tcPr>
            <w:tcW w:w="2043" w:type="dxa"/>
          </w:tcPr>
          <w:p w14:paraId="4758834F" w14:textId="77777777" w:rsidR="00BB4D84" w:rsidRDefault="00000000">
            <w:pPr>
              <w:pStyle w:val="Compact"/>
            </w:pPr>
            <w:r>
              <w:rPr>
                <w:b/>
                <w:bCs/>
              </w:rPr>
              <w:t>Best threshold</w:t>
            </w:r>
          </w:p>
        </w:tc>
        <w:tc>
          <w:tcPr>
            <w:tcW w:w="1788" w:type="dxa"/>
          </w:tcPr>
          <w:p w14:paraId="29B246B7" w14:textId="77777777" w:rsidR="00BB4D84" w:rsidRDefault="00000000">
            <w:pPr>
              <w:pStyle w:val="Compact"/>
            </w:pPr>
            <w:r>
              <w:rPr>
                <w:b/>
                <w:bCs/>
              </w:rPr>
              <w:t>118.77% tele-density</w:t>
            </w:r>
          </w:p>
        </w:tc>
        <w:tc>
          <w:tcPr>
            <w:tcW w:w="4087" w:type="dxa"/>
          </w:tcPr>
          <w:p w14:paraId="374FAC3A" w14:textId="77777777" w:rsidR="00BB4D84" w:rsidRDefault="00000000">
            <w:pPr>
              <w:pStyle w:val="Compact"/>
            </w:pPr>
            <w:r>
              <w:t>CE behavior changes slope at this connectivity level</w:t>
            </w:r>
          </w:p>
        </w:tc>
      </w:tr>
      <w:tr w:rsidR="00BB4D84" w14:paraId="7129E305" w14:textId="77777777">
        <w:tc>
          <w:tcPr>
            <w:tcW w:w="2043" w:type="dxa"/>
          </w:tcPr>
          <w:p w14:paraId="3902FF11" w14:textId="77777777" w:rsidR="00BB4D84" w:rsidRDefault="00000000">
            <w:pPr>
              <w:pStyle w:val="Compact"/>
            </w:pPr>
            <w:r>
              <w:rPr>
                <w:b/>
                <w:bCs/>
              </w:rPr>
              <w:lastRenderedPageBreak/>
              <w:t>R² (piecewise)</w:t>
            </w:r>
          </w:p>
        </w:tc>
        <w:tc>
          <w:tcPr>
            <w:tcW w:w="1788" w:type="dxa"/>
          </w:tcPr>
          <w:p w14:paraId="42FFFB4E" w14:textId="77777777" w:rsidR="00BB4D84" w:rsidRDefault="00000000">
            <w:pPr>
              <w:pStyle w:val="Compact"/>
            </w:pPr>
            <w:r>
              <w:rPr>
                <w:b/>
                <w:bCs/>
              </w:rPr>
              <w:t>0.7225</w:t>
            </w:r>
          </w:p>
        </w:tc>
        <w:tc>
          <w:tcPr>
            <w:tcW w:w="4087" w:type="dxa"/>
          </w:tcPr>
          <w:p w14:paraId="7158A7CA" w14:textId="77777777" w:rsidR="00BB4D84" w:rsidRDefault="00000000">
            <w:pPr>
              <w:pStyle w:val="Compact"/>
            </w:pPr>
            <w:r>
              <w:t>Better fit than simple linear (0.6104)</w:t>
            </w:r>
          </w:p>
        </w:tc>
      </w:tr>
      <w:tr w:rsidR="00BB4D84" w14:paraId="0FAF1723" w14:textId="77777777">
        <w:tc>
          <w:tcPr>
            <w:tcW w:w="2043" w:type="dxa"/>
          </w:tcPr>
          <w:p w14:paraId="6EF73392" w14:textId="77777777" w:rsidR="00BB4D84" w:rsidRDefault="00000000">
            <w:pPr>
              <w:pStyle w:val="Compact"/>
            </w:pPr>
            <w:r>
              <w:rPr>
                <w:b/>
                <w:bCs/>
              </w:rPr>
              <w:t>β below threshold</w:t>
            </w:r>
          </w:p>
        </w:tc>
        <w:tc>
          <w:tcPr>
            <w:tcW w:w="1788" w:type="dxa"/>
          </w:tcPr>
          <w:p w14:paraId="1C825284" w14:textId="77777777" w:rsidR="00BB4D84" w:rsidRDefault="00000000">
            <w:pPr>
              <w:pStyle w:val="Compact"/>
            </w:pPr>
            <w:r>
              <w:rPr>
                <w:b/>
                <w:bCs/>
              </w:rPr>
              <w:t>0.6345</w:t>
            </w:r>
            <w:r>
              <w:t xml:space="preserve"> (p = 0.0001)</w:t>
            </w:r>
          </w:p>
        </w:tc>
        <w:tc>
          <w:tcPr>
            <w:tcW w:w="4087" w:type="dxa"/>
          </w:tcPr>
          <w:p w14:paraId="4EA449C6" w14:textId="77777777" w:rsidR="00BB4D84" w:rsidRDefault="00000000">
            <w:pPr>
              <w:pStyle w:val="Compact"/>
            </w:pPr>
            <w:r>
              <w:t>Below 118.77%: strong positive slope — more connectivity → more CE behavior</w:t>
            </w:r>
          </w:p>
        </w:tc>
      </w:tr>
      <w:tr w:rsidR="00BB4D84" w14:paraId="545C2C6A" w14:textId="77777777">
        <w:tc>
          <w:tcPr>
            <w:tcW w:w="2043" w:type="dxa"/>
          </w:tcPr>
          <w:p w14:paraId="4B1743E6" w14:textId="77777777" w:rsidR="00BB4D84" w:rsidRDefault="00000000">
            <w:pPr>
              <w:pStyle w:val="Compact"/>
            </w:pPr>
            <w:r>
              <w:rPr>
                <w:b/>
                <w:bCs/>
              </w:rPr>
              <w:t>β above threshold</w:t>
            </w:r>
          </w:p>
        </w:tc>
        <w:tc>
          <w:tcPr>
            <w:tcW w:w="1788" w:type="dxa"/>
          </w:tcPr>
          <w:p w14:paraId="5694B282" w14:textId="77777777" w:rsidR="00BB4D84" w:rsidRDefault="00000000">
            <w:pPr>
              <w:pStyle w:val="Compact"/>
            </w:pPr>
            <w:r>
              <w:rPr>
                <w:b/>
                <w:bCs/>
              </w:rPr>
              <w:t>-8.7377</w:t>
            </w:r>
            <w:r>
              <w:t xml:space="preserve"> (p = 0.0474)</w:t>
            </w:r>
          </w:p>
        </w:tc>
        <w:tc>
          <w:tcPr>
            <w:tcW w:w="4087" w:type="dxa"/>
          </w:tcPr>
          <w:p w14:paraId="21910AE8" w14:textId="77777777" w:rsidR="00BB4D84" w:rsidRDefault="00000000">
            <w:pPr>
              <w:pStyle w:val="Compact"/>
            </w:pPr>
            <w:r>
              <w:t>Above 118.77%: relationship reverses (likely a data artifact from only 2-3 states above threshold)</w:t>
            </w:r>
          </w:p>
        </w:tc>
      </w:tr>
    </w:tbl>
    <w:p w14:paraId="6F20B8F2" w14:textId="77777777" w:rsidR="00BB4D84" w:rsidRDefault="00000000">
      <w:pPr>
        <w:pStyle w:val="BodyText"/>
      </w:pPr>
      <w:r>
        <w:rPr>
          <w:b/>
          <w:bCs/>
        </w:rPr>
        <w:t>What this means:</w:t>
      </w:r>
      <w:r>
        <w:t xml:space="preserve"> There’s a tele-density threshold around 118-119%. States below this level show a consistent, strong positive relationship between connectivity and CE behavior. This suggests a </w:t>
      </w:r>
      <w:r>
        <w:rPr>
          <w:b/>
          <w:bCs/>
        </w:rPr>
        <w:t>minimum digital infrastructure level</w:t>
      </w:r>
      <w:r>
        <w:t xml:space="preserve"> is needed before CE benefits emerge — policy should prioritize getting lagging states above this threshold.</w:t>
      </w:r>
    </w:p>
    <w:p w14:paraId="5563FEF8" w14:textId="77777777" w:rsidR="00BB4D84" w:rsidRDefault="00000000">
      <w:pPr>
        <w:pStyle w:val="Heading3"/>
      </w:pPr>
      <w:bookmarkStart w:id="23" w:name="analysis-5-mediation-analysis-h2"/>
      <w:bookmarkEnd w:id="22"/>
      <w:r>
        <w:t>Analysis 5: Mediation Analysis (H2)</w:t>
      </w:r>
    </w:p>
    <w:p w14:paraId="78394EE0" w14:textId="77777777" w:rsidR="00BB4D84" w:rsidRDefault="00000000">
      <w:pPr>
        <w:pStyle w:val="FirstParagraph"/>
      </w:pPr>
      <w:r>
        <w:rPr>
          <w:b/>
          <w:bCs/>
        </w:rPr>
        <w:t>Path tested:</w:t>
      </w:r>
      <w:r>
        <w:t xml:space="preserve"> Tele-density → UPI Per Capita → CE Behavior Score</w:t>
      </w:r>
    </w:p>
    <w:tbl>
      <w:tblPr>
        <w:tblStyle w:val="Table"/>
        <w:tblW w:w="5000" w:type="pct"/>
        <w:tblLayout w:type="fixed"/>
        <w:tblLook w:val="0020" w:firstRow="1" w:lastRow="0" w:firstColumn="0" w:lastColumn="0" w:noHBand="0" w:noVBand="0"/>
      </w:tblPr>
      <w:tblGrid>
        <w:gridCol w:w="1690"/>
        <w:gridCol w:w="844"/>
        <w:gridCol w:w="2535"/>
        <w:gridCol w:w="4507"/>
      </w:tblGrid>
      <w:tr w:rsidR="00BB4D84" w14:paraId="56802B2A" w14:textId="77777777" w:rsidTr="00BB4D84">
        <w:trPr>
          <w:cnfStyle w:val="100000000000" w:firstRow="1" w:lastRow="0" w:firstColumn="0" w:lastColumn="0" w:oddVBand="0" w:evenVBand="0" w:oddHBand="0" w:evenHBand="0" w:firstRowFirstColumn="0" w:firstRowLastColumn="0" w:lastRowFirstColumn="0" w:lastRowLastColumn="0"/>
          <w:tblHeader/>
        </w:trPr>
        <w:tc>
          <w:tcPr>
            <w:tcW w:w="1397" w:type="dxa"/>
          </w:tcPr>
          <w:p w14:paraId="4993DEF6" w14:textId="77777777" w:rsidR="00BB4D84" w:rsidRDefault="00000000">
            <w:pPr>
              <w:pStyle w:val="Compact"/>
            </w:pPr>
            <w:r>
              <w:t>Path</w:t>
            </w:r>
          </w:p>
        </w:tc>
        <w:tc>
          <w:tcPr>
            <w:tcW w:w="698" w:type="dxa"/>
          </w:tcPr>
          <w:p w14:paraId="48DD594F" w14:textId="77777777" w:rsidR="00BB4D84" w:rsidRDefault="00000000">
            <w:pPr>
              <w:pStyle w:val="Compact"/>
            </w:pPr>
            <w:r>
              <w:t>β</w:t>
            </w:r>
          </w:p>
        </w:tc>
        <w:tc>
          <w:tcPr>
            <w:tcW w:w="2096" w:type="dxa"/>
          </w:tcPr>
          <w:p w14:paraId="6EB812A6" w14:textId="77777777" w:rsidR="00BB4D84" w:rsidRDefault="00000000">
            <w:pPr>
              <w:pStyle w:val="Compact"/>
            </w:pPr>
            <w:r>
              <w:t>p-value</w:t>
            </w:r>
          </w:p>
        </w:tc>
        <w:tc>
          <w:tcPr>
            <w:tcW w:w="3727" w:type="dxa"/>
          </w:tcPr>
          <w:p w14:paraId="26B05A2D" w14:textId="77777777" w:rsidR="00BB4D84" w:rsidRDefault="00000000">
            <w:pPr>
              <w:pStyle w:val="Compact"/>
            </w:pPr>
            <w:r>
              <w:t>Interpretation</w:t>
            </w:r>
          </w:p>
        </w:tc>
      </w:tr>
      <w:tr w:rsidR="00BB4D84" w14:paraId="2FDBB02D" w14:textId="77777777">
        <w:tc>
          <w:tcPr>
            <w:tcW w:w="1397" w:type="dxa"/>
          </w:tcPr>
          <w:p w14:paraId="0E04DAA7" w14:textId="77777777" w:rsidR="00BB4D84" w:rsidRDefault="00000000">
            <w:pPr>
              <w:pStyle w:val="Compact"/>
            </w:pPr>
            <w:r>
              <w:rPr>
                <w:b/>
                <w:bCs/>
              </w:rPr>
              <w:t>c (total):</w:t>
            </w:r>
            <w:r>
              <w:t xml:space="preserve"> X → Y</w:t>
            </w:r>
          </w:p>
        </w:tc>
        <w:tc>
          <w:tcPr>
            <w:tcW w:w="698" w:type="dxa"/>
          </w:tcPr>
          <w:p w14:paraId="6B44FDD3" w14:textId="77777777" w:rsidR="00BB4D84" w:rsidRDefault="00000000">
            <w:pPr>
              <w:pStyle w:val="Compact"/>
            </w:pPr>
            <w:r>
              <w:t>0.5047</w:t>
            </w:r>
          </w:p>
        </w:tc>
        <w:tc>
          <w:tcPr>
            <w:tcW w:w="2096" w:type="dxa"/>
          </w:tcPr>
          <w:p w14:paraId="50CA7A97" w14:textId="77777777" w:rsidR="00BB4D84" w:rsidRDefault="00000000">
            <w:pPr>
              <w:pStyle w:val="Compact"/>
            </w:pPr>
            <w:r>
              <w:rPr>
                <w:b/>
                <w:bCs/>
              </w:rPr>
              <w:t>0.0004</w:t>
            </w:r>
          </w:p>
        </w:tc>
        <w:tc>
          <w:tcPr>
            <w:tcW w:w="3727" w:type="dxa"/>
          </w:tcPr>
          <w:p w14:paraId="02CDE520" w14:textId="77777777" w:rsidR="00BB4D84" w:rsidRDefault="00000000">
            <w:pPr>
              <w:pStyle w:val="Compact"/>
            </w:pPr>
            <w:r>
              <w:t>Total effect of tele-density on CE behavior is significant</w:t>
            </w:r>
          </w:p>
        </w:tc>
      </w:tr>
      <w:tr w:rsidR="00BB4D84" w14:paraId="09A7863C" w14:textId="77777777">
        <w:tc>
          <w:tcPr>
            <w:tcW w:w="1397" w:type="dxa"/>
          </w:tcPr>
          <w:p w14:paraId="1A0286FE" w14:textId="77777777" w:rsidR="00BB4D84" w:rsidRDefault="00000000">
            <w:pPr>
              <w:pStyle w:val="Compact"/>
            </w:pPr>
            <w:r>
              <w:rPr>
                <w:b/>
                <w:bCs/>
              </w:rPr>
              <w:t>a:</w:t>
            </w:r>
            <w:r>
              <w:t xml:space="preserve"> X → M</w:t>
            </w:r>
          </w:p>
        </w:tc>
        <w:tc>
          <w:tcPr>
            <w:tcW w:w="698" w:type="dxa"/>
          </w:tcPr>
          <w:p w14:paraId="6E01842E" w14:textId="77777777" w:rsidR="00BB4D84" w:rsidRDefault="00000000">
            <w:pPr>
              <w:pStyle w:val="Compact"/>
            </w:pPr>
            <w:r>
              <w:t>1.4992</w:t>
            </w:r>
          </w:p>
        </w:tc>
        <w:tc>
          <w:tcPr>
            <w:tcW w:w="2096" w:type="dxa"/>
          </w:tcPr>
          <w:p w14:paraId="4B38C49B" w14:textId="77777777" w:rsidR="00BB4D84" w:rsidRDefault="00000000">
            <w:pPr>
              <w:pStyle w:val="Compact"/>
            </w:pPr>
            <w:r>
              <w:rPr>
                <w:b/>
                <w:bCs/>
              </w:rPr>
              <w:t>0.0034</w:t>
            </w:r>
          </w:p>
        </w:tc>
        <w:tc>
          <w:tcPr>
            <w:tcW w:w="3727" w:type="dxa"/>
          </w:tcPr>
          <w:p w14:paraId="5BDB5DBA" w14:textId="77777777" w:rsidR="00BB4D84" w:rsidRDefault="00000000">
            <w:pPr>
              <w:pStyle w:val="Compact"/>
            </w:pPr>
            <w:r>
              <w:t>Tele-density significantly predicts UPI adoption</w:t>
            </w:r>
          </w:p>
        </w:tc>
      </w:tr>
      <w:tr w:rsidR="00BB4D84" w14:paraId="09F22072" w14:textId="77777777">
        <w:tc>
          <w:tcPr>
            <w:tcW w:w="1397" w:type="dxa"/>
          </w:tcPr>
          <w:p w14:paraId="7AD56138" w14:textId="77777777" w:rsidR="00BB4D84" w:rsidRDefault="00000000">
            <w:pPr>
              <w:pStyle w:val="Compact"/>
            </w:pPr>
            <w:r>
              <w:rPr>
                <w:b/>
                <w:bCs/>
              </w:rPr>
              <w:t>b:</w:t>
            </w:r>
            <w:r>
              <w:t xml:space="preserve"> M → Y|X</w:t>
            </w:r>
          </w:p>
        </w:tc>
        <w:tc>
          <w:tcPr>
            <w:tcW w:w="698" w:type="dxa"/>
          </w:tcPr>
          <w:p w14:paraId="66FF8EBD" w14:textId="77777777" w:rsidR="00BB4D84" w:rsidRDefault="00000000">
            <w:pPr>
              <w:pStyle w:val="Compact"/>
            </w:pPr>
            <w:r>
              <w:t>-0.0170</w:t>
            </w:r>
          </w:p>
        </w:tc>
        <w:tc>
          <w:tcPr>
            <w:tcW w:w="2096" w:type="dxa"/>
          </w:tcPr>
          <w:p w14:paraId="7513C9FD" w14:textId="77777777" w:rsidR="00BB4D84" w:rsidRDefault="00000000">
            <w:pPr>
              <w:pStyle w:val="Compact"/>
            </w:pPr>
            <w:r>
              <w:t>0.8128</w:t>
            </w:r>
          </w:p>
        </w:tc>
        <w:tc>
          <w:tcPr>
            <w:tcW w:w="3727" w:type="dxa"/>
          </w:tcPr>
          <w:p w14:paraId="1338ED3E" w14:textId="77777777" w:rsidR="00BB4D84" w:rsidRDefault="00000000">
            <w:pPr>
              <w:pStyle w:val="Compact"/>
            </w:pPr>
            <w:r>
              <w:t>UPI does NOT predict CE behavior when controlling for tele-density</w:t>
            </w:r>
          </w:p>
        </w:tc>
      </w:tr>
      <w:tr w:rsidR="00BB4D84" w14:paraId="1FB42E38" w14:textId="77777777">
        <w:tc>
          <w:tcPr>
            <w:tcW w:w="1397" w:type="dxa"/>
          </w:tcPr>
          <w:p w14:paraId="28D35C61" w14:textId="77777777" w:rsidR="00BB4D84" w:rsidRDefault="00000000">
            <w:pPr>
              <w:pStyle w:val="Compact"/>
            </w:pPr>
            <w:r>
              <w:rPr>
                <w:b/>
                <w:bCs/>
              </w:rPr>
              <w:t>c’ (direct):</w:t>
            </w:r>
            <w:r>
              <w:t xml:space="preserve"> X → Y|M</w:t>
            </w:r>
          </w:p>
        </w:tc>
        <w:tc>
          <w:tcPr>
            <w:tcW w:w="698" w:type="dxa"/>
          </w:tcPr>
          <w:p w14:paraId="4F8BBA19" w14:textId="77777777" w:rsidR="00BB4D84" w:rsidRDefault="00000000">
            <w:pPr>
              <w:pStyle w:val="Compact"/>
            </w:pPr>
            <w:r>
              <w:t>0.5302</w:t>
            </w:r>
          </w:p>
        </w:tc>
        <w:tc>
          <w:tcPr>
            <w:tcW w:w="2096" w:type="dxa"/>
          </w:tcPr>
          <w:p w14:paraId="3E6F2826" w14:textId="77777777" w:rsidR="00BB4D84" w:rsidRDefault="00000000">
            <w:pPr>
              <w:pStyle w:val="Compact"/>
            </w:pPr>
            <w:r>
              <w:rPr>
                <w:b/>
                <w:bCs/>
              </w:rPr>
              <w:t>0.0044</w:t>
            </w:r>
          </w:p>
        </w:tc>
        <w:tc>
          <w:tcPr>
            <w:tcW w:w="3727" w:type="dxa"/>
          </w:tcPr>
          <w:p w14:paraId="49641631" w14:textId="77777777" w:rsidR="00BB4D84" w:rsidRDefault="00000000">
            <w:pPr>
              <w:pStyle w:val="Compact"/>
            </w:pPr>
            <w:r>
              <w:t>Direct effect remains significant (unchanged)</w:t>
            </w:r>
          </w:p>
        </w:tc>
      </w:tr>
      <w:tr w:rsidR="00BB4D84" w14:paraId="3009889D" w14:textId="77777777">
        <w:tc>
          <w:tcPr>
            <w:tcW w:w="1397" w:type="dxa"/>
          </w:tcPr>
          <w:p w14:paraId="5E5DDAB5" w14:textId="77777777" w:rsidR="00BB4D84" w:rsidRDefault="00000000">
            <w:pPr>
              <w:pStyle w:val="Compact"/>
            </w:pPr>
            <w:r>
              <w:rPr>
                <w:b/>
                <w:bCs/>
              </w:rPr>
              <w:t>Indirect effect</w:t>
            </w:r>
          </w:p>
        </w:tc>
        <w:tc>
          <w:tcPr>
            <w:tcW w:w="698" w:type="dxa"/>
          </w:tcPr>
          <w:p w14:paraId="519C2CB7" w14:textId="77777777" w:rsidR="00BB4D84" w:rsidRDefault="00000000">
            <w:pPr>
              <w:pStyle w:val="Compact"/>
            </w:pPr>
            <w:r>
              <w:t>-0.0255</w:t>
            </w:r>
          </w:p>
        </w:tc>
        <w:tc>
          <w:tcPr>
            <w:tcW w:w="2096" w:type="dxa"/>
          </w:tcPr>
          <w:p w14:paraId="6F6C55F3" w14:textId="77777777" w:rsidR="00BB4D84" w:rsidRDefault="00000000">
            <w:pPr>
              <w:pStyle w:val="Compact"/>
            </w:pPr>
            <w:r>
              <w:t>—</w:t>
            </w:r>
          </w:p>
        </w:tc>
        <w:tc>
          <w:tcPr>
            <w:tcW w:w="3727" w:type="dxa"/>
          </w:tcPr>
          <w:p w14:paraId="2A2A3394" w14:textId="77777777" w:rsidR="00BB4D84" w:rsidRDefault="00000000">
            <w:pPr>
              <w:pStyle w:val="Compact"/>
            </w:pPr>
            <w:r>
              <w:t>Near zero — no mediation</w:t>
            </w:r>
          </w:p>
        </w:tc>
      </w:tr>
      <w:tr w:rsidR="00BB4D84" w14:paraId="719A4FE0" w14:textId="77777777">
        <w:tc>
          <w:tcPr>
            <w:tcW w:w="1397" w:type="dxa"/>
          </w:tcPr>
          <w:p w14:paraId="78CAAC53" w14:textId="77777777" w:rsidR="00BB4D84" w:rsidRDefault="00000000">
            <w:pPr>
              <w:pStyle w:val="Compact"/>
            </w:pPr>
            <w:r>
              <w:rPr>
                <w:b/>
                <w:bCs/>
              </w:rPr>
              <w:t>Sobel z</w:t>
            </w:r>
          </w:p>
        </w:tc>
        <w:tc>
          <w:tcPr>
            <w:tcW w:w="698" w:type="dxa"/>
          </w:tcPr>
          <w:p w14:paraId="1241DC53" w14:textId="77777777" w:rsidR="00BB4D84" w:rsidRDefault="00000000">
            <w:pPr>
              <w:pStyle w:val="Compact"/>
            </w:pPr>
            <w:r>
              <w:t>-0.2411</w:t>
            </w:r>
          </w:p>
        </w:tc>
        <w:tc>
          <w:tcPr>
            <w:tcW w:w="2096" w:type="dxa"/>
          </w:tcPr>
          <w:p w14:paraId="03AE0C7C" w14:textId="77777777" w:rsidR="00BB4D84" w:rsidRDefault="00000000">
            <w:pPr>
              <w:pStyle w:val="Compact"/>
            </w:pPr>
            <w:r>
              <w:rPr>
                <w:b/>
                <w:bCs/>
              </w:rPr>
              <w:t>0.8095</w:t>
            </w:r>
          </w:p>
        </w:tc>
        <w:tc>
          <w:tcPr>
            <w:tcW w:w="3727" w:type="dxa"/>
          </w:tcPr>
          <w:p w14:paraId="4721AA97" w14:textId="77777777" w:rsidR="00BB4D84" w:rsidRDefault="00000000">
            <w:pPr>
              <w:pStyle w:val="Compact"/>
            </w:pPr>
            <w:r>
              <w:t>Not significant — mediation NOT supported</w:t>
            </w:r>
          </w:p>
        </w:tc>
      </w:tr>
    </w:tbl>
    <w:p w14:paraId="47F7293A" w14:textId="77777777" w:rsidR="00BB4D84" w:rsidRDefault="00000000">
      <w:pPr>
        <w:pStyle w:val="BodyText"/>
      </w:pPr>
      <w:r>
        <w:rPr>
          <w:b/>
          <w:bCs/>
        </w:rPr>
        <w:t>What this means:</w:t>
      </w:r>
      <w:r>
        <w:t xml:space="preserve"> UPI adoption does NOT mediate the digital → CE relationship. The effect of digital access on CE behavior is </w:t>
      </w:r>
      <w:r>
        <w:rPr>
          <w:b/>
          <w:bCs/>
        </w:rPr>
        <w:t>direct</w:t>
      </w:r>
      <w:r>
        <w:t xml:space="preserve">, not channeled through digital payments. This is actually a meaningful finding — it suggests that digital infrastructure enables CE behavior through </w:t>
      </w:r>
      <w:r>
        <w:rPr>
          <w:b/>
          <w:bCs/>
        </w:rPr>
        <w:t>broader mechanisms</w:t>
      </w:r>
      <w:r>
        <w:t xml:space="preserve"> (information access, e-governance, behavioral nudges, awareness campaigns) rather than just through financial digitization.</w:t>
      </w:r>
    </w:p>
    <w:p w14:paraId="6FF582A4" w14:textId="77777777" w:rsidR="00BB4D84" w:rsidRDefault="00000000">
      <w:pPr>
        <w:pStyle w:val="Heading3"/>
      </w:pPr>
      <w:bookmarkStart w:id="24" w:name="analysis-6-robustness-checks"/>
      <w:bookmarkEnd w:id="23"/>
      <w:r>
        <w:t>Analysis 6: Robustness Checks</w:t>
      </w:r>
    </w:p>
    <w:tbl>
      <w:tblPr>
        <w:tblStyle w:val="Table"/>
        <w:tblW w:w="5000" w:type="pct"/>
        <w:tblLayout w:type="fixed"/>
        <w:tblLook w:val="0020" w:firstRow="1" w:lastRow="0" w:firstColumn="0" w:lastColumn="0" w:noHBand="0" w:noVBand="0"/>
      </w:tblPr>
      <w:tblGrid>
        <w:gridCol w:w="2235"/>
        <w:gridCol w:w="2234"/>
        <w:gridCol w:w="5107"/>
      </w:tblGrid>
      <w:tr w:rsidR="00BB4D84" w14:paraId="0A6DBD2C" w14:textId="77777777" w:rsidTr="00BB4D84">
        <w:trPr>
          <w:cnfStyle w:val="100000000000" w:firstRow="1" w:lastRow="0" w:firstColumn="0" w:lastColumn="0" w:oddVBand="0" w:evenVBand="0" w:oddHBand="0" w:evenHBand="0" w:firstRowFirstColumn="0" w:firstRowLastColumn="0" w:lastRowFirstColumn="0" w:lastRowLastColumn="0"/>
          <w:tblHeader/>
        </w:trPr>
        <w:tc>
          <w:tcPr>
            <w:tcW w:w="1848" w:type="dxa"/>
          </w:tcPr>
          <w:p w14:paraId="38A1AEFC" w14:textId="77777777" w:rsidR="00BB4D84" w:rsidRDefault="00000000">
            <w:pPr>
              <w:pStyle w:val="Compact"/>
            </w:pPr>
            <w:r>
              <w:t>Check</w:t>
            </w:r>
          </w:p>
        </w:tc>
        <w:tc>
          <w:tcPr>
            <w:tcW w:w="1848" w:type="dxa"/>
          </w:tcPr>
          <w:p w14:paraId="2DC2D87C" w14:textId="77777777" w:rsidR="00BB4D84" w:rsidRDefault="00000000">
            <w:pPr>
              <w:pStyle w:val="Compact"/>
            </w:pPr>
            <w:r>
              <w:t>Value</w:t>
            </w:r>
          </w:p>
        </w:tc>
        <w:tc>
          <w:tcPr>
            <w:tcW w:w="4224" w:type="dxa"/>
          </w:tcPr>
          <w:p w14:paraId="26F7C5D8" w14:textId="77777777" w:rsidR="00BB4D84" w:rsidRDefault="00000000">
            <w:pPr>
              <w:pStyle w:val="Compact"/>
            </w:pPr>
            <w:r>
              <w:t>Interpretation</w:t>
            </w:r>
          </w:p>
        </w:tc>
      </w:tr>
      <w:tr w:rsidR="00BB4D84" w14:paraId="578C276A" w14:textId="77777777">
        <w:tc>
          <w:tcPr>
            <w:tcW w:w="1848" w:type="dxa"/>
          </w:tcPr>
          <w:p w14:paraId="2EFF0253" w14:textId="77777777" w:rsidR="00BB4D84" w:rsidRDefault="00000000">
            <w:pPr>
              <w:pStyle w:val="Compact"/>
            </w:pPr>
            <w:r>
              <w:rPr>
                <w:b/>
                <w:bCs/>
              </w:rPr>
              <w:lastRenderedPageBreak/>
              <w:t>Standardized β</w:t>
            </w:r>
          </w:p>
        </w:tc>
        <w:tc>
          <w:tcPr>
            <w:tcW w:w="1848" w:type="dxa"/>
          </w:tcPr>
          <w:p w14:paraId="0808EC9E" w14:textId="77777777" w:rsidR="00BB4D84" w:rsidRDefault="00000000">
            <w:pPr>
              <w:pStyle w:val="Compact"/>
            </w:pPr>
            <w:r>
              <w:t>0.7813</w:t>
            </w:r>
          </w:p>
        </w:tc>
        <w:tc>
          <w:tcPr>
            <w:tcW w:w="4224" w:type="dxa"/>
          </w:tcPr>
          <w:p w14:paraId="596A214B" w14:textId="77777777" w:rsidR="00BB4D84" w:rsidRDefault="00000000">
            <w:pPr>
              <w:pStyle w:val="Compact"/>
            </w:pPr>
            <w:r>
              <w:t>Strong effect size (0.78 standard deviations)</w:t>
            </w:r>
          </w:p>
        </w:tc>
      </w:tr>
      <w:tr w:rsidR="00BB4D84" w14:paraId="419E9BDC" w14:textId="77777777">
        <w:tc>
          <w:tcPr>
            <w:tcW w:w="1848" w:type="dxa"/>
          </w:tcPr>
          <w:p w14:paraId="36D1004D" w14:textId="77777777" w:rsidR="00BB4D84" w:rsidRDefault="00000000">
            <w:pPr>
              <w:pStyle w:val="Compact"/>
            </w:pPr>
            <w:r>
              <w:rPr>
                <w:b/>
                <w:bCs/>
              </w:rPr>
              <w:t>Spearman ρ</w:t>
            </w:r>
          </w:p>
        </w:tc>
        <w:tc>
          <w:tcPr>
            <w:tcW w:w="1848" w:type="dxa"/>
          </w:tcPr>
          <w:p w14:paraId="0B0547F1" w14:textId="77777777" w:rsidR="00BB4D84" w:rsidRDefault="00000000">
            <w:pPr>
              <w:pStyle w:val="Compact"/>
            </w:pPr>
            <w:r>
              <w:rPr>
                <w:b/>
                <w:bCs/>
              </w:rPr>
              <w:t>0.9118</w:t>
            </w:r>
            <w:r>
              <w:t xml:space="preserve"> (p = 0.000001)</w:t>
            </w:r>
          </w:p>
        </w:tc>
        <w:tc>
          <w:tcPr>
            <w:tcW w:w="4224" w:type="dxa"/>
          </w:tcPr>
          <w:p w14:paraId="64A5A457" w14:textId="77777777" w:rsidR="00BB4D84" w:rsidRDefault="00000000">
            <w:pPr>
              <w:pStyle w:val="Compact"/>
            </w:pPr>
            <w:r>
              <w:t>Non-parametric rank correlation — extremely strong, even higher than Pearson</w:t>
            </w:r>
          </w:p>
        </w:tc>
      </w:tr>
      <w:tr w:rsidR="00BB4D84" w14:paraId="615E6DF8" w14:textId="77777777">
        <w:tc>
          <w:tcPr>
            <w:tcW w:w="1848" w:type="dxa"/>
          </w:tcPr>
          <w:p w14:paraId="7CCE233B" w14:textId="77777777" w:rsidR="00BB4D84" w:rsidRDefault="00000000">
            <w:pPr>
              <w:pStyle w:val="Compact"/>
            </w:pPr>
            <w:r>
              <w:rPr>
                <w:b/>
                <w:bCs/>
              </w:rPr>
              <w:t>Kendall τ</w:t>
            </w:r>
          </w:p>
        </w:tc>
        <w:tc>
          <w:tcPr>
            <w:tcW w:w="1848" w:type="dxa"/>
          </w:tcPr>
          <w:p w14:paraId="0B2A863F" w14:textId="77777777" w:rsidR="00BB4D84" w:rsidRDefault="00000000">
            <w:pPr>
              <w:pStyle w:val="Compact"/>
            </w:pPr>
            <w:r>
              <w:rPr>
                <w:b/>
                <w:bCs/>
              </w:rPr>
              <w:t>0.7833</w:t>
            </w:r>
            <w:r>
              <w:t xml:space="preserve"> (p = 0.000002)</w:t>
            </w:r>
          </w:p>
        </w:tc>
        <w:tc>
          <w:tcPr>
            <w:tcW w:w="4224" w:type="dxa"/>
          </w:tcPr>
          <w:p w14:paraId="796CE371" w14:textId="77777777" w:rsidR="00BB4D84" w:rsidRDefault="00000000">
            <w:pPr>
              <w:pStyle w:val="Compact"/>
            </w:pPr>
            <w:r>
              <w:t>Another non-parametric test — also highly significant</w:t>
            </w:r>
          </w:p>
        </w:tc>
      </w:tr>
      <w:tr w:rsidR="00BB4D84" w14:paraId="44E097C5" w14:textId="77777777">
        <w:tc>
          <w:tcPr>
            <w:tcW w:w="1848" w:type="dxa"/>
          </w:tcPr>
          <w:p w14:paraId="7EADAFF6" w14:textId="77777777" w:rsidR="00BB4D84" w:rsidRDefault="00000000">
            <w:pPr>
              <w:pStyle w:val="Compact"/>
            </w:pPr>
            <w:r>
              <w:rPr>
                <w:b/>
                <w:bCs/>
              </w:rPr>
              <w:t>Breusch-Pagan LM</w:t>
            </w:r>
          </w:p>
        </w:tc>
        <w:tc>
          <w:tcPr>
            <w:tcW w:w="1848" w:type="dxa"/>
          </w:tcPr>
          <w:p w14:paraId="68446DA5" w14:textId="77777777" w:rsidR="00BB4D84" w:rsidRDefault="00000000">
            <w:pPr>
              <w:pStyle w:val="Compact"/>
            </w:pPr>
            <w:r>
              <w:t>1.5385 (p = 0.2148)</w:t>
            </w:r>
          </w:p>
        </w:tc>
        <w:tc>
          <w:tcPr>
            <w:tcW w:w="4224" w:type="dxa"/>
          </w:tcPr>
          <w:p w14:paraId="242F47C2" w14:textId="77777777" w:rsidR="00BB4D84" w:rsidRDefault="00000000">
            <w:pPr>
              <w:pStyle w:val="Compact"/>
            </w:pPr>
            <w:r>
              <w:t>No heteroskedasticity ✅ (p &gt; 0.05 means residual variance is constant)</w:t>
            </w:r>
          </w:p>
        </w:tc>
      </w:tr>
      <w:tr w:rsidR="00BB4D84" w14:paraId="09A9607C" w14:textId="77777777">
        <w:tc>
          <w:tcPr>
            <w:tcW w:w="1848" w:type="dxa"/>
          </w:tcPr>
          <w:p w14:paraId="772B468A" w14:textId="77777777" w:rsidR="00BB4D84" w:rsidRDefault="00000000">
            <w:pPr>
              <w:pStyle w:val="Compact"/>
            </w:pPr>
            <w:r>
              <w:rPr>
                <w:b/>
                <w:bCs/>
              </w:rPr>
              <w:t>Durbin-Watson</w:t>
            </w:r>
          </w:p>
        </w:tc>
        <w:tc>
          <w:tcPr>
            <w:tcW w:w="1848" w:type="dxa"/>
          </w:tcPr>
          <w:p w14:paraId="523E2480" w14:textId="77777777" w:rsidR="00BB4D84" w:rsidRDefault="00000000">
            <w:pPr>
              <w:pStyle w:val="Compact"/>
            </w:pPr>
            <w:r>
              <w:rPr>
                <w:b/>
                <w:bCs/>
              </w:rPr>
              <w:t>2.0247</w:t>
            </w:r>
          </w:p>
        </w:tc>
        <w:tc>
          <w:tcPr>
            <w:tcW w:w="4224" w:type="dxa"/>
          </w:tcPr>
          <w:p w14:paraId="350B32D2" w14:textId="77777777" w:rsidR="00BB4D84" w:rsidRDefault="00000000">
            <w:pPr>
              <w:pStyle w:val="Compact"/>
            </w:pPr>
            <w:r>
              <w:t>No autocorrelation ✅ (ideal value is 2.0)</w:t>
            </w:r>
          </w:p>
        </w:tc>
      </w:tr>
      <w:tr w:rsidR="00BB4D84" w14:paraId="536D7D7B" w14:textId="77777777">
        <w:tc>
          <w:tcPr>
            <w:tcW w:w="1848" w:type="dxa"/>
          </w:tcPr>
          <w:p w14:paraId="41E71F62" w14:textId="77777777" w:rsidR="00BB4D84" w:rsidRDefault="00000000">
            <w:pPr>
              <w:pStyle w:val="Compact"/>
            </w:pPr>
            <w:r>
              <w:rPr>
                <w:b/>
                <w:bCs/>
              </w:rPr>
              <w:t>Cook’s D influence</w:t>
            </w:r>
          </w:p>
        </w:tc>
        <w:tc>
          <w:tcPr>
            <w:tcW w:w="1848" w:type="dxa"/>
          </w:tcPr>
          <w:p w14:paraId="5AABBE21" w14:textId="77777777" w:rsidR="00BB4D84" w:rsidRDefault="00000000">
            <w:pPr>
              <w:pStyle w:val="Compact"/>
            </w:pPr>
            <w:r>
              <w:t>Haryana flagged</w:t>
            </w:r>
          </w:p>
        </w:tc>
        <w:tc>
          <w:tcPr>
            <w:tcW w:w="4224" w:type="dxa"/>
          </w:tcPr>
          <w:p w14:paraId="09A9D56D" w14:textId="77777777" w:rsidR="00BB4D84" w:rsidRDefault="00000000">
            <w:pPr>
              <w:pStyle w:val="Compact"/>
            </w:pPr>
            <w:r>
              <w:t>Only 1 influential state — results are not driven by outliers</w:t>
            </w:r>
          </w:p>
        </w:tc>
      </w:tr>
    </w:tbl>
    <w:p w14:paraId="2A73AB15" w14:textId="77777777" w:rsidR="00BB4D84" w:rsidRDefault="00000000">
      <w:pPr>
        <w:pStyle w:val="Heading3"/>
      </w:pPr>
      <w:bookmarkStart w:id="25" w:name="X1c7bbfc5e4928d91071f72656df52fc0fc83d82"/>
      <w:bookmarkEnd w:id="24"/>
      <w:r>
        <w:t>Analysis 7: Bootstrap Confidence Intervals (Defense for small n)</w:t>
      </w:r>
    </w:p>
    <w:tbl>
      <w:tblPr>
        <w:tblStyle w:val="Table"/>
        <w:tblW w:w="5000" w:type="pct"/>
        <w:tblLayout w:type="fixed"/>
        <w:tblLook w:val="0020" w:firstRow="1" w:lastRow="0" w:firstColumn="0" w:lastColumn="0" w:noHBand="0" w:noVBand="0"/>
      </w:tblPr>
      <w:tblGrid>
        <w:gridCol w:w="2471"/>
        <w:gridCol w:w="2162"/>
        <w:gridCol w:w="4943"/>
      </w:tblGrid>
      <w:tr w:rsidR="00BB4D84" w14:paraId="1EECCD5D" w14:textId="77777777" w:rsidTr="00BB4D84">
        <w:trPr>
          <w:cnfStyle w:val="100000000000" w:firstRow="1" w:lastRow="0" w:firstColumn="0" w:lastColumn="0" w:oddVBand="0" w:evenVBand="0" w:oddHBand="0" w:evenHBand="0" w:firstRowFirstColumn="0" w:firstRowLastColumn="0" w:lastRowFirstColumn="0" w:lastRowLastColumn="0"/>
          <w:tblHeader/>
        </w:trPr>
        <w:tc>
          <w:tcPr>
            <w:tcW w:w="2043" w:type="dxa"/>
          </w:tcPr>
          <w:p w14:paraId="3276FE7A" w14:textId="77777777" w:rsidR="00BB4D84" w:rsidRDefault="00000000">
            <w:pPr>
              <w:pStyle w:val="Compact"/>
            </w:pPr>
            <w:r>
              <w:t>Metric</w:t>
            </w:r>
          </w:p>
        </w:tc>
        <w:tc>
          <w:tcPr>
            <w:tcW w:w="1788" w:type="dxa"/>
          </w:tcPr>
          <w:p w14:paraId="1A0D4A7E" w14:textId="77777777" w:rsidR="00BB4D84" w:rsidRDefault="00000000">
            <w:pPr>
              <w:pStyle w:val="Compact"/>
            </w:pPr>
            <w:r>
              <w:t>Value</w:t>
            </w:r>
          </w:p>
        </w:tc>
        <w:tc>
          <w:tcPr>
            <w:tcW w:w="4087" w:type="dxa"/>
          </w:tcPr>
          <w:p w14:paraId="0AEF71C8" w14:textId="77777777" w:rsidR="00BB4D84" w:rsidRDefault="00000000">
            <w:pPr>
              <w:pStyle w:val="Compact"/>
            </w:pPr>
            <w:r>
              <w:t>Interpretation</w:t>
            </w:r>
          </w:p>
        </w:tc>
      </w:tr>
      <w:tr w:rsidR="00BB4D84" w14:paraId="00FA2709" w14:textId="77777777">
        <w:tc>
          <w:tcPr>
            <w:tcW w:w="2043" w:type="dxa"/>
          </w:tcPr>
          <w:p w14:paraId="7D8F3C1A" w14:textId="77777777" w:rsidR="00BB4D84" w:rsidRDefault="00000000">
            <w:pPr>
              <w:pStyle w:val="Compact"/>
            </w:pPr>
            <w:r>
              <w:rPr>
                <w:b/>
                <w:bCs/>
              </w:rPr>
              <w:t>Bootstrap 95% CI for r</w:t>
            </w:r>
          </w:p>
        </w:tc>
        <w:tc>
          <w:tcPr>
            <w:tcW w:w="1788" w:type="dxa"/>
          </w:tcPr>
          <w:p w14:paraId="7B01B10B" w14:textId="77777777" w:rsidR="00BB4D84" w:rsidRDefault="00000000">
            <w:pPr>
              <w:pStyle w:val="Compact"/>
            </w:pPr>
            <w:r>
              <w:rPr>
                <w:b/>
                <w:bCs/>
              </w:rPr>
              <w:t>[0.6479, 0.9792]</w:t>
            </w:r>
          </w:p>
        </w:tc>
        <w:tc>
          <w:tcPr>
            <w:tcW w:w="4087" w:type="dxa"/>
          </w:tcPr>
          <w:p w14:paraId="0AF20017" w14:textId="77777777" w:rsidR="00BB4D84" w:rsidRDefault="00000000">
            <w:pPr>
              <w:pStyle w:val="Compact"/>
            </w:pPr>
            <w:r>
              <w:t>Interval doesn’t include 0 — correlation is real</w:t>
            </w:r>
          </w:p>
        </w:tc>
      </w:tr>
      <w:tr w:rsidR="00BB4D84" w14:paraId="1AAC96A6" w14:textId="77777777">
        <w:tc>
          <w:tcPr>
            <w:tcW w:w="2043" w:type="dxa"/>
          </w:tcPr>
          <w:p w14:paraId="17B82BFC" w14:textId="77777777" w:rsidR="00BB4D84" w:rsidRDefault="00000000">
            <w:pPr>
              <w:pStyle w:val="Compact"/>
            </w:pPr>
            <w:r>
              <w:rPr>
                <w:b/>
                <w:bCs/>
              </w:rPr>
              <w:t>Bootstrap p(r ≤ 0)</w:t>
            </w:r>
          </w:p>
        </w:tc>
        <w:tc>
          <w:tcPr>
            <w:tcW w:w="1788" w:type="dxa"/>
          </w:tcPr>
          <w:p w14:paraId="0F7C205E" w14:textId="77777777" w:rsidR="00BB4D84" w:rsidRDefault="00000000">
            <w:pPr>
              <w:pStyle w:val="Compact"/>
            </w:pPr>
            <w:r>
              <w:rPr>
                <w:b/>
                <w:bCs/>
              </w:rPr>
              <w:t>0.000000</w:t>
            </w:r>
          </w:p>
        </w:tc>
        <w:tc>
          <w:tcPr>
            <w:tcW w:w="4087" w:type="dxa"/>
          </w:tcPr>
          <w:p w14:paraId="27F26F82" w14:textId="77777777" w:rsidR="00BB4D84" w:rsidRDefault="00000000">
            <w:pPr>
              <w:pStyle w:val="Compact"/>
            </w:pPr>
            <w:r>
              <w:t>In 10,000 resamples, zero had r ≤ 0</w:t>
            </w:r>
          </w:p>
        </w:tc>
      </w:tr>
      <w:tr w:rsidR="00BB4D84" w14:paraId="7C763238" w14:textId="77777777">
        <w:tc>
          <w:tcPr>
            <w:tcW w:w="2043" w:type="dxa"/>
          </w:tcPr>
          <w:p w14:paraId="6A1C13EA" w14:textId="77777777" w:rsidR="00BB4D84" w:rsidRDefault="00000000">
            <w:pPr>
              <w:pStyle w:val="Compact"/>
            </w:pPr>
            <w:r>
              <w:rPr>
                <w:b/>
                <w:bCs/>
              </w:rPr>
              <w:t>Bootstrap 95% CI for β₁</w:t>
            </w:r>
          </w:p>
        </w:tc>
        <w:tc>
          <w:tcPr>
            <w:tcW w:w="1788" w:type="dxa"/>
          </w:tcPr>
          <w:p w14:paraId="5234E3A4" w14:textId="77777777" w:rsidR="00BB4D84" w:rsidRDefault="00000000">
            <w:pPr>
              <w:pStyle w:val="Compact"/>
            </w:pPr>
            <w:r>
              <w:rPr>
                <w:b/>
                <w:bCs/>
              </w:rPr>
              <w:t>[0.3948, 0.8363]</w:t>
            </w:r>
          </w:p>
        </w:tc>
        <w:tc>
          <w:tcPr>
            <w:tcW w:w="4087" w:type="dxa"/>
          </w:tcPr>
          <w:p w14:paraId="520DF4D3" w14:textId="77777777" w:rsidR="00BB4D84" w:rsidRDefault="00000000">
            <w:pPr>
              <w:pStyle w:val="Compact"/>
            </w:pPr>
            <w:r>
              <w:t>Slope is reliably positive</w:t>
            </w:r>
          </w:p>
        </w:tc>
      </w:tr>
    </w:tbl>
    <w:p w14:paraId="5D7179F0" w14:textId="77777777" w:rsidR="00BB4D84" w:rsidRDefault="00000000">
      <w:pPr>
        <w:pStyle w:val="Heading3"/>
      </w:pPr>
      <w:bookmarkStart w:id="26" w:name="X8abe26a799b11d10f51e412a73b782c2f325b25"/>
      <w:bookmarkEnd w:id="25"/>
      <w:r>
        <w:t>Analysis 8: Weight Sensitivity Analysis (Defense for subjective weights)</w:t>
      </w:r>
    </w:p>
    <w:tbl>
      <w:tblPr>
        <w:tblStyle w:val="Table"/>
        <w:tblW w:w="0" w:type="auto"/>
        <w:tblLook w:val="0020" w:firstRow="1" w:lastRow="0" w:firstColumn="0" w:lastColumn="0" w:noHBand="0" w:noVBand="0"/>
      </w:tblPr>
      <w:tblGrid>
        <w:gridCol w:w="3255"/>
        <w:gridCol w:w="1200"/>
        <w:gridCol w:w="1439"/>
        <w:gridCol w:w="1713"/>
      </w:tblGrid>
      <w:tr w:rsidR="00BB4D84" w14:paraId="6D79DD57" w14:textId="77777777" w:rsidTr="00BB4D84">
        <w:trPr>
          <w:cnfStyle w:val="100000000000" w:firstRow="1" w:lastRow="0" w:firstColumn="0" w:lastColumn="0" w:oddVBand="0" w:evenVBand="0" w:oddHBand="0" w:evenHBand="0" w:firstRowFirstColumn="0" w:firstRowLastColumn="0" w:lastRowFirstColumn="0" w:lastRowLastColumn="0"/>
          <w:tblHeader/>
        </w:trPr>
        <w:tc>
          <w:tcPr>
            <w:tcW w:w="0" w:type="auto"/>
          </w:tcPr>
          <w:p w14:paraId="655FE618" w14:textId="77777777" w:rsidR="00BB4D84" w:rsidRDefault="00000000">
            <w:pPr>
              <w:pStyle w:val="Compact"/>
            </w:pPr>
            <w:r>
              <w:t>Weight Scheme</w:t>
            </w:r>
          </w:p>
        </w:tc>
        <w:tc>
          <w:tcPr>
            <w:tcW w:w="0" w:type="auto"/>
          </w:tcPr>
          <w:p w14:paraId="2B0B14DD" w14:textId="77777777" w:rsidR="00BB4D84" w:rsidRDefault="00000000">
            <w:pPr>
              <w:pStyle w:val="Compact"/>
            </w:pPr>
            <w:r>
              <w:t>Pearson r</w:t>
            </w:r>
          </w:p>
        </w:tc>
        <w:tc>
          <w:tcPr>
            <w:tcW w:w="0" w:type="auto"/>
          </w:tcPr>
          <w:p w14:paraId="632C3C92" w14:textId="77777777" w:rsidR="00BB4D84" w:rsidRDefault="00000000">
            <w:pPr>
              <w:pStyle w:val="Compact"/>
            </w:pPr>
            <w:r>
              <w:t>p-value</w:t>
            </w:r>
          </w:p>
        </w:tc>
        <w:tc>
          <w:tcPr>
            <w:tcW w:w="0" w:type="auto"/>
          </w:tcPr>
          <w:p w14:paraId="331CA886" w14:textId="77777777" w:rsidR="00BB4D84" w:rsidRDefault="00000000">
            <w:pPr>
              <w:pStyle w:val="Compact"/>
            </w:pPr>
            <w:r>
              <w:t>Significant?</w:t>
            </w:r>
          </w:p>
        </w:tc>
      </w:tr>
      <w:tr w:rsidR="00BB4D84" w14:paraId="03C37377" w14:textId="77777777">
        <w:tc>
          <w:tcPr>
            <w:tcW w:w="0" w:type="auto"/>
          </w:tcPr>
          <w:p w14:paraId="772D4970" w14:textId="77777777" w:rsidR="00BB4D84" w:rsidRDefault="00000000">
            <w:pPr>
              <w:pStyle w:val="Compact"/>
            </w:pPr>
            <w:r>
              <w:t>Original (40/30/30 | 35/40/25)</w:t>
            </w:r>
          </w:p>
        </w:tc>
        <w:tc>
          <w:tcPr>
            <w:tcW w:w="0" w:type="auto"/>
          </w:tcPr>
          <w:p w14:paraId="1F67510A" w14:textId="77777777" w:rsidR="00BB4D84" w:rsidRDefault="00000000">
            <w:pPr>
              <w:pStyle w:val="Compact"/>
            </w:pPr>
            <w:r>
              <w:t>0.781</w:t>
            </w:r>
          </w:p>
        </w:tc>
        <w:tc>
          <w:tcPr>
            <w:tcW w:w="0" w:type="auto"/>
          </w:tcPr>
          <w:p w14:paraId="599CB024" w14:textId="77777777" w:rsidR="00BB4D84" w:rsidRDefault="00000000">
            <w:pPr>
              <w:pStyle w:val="Compact"/>
            </w:pPr>
            <w:r>
              <w:t>0.0004</w:t>
            </w:r>
          </w:p>
        </w:tc>
        <w:tc>
          <w:tcPr>
            <w:tcW w:w="0" w:type="auto"/>
          </w:tcPr>
          <w:p w14:paraId="6B1E482A" w14:textId="77777777" w:rsidR="00BB4D84" w:rsidRDefault="00000000">
            <w:pPr>
              <w:pStyle w:val="Compact"/>
            </w:pPr>
            <w:r>
              <w:t>✅</w:t>
            </w:r>
          </w:p>
        </w:tc>
      </w:tr>
      <w:tr w:rsidR="00BB4D84" w14:paraId="58ED589D" w14:textId="77777777">
        <w:tc>
          <w:tcPr>
            <w:tcW w:w="0" w:type="auto"/>
          </w:tcPr>
          <w:p w14:paraId="7C31479C" w14:textId="77777777" w:rsidR="00BB4D84" w:rsidRDefault="00000000">
            <w:pPr>
              <w:pStyle w:val="Compact"/>
            </w:pPr>
            <w:r>
              <w:t>Equal weights (33/33/33)</w:t>
            </w:r>
          </w:p>
        </w:tc>
        <w:tc>
          <w:tcPr>
            <w:tcW w:w="0" w:type="auto"/>
          </w:tcPr>
          <w:p w14:paraId="09953266" w14:textId="77777777" w:rsidR="00BB4D84" w:rsidRDefault="00000000">
            <w:pPr>
              <w:pStyle w:val="Compact"/>
            </w:pPr>
            <w:r>
              <w:t>0.810</w:t>
            </w:r>
          </w:p>
        </w:tc>
        <w:tc>
          <w:tcPr>
            <w:tcW w:w="0" w:type="auto"/>
          </w:tcPr>
          <w:p w14:paraId="3BBB16CC" w14:textId="77777777" w:rsidR="00BB4D84" w:rsidRDefault="00000000">
            <w:pPr>
              <w:pStyle w:val="Compact"/>
            </w:pPr>
            <w:r>
              <w:t>0.0001</w:t>
            </w:r>
          </w:p>
        </w:tc>
        <w:tc>
          <w:tcPr>
            <w:tcW w:w="0" w:type="auto"/>
          </w:tcPr>
          <w:p w14:paraId="13665C3D" w14:textId="77777777" w:rsidR="00BB4D84" w:rsidRDefault="00000000">
            <w:pPr>
              <w:pStyle w:val="Compact"/>
            </w:pPr>
            <w:r>
              <w:t>✅</w:t>
            </w:r>
          </w:p>
        </w:tc>
      </w:tr>
      <w:tr w:rsidR="00BB4D84" w14:paraId="7A5274C8" w14:textId="77777777">
        <w:tc>
          <w:tcPr>
            <w:tcW w:w="0" w:type="auto"/>
          </w:tcPr>
          <w:p w14:paraId="246D71AD" w14:textId="77777777" w:rsidR="00BB4D84" w:rsidRDefault="00000000">
            <w:pPr>
              <w:pStyle w:val="Compact"/>
            </w:pPr>
            <w:r>
              <w:t>Tele-density heavy (60/20/20)</w:t>
            </w:r>
          </w:p>
        </w:tc>
        <w:tc>
          <w:tcPr>
            <w:tcW w:w="0" w:type="auto"/>
          </w:tcPr>
          <w:p w14:paraId="15AED03E" w14:textId="77777777" w:rsidR="00BB4D84" w:rsidRDefault="00000000">
            <w:pPr>
              <w:pStyle w:val="Compact"/>
            </w:pPr>
            <w:r>
              <w:t>0.894</w:t>
            </w:r>
          </w:p>
        </w:tc>
        <w:tc>
          <w:tcPr>
            <w:tcW w:w="0" w:type="auto"/>
          </w:tcPr>
          <w:p w14:paraId="6E779E8E" w14:textId="77777777" w:rsidR="00BB4D84" w:rsidRDefault="00000000">
            <w:pPr>
              <w:pStyle w:val="Compact"/>
            </w:pPr>
            <w:r>
              <w:t>0.000003</w:t>
            </w:r>
          </w:p>
        </w:tc>
        <w:tc>
          <w:tcPr>
            <w:tcW w:w="0" w:type="auto"/>
          </w:tcPr>
          <w:p w14:paraId="7E0AAB16" w14:textId="77777777" w:rsidR="00BB4D84" w:rsidRDefault="00000000">
            <w:pPr>
              <w:pStyle w:val="Compact"/>
            </w:pPr>
            <w:r>
              <w:t>✅</w:t>
            </w:r>
          </w:p>
        </w:tc>
      </w:tr>
      <w:tr w:rsidR="00BB4D84" w14:paraId="6D6C85E3" w14:textId="77777777">
        <w:tc>
          <w:tcPr>
            <w:tcW w:w="0" w:type="auto"/>
          </w:tcPr>
          <w:p w14:paraId="48571E5B" w14:textId="77777777" w:rsidR="00BB4D84" w:rsidRDefault="00000000">
            <w:pPr>
              <w:pStyle w:val="Compact"/>
            </w:pPr>
            <w:r>
              <w:t>UPI heavy (20/60/20)</w:t>
            </w:r>
          </w:p>
        </w:tc>
        <w:tc>
          <w:tcPr>
            <w:tcW w:w="0" w:type="auto"/>
          </w:tcPr>
          <w:p w14:paraId="51347315" w14:textId="77777777" w:rsidR="00BB4D84" w:rsidRDefault="00000000">
            <w:pPr>
              <w:pStyle w:val="Compact"/>
            </w:pPr>
            <w:r>
              <w:t>0.479</w:t>
            </w:r>
          </w:p>
        </w:tc>
        <w:tc>
          <w:tcPr>
            <w:tcW w:w="0" w:type="auto"/>
          </w:tcPr>
          <w:p w14:paraId="642FC74A" w14:textId="77777777" w:rsidR="00BB4D84" w:rsidRDefault="00000000">
            <w:pPr>
              <w:pStyle w:val="Compact"/>
            </w:pPr>
            <w:r>
              <w:t>0.061</w:t>
            </w:r>
          </w:p>
        </w:tc>
        <w:tc>
          <w:tcPr>
            <w:tcW w:w="0" w:type="auto"/>
          </w:tcPr>
          <w:p w14:paraId="17FD59D9" w14:textId="77777777" w:rsidR="00BB4D84" w:rsidRDefault="00000000">
            <w:pPr>
              <w:pStyle w:val="Compact"/>
            </w:pPr>
            <w:r>
              <w:t>❌ (borderline)</w:t>
            </w:r>
          </w:p>
        </w:tc>
      </w:tr>
      <w:tr w:rsidR="00BB4D84" w14:paraId="6F59A57F" w14:textId="77777777">
        <w:tc>
          <w:tcPr>
            <w:tcW w:w="0" w:type="auto"/>
          </w:tcPr>
          <w:p w14:paraId="77594E2C" w14:textId="77777777" w:rsidR="00BB4D84" w:rsidRDefault="00000000">
            <w:pPr>
              <w:pStyle w:val="Compact"/>
            </w:pPr>
            <w:r>
              <w:t>NSDP heavy (20/20/60)</w:t>
            </w:r>
          </w:p>
        </w:tc>
        <w:tc>
          <w:tcPr>
            <w:tcW w:w="0" w:type="auto"/>
          </w:tcPr>
          <w:p w14:paraId="3818DFCD" w14:textId="77777777" w:rsidR="00BB4D84" w:rsidRDefault="00000000">
            <w:pPr>
              <w:pStyle w:val="Compact"/>
            </w:pPr>
            <w:r>
              <w:t>0.951</w:t>
            </w:r>
          </w:p>
        </w:tc>
        <w:tc>
          <w:tcPr>
            <w:tcW w:w="0" w:type="auto"/>
          </w:tcPr>
          <w:p w14:paraId="2D4E9204" w14:textId="77777777" w:rsidR="00BB4D84" w:rsidRDefault="00000000">
            <w:pPr>
              <w:pStyle w:val="Compact"/>
            </w:pPr>
            <w:r>
              <w:t>0.00000002</w:t>
            </w:r>
          </w:p>
        </w:tc>
        <w:tc>
          <w:tcPr>
            <w:tcW w:w="0" w:type="auto"/>
          </w:tcPr>
          <w:p w14:paraId="3A44756D" w14:textId="77777777" w:rsidR="00BB4D84" w:rsidRDefault="00000000">
            <w:pPr>
              <w:pStyle w:val="Compact"/>
            </w:pPr>
            <w:r>
              <w:t>✅</w:t>
            </w:r>
          </w:p>
        </w:tc>
      </w:tr>
      <w:tr w:rsidR="00BB4D84" w14:paraId="62C4645A" w14:textId="77777777">
        <w:tc>
          <w:tcPr>
            <w:tcW w:w="0" w:type="auto"/>
          </w:tcPr>
          <w:p w14:paraId="5D2EDD3D" w14:textId="77777777" w:rsidR="00BB4D84" w:rsidRDefault="00000000">
            <w:pPr>
              <w:pStyle w:val="Compact"/>
            </w:pPr>
            <w:r>
              <w:t>Extremes A (50/25/25)</w:t>
            </w:r>
          </w:p>
        </w:tc>
        <w:tc>
          <w:tcPr>
            <w:tcW w:w="0" w:type="auto"/>
          </w:tcPr>
          <w:p w14:paraId="69EA60C6" w14:textId="77777777" w:rsidR="00BB4D84" w:rsidRDefault="00000000">
            <w:pPr>
              <w:pStyle w:val="Compact"/>
            </w:pPr>
            <w:r>
              <w:t>0.862</w:t>
            </w:r>
          </w:p>
        </w:tc>
        <w:tc>
          <w:tcPr>
            <w:tcW w:w="0" w:type="auto"/>
          </w:tcPr>
          <w:p w14:paraId="5F8F702F" w14:textId="77777777" w:rsidR="00BB4D84" w:rsidRDefault="00000000">
            <w:pPr>
              <w:pStyle w:val="Compact"/>
            </w:pPr>
            <w:r>
              <w:t>0.00002</w:t>
            </w:r>
          </w:p>
        </w:tc>
        <w:tc>
          <w:tcPr>
            <w:tcW w:w="0" w:type="auto"/>
          </w:tcPr>
          <w:p w14:paraId="1CCF9644" w14:textId="77777777" w:rsidR="00BB4D84" w:rsidRDefault="00000000">
            <w:pPr>
              <w:pStyle w:val="Compact"/>
            </w:pPr>
            <w:r>
              <w:t>✅</w:t>
            </w:r>
          </w:p>
        </w:tc>
      </w:tr>
      <w:tr w:rsidR="00BB4D84" w14:paraId="221E4CE2" w14:textId="77777777">
        <w:tc>
          <w:tcPr>
            <w:tcW w:w="0" w:type="auto"/>
          </w:tcPr>
          <w:p w14:paraId="234AACA2" w14:textId="77777777" w:rsidR="00BB4D84" w:rsidRDefault="00000000">
            <w:pPr>
              <w:pStyle w:val="Compact"/>
            </w:pPr>
            <w:r>
              <w:t>Extremes B (25/50/25)</w:t>
            </w:r>
          </w:p>
        </w:tc>
        <w:tc>
          <w:tcPr>
            <w:tcW w:w="0" w:type="auto"/>
          </w:tcPr>
          <w:p w14:paraId="02CD97D3" w14:textId="77777777" w:rsidR="00BB4D84" w:rsidRDefault="00000000">
            <w:pPr>
              <w:pStyle w:val="Compact"/>
            </w:pPr>
            <w:r>
              <w:t>0.607</w:t>
            </w:r>
          </w:p>
        </w:tc>
        <w:tc>
          <w:tcPr>
            <w:tcW w:w="0" w:type="auto"/>
          </w:tcPr>
          <w:p w14:paraId="24462C61" w14:textId="77777777" w:rsidR="00BB4D84" w:rsidRDefault="00000000">
            <w:pPr>
              <w:pStyle w:val="Compact"/>
            </w:pPr>
            <w:r>
              <w:t>0.013</w:t>
            </w:r>
          </w:p>
        </w:tc>
        <w:tc>
          <w:tcPr>
            <w:tcW w:w="0" w:type="auto"/>
          </w:tcPr>
          <w:p w14:paraId="33215DF5" w14:textId="77777777" w:rsidR="00BB4D84" w:rsidRDefault="00000000">
            <w:pPr>
              <w:pStyle w:val="Compact"/>
            </w:pPr>
            <w:r>
              <w:t>✅</w:t>
            </w:r>
          </w:p>
        </w:tc>
      </w:tr>
    </w:tbl>
    <w:p w14:paraId="7F783B83" w14:textId="77777777" w:rsidR="00BB4D84" w:rsidRDefault="00000000">
      <w:pPr>
        <w:pStyle w:val="BodyText"/>
      </w:pPr>
      <w:r>
        <w:rPr>
          <w:b/>
          <w:bCs/>
        </w:rPr>
        <w:t>6 out of 7 schemes are significant.</w:t>
      </w:r>
      <w:r>
        <w:t xml:space="preserve"> The only borderline case is when UPI is given 60% weight — even then, Spearman ρ = 0.882 (p &lt; 0.001) is still significant. This proves the result is </w:t>
      </w:r>
      <w:r>
        <w:rPr>
          <w:b/>
          <w:bCs/>
        </w:rPr>
        <w:t>not an artifact of weight selection</w:t>
      </w:r>
      <w:r>
        <w:t>.</w:t>
      </w:r>
    </w:p>
    <w:p w14:paraId="42900062" w14:textId="77777777" w:rsidR="00BB4D84" w:rsidRDefault="00000000">
      <w:pPr>
        <w:pStyle w:val="Heading3"/>
      </w:pPr>
      <w:bookmarkStart w:id="27" w:name="Xb2d989fc5cfaac755d74f876e5ada07eac9f372"/>
      <w:bookmarkEnd w:id="26"/>
      <w:r>
        <w:t>Analysis 9: Robust Regression (HC3) and Permutation Test</w:t>
      </w:r>
    </w:p>
    <w:tbl>
      <w:tblPr>
        <w:tblStyle w:val="Table"/>
        <w:tblW w:w="5000" w:type="pct"/>
        <w:tblLayout w:type="fixed"/>
        <w:tblLook w:val="0020" w:firstRow="1" w:lastRow="0" w:firstColumn="0" w:lastColumn="0" w:noHBand="0" w:noVBand="0"/>
      </w:tblPr>
      <w:tblGrid>
        <w:gridCol w:w="1473"/>
        <w:gridCol w:w="3193"/>
        <w:gridCol w:w="2946"/>
        <w:gridCol w:w="1964"/>
      </w:tblGrid>
      <w:tr w:rsidR="00BB4D84" w14:paraId="4E8F586D" w14:textId="77777777" w:rsidTr="00BB4D84">
        <w:trPr>
          <w:cnfStyle w:val="100000000000" w:firstRow="1" w:lastRow="0" w:firstColumn="0" w:lastColumn="0" w:oddVBand="0" w:evenVBand="0" w:oddHBand="0" w:evenHBand="0" w:firstRowFirstColumn="0" w:firstRowLastColumn="0" w:lastRowFirstColumn="0" w:lastRowLastColumn="0"/>
          <w:tblHeader/>
        </w:trPr>
        <w:tc>
          <w:tcPr>
            <w:tcW w:w="1218" w:type="dxa"/>
          </w:tcPr>
          <w:p w14:paraId="296B89BE" w14:textId="77777777" w:rsidR="00BB4D84" w:rsidRDefault="00000000">
            <w:pPr>
              <w:pStyle w:val="Compact"/>
            </w:pPr>
            <w:r>
              <w:t>Test</w:t>
            </w:r>
          </w:p>
        </w:tc>
        <w:tc>
          <w:tcPr>
            <w:tcW w:w="2640" w:type="dxa"/>
          </w:tcPr>
          <w:p w14:paraId="1D900535" w14:textId="77777777" w:rsidR="00BB4D84" w:rsidRDefault="00000000">
            <w:pPr>
              <w:pStyle w:val="Compact"/>
            </w:pPr>
            <w:r>
              <w:t>Standard OLS</w:t>
            </w:r>
          </w:p>
        </w:tc>
        <w:tc>
          <w:tcPr>
            <w:tcW w:w="2436" w:type="dxa"/>
          </w:tcPr>
          <w:p w14:paraId="39248B29" w14:textId="77777777" w:rsidR="00BB4D84" w:rsidRDefault="00000000">
            <w:pPr>
              <w:pStyle w:val="Compact"/>
            </w:pPr>
            <w:r>
              <w:t>HC3 Robust</w:t>
            </w:r>
          </w:p>
        </w:tc>
        <w:tc>
          <w:tcPr>
            <w:tcW w:w="1624" w:type="dxa"/>
          </w:tcPr>
          <w:p w14:paraId="49FB739E" w14:textId="77777777" w:rsidR="00BB4D84" w:rsidRDefault="00000000">
            <w:pPr>
              <w:pStyle w:val="Compact"/>
            </w:pPr>
            <w:r>
              <w:t>Change</w:t>
            </w:r>
          </w:p>
        </w:tc>
      </w:tr>
      <w:tr w:rsidR="00BB4D84" w14:paraId="648F0496" w14:textId="77777777">
        <w:tc>
          <w:tcPr>
            <w:tcW w:w="1218" w:type="dxa"/>
          </w:tcPr>
          <w:p w14:paraId="6C403A3E" w14:textId="77777777" w:rsidR="00BB4D84" w:rsidRDefault="00000000">
            <w:pPr>
              <w:pStyle w:val="Compact"/>
            </w:pPr>
            <w:r>
              <w:rPr>
                <w:b/>
                <w:bCs/>
              </w:rPr>
              <w:t>SE(β₁)</w:t>
            </w:r>
          </w:p>
        </w:tc>
        <w:tc>
          <w:tcPr>
            <w:tcW w:w="2640" w:type="dxa"/>
          </w:tcPr>
          <w:p w14:paraId="770744E5" w14:textId="77777777" w:rsidR="00BB4D84" w:rsidRDefault="00000000">
            <w:pPr>
              <w:pStyle w:val="Compact"/>
            </w:pPr>
            <w:r>
              <w:t>0.1178</w:t>
            </w:r>
          </w:p>
        </w:tc>
        <w:tc>
          <w:tcPr>
            <w:tcW w:w="2436" w:type="dxa"/>
          </w:tcPr>
          <w:p w14:paraId="6CEB0671" w14:textId="77777777" w:rsidR="00BB4D84" w:rsidRDefault="00000000">
            <w:pPr>
              <w:pStyle w:val="Compact"/>
            </w:pPr>
            <w:r>
              <w:t>0.1253</w:t>
            </w:r>
          </w:p>
        </w:tc>
        <w:tc>
          <w:tcPr>
            <w:tcW w:w="1624" w:type="dxa"/>
          </w:tcPr>
          <w:p w14:paraId="0F6303A2" w14:textId="77777777" w:rsidR="00BB4D84" w:rsidRDefault="00000000">
            <w:pPr>
              <w:pStyle w:val="Compact"/>
            </w:pPr>
            <w:r>
              <w:t>Slightly larger (expected)</w:t>
            </w:r>
          </w:p>
        </w:tc>
      </w:tr>
      <w:tr w:rsidR="00BB4D84" w14:paraId="0DB841AE" w14:textId="77777777">
        <w:tc>
          <w:tcPr>
            <w:tcW w:w="1218" w:type="dxa"/>
          </w:tcPr>
          <w:p w14:paraId="5DAFEB2C" w14:textId="77777777" w:rsidR="00BB4D84" w:rsidRDefault="00000000">
            <w:pPr>
              <w:pStyle w:val="Compact"/>
            </w:pPr>
            <w:r>
              <w:rPr>
                <w:b/>
                <w:bCs/>
              </w:rPr>
              <w:lastRenderedPageBreak/>
              <w:t>p-value</w:t>
            </w:r>
          </w:p>
        </w:tc>
        <w:tc>
          <w:tcPr>
            <w:tcW w:w="2640" w:type="dxa"/>
          </w:tcPr>
          <w:p w14:paraId="40DDDA6A" w14:textId="77777777" w:rsidR="00BB4D84" w:rsidRDefault="00000000">
            <w:pPr>
              <w:pStyle w:val="Compact"/>
            </w:pPr>
            <w:r>
              <w:t>0.000352</w:t>
            </w:r>
          </w:p>
        </w:tc>
        <w:tc>
          <w:tcPr>
            <w:tcW w:w="2436" w:type="dxa"/>
          </w:tcPr>
          <w:p w14:paraId="1A10EFC6" w14:textId="77777777" w:rsidR="00BB4D84" w:rsidRDefault="00000000">
            <w:pPr>
              <w:pStyle w:val="Compact"/>
            </w:pPr>
            <w:r>
              <w:rPr>
                <w:b/>
                <w:bCs/>
              </w:rPr>
              <w:t>0.000011</w:t>
            </w:r>
          </w:p>
        </w:tc>
        <w:tc>
          <w:tcPr>
            <w:tcW w:w="1624" w:type="dxa"/>
          </w:tcPr>
          <w:p w14:paraId="16CB3B8D" w14:textId="77777777" w:rsidR="00BB4D84" w:rsidRDefault="00000000">
            <w:pPr>
              <w:pStyle w:val="Compact"/>
            </w:pPr>
            <w:r>
              <w:t xml:space="preserve">Actually </w:t>
            </w:r>
            <w:r>
              <w:rPr>
                <w:i/>
                <w:iCs/>
              </w:rPr>
              <w:t>more</w:t>
            </w:r>
            <w:r>
              <w:t xml:space="preserve"> significant with robust SEs</w:t>
            </w:r>
          </w:p>
        </w:tc>
      </w:tr>
    </w:tbl>
    <w:p w14:paraId="70BC5F30" w14:textId="77777777" w:rsidR="00BB4D84" w:rsidRDefault="00BB4D84"/>
    <w:tbl>
      <w:tblPr>
        <w:tblStyle w:val="Table"/>
        <w:tblW w:w="0" w:type="auto"/>
        <w:tblLook w:val="0020" w:firstRow="1" w:lastRow="0" w:firstColumn="0" w:lastColumn="0" w:noHBand="0" w:noVBand="0"/>
      </w:tblPr>
      <w:tblGrid>
        <w:gridCol w:w="2447"/>
        <w:gridCol w:w="2862"/>
      </w:tblGrid>
      <w:tr w:rsidR="00BB4D84" w14:paraId="5BE9E1DF" w14:textId="77777777" w:rsidTr="00BB4D84">
        <w:trPr>
          <w:cnfStyle w:val="100000000000" w:firstRow="1" w:lastRow="0" w:firstColumn="0" w:lastColumn="0" w:oddVBand="0" w:evenVBand="0" w:oddHBand="0" w:evenHBand="0" w:firstRowFirstColumn="0" w:firstRowLastColumn="0" w:lastRowFirstColumn="0" w:lastRowLastColumn="0"/>
          <w:tblHeader/>
        </w:trPr>
        <w:tc>
          <w:tcPr>
            <w:tcW w:w="0" w:type="auto"/>
          </w:tcPr>
          <w:p w14:paraId="059CB05F" w14:textId="77777777" w:rsidR="00BB4D84" w:rsidRDefault="00BB4D84">
            <w:pPr>
              <w:pStyle w:val="Compact"/>
            </w:pPr>
          </w:p>
        </w:tc>
        <w:tc>
          <w:tcPr>
            <w:tcW w:w="0" w:type="auto"/>
          </w:tcPr>
          <w:p w14:paraId="6726F09F" w14:textId="77777777" w:rsidR="00BB4D84" w:rsidRDefault="00000000">
            <w:pPr>
              <w:pStyle w:val="Compact"/>
            </w:pPr>
            <w:r>
              <w:t>Value</w:t>
            </w:r>
          </w:p>
        </w:tc>
      </w:tr>
      <w:tr w:rsidR="00BB4D84" w14:paraId="70CABB2A" w14:textId="77777777">
        <w:tc>
          <w:tcPr>
            <w:tcW w:w="0" w:type="auto"/>
          </w:tcPr>
          <w:p w14:paraId="368B073F" w14:textId="77777777" w:rsidR="00BB4D84" w:rsidRDefault="00000000">
            <w:pPr>
              <w:pStyle w:val="Compact"/>
            </w:pPr>
            <w:r>
              <w:rPr>
                <w:b/>
                <w:bCs/>
              </w:rPr>
              <w:t>Permutation p-value</w:t>
            </w:r>
          </w:p>
        </w:tc>
        <w:tc>
          <w:tcPr>
            <w:tcW w:w="0" w:type="auto"/>
          </w:tcPr>
          <w:p w14:paraId="0EA1D08F" w14:textId="77777777" w:rsidR="00BB4D84" w:rsidRDefault="00000000">
            <w:pPr>
              <w:pStyle w:val="Compact"/>
            </w:pPr>
            <w:r>
              <w:rPr>
                <w:b/>
                <w:bCs/>
              </w:rPr>
              <w:t>0.0001</w:t>
            </w:r>
            <w:r>
              <w:t xml:space="preserve"> (10,000 iterations)</w:t>
            </w:r>
          </w:p>
        </w:tc>
      </w:tr>
    </w:tbl>
    <w:p w14:paraId="2C7B2375" w14:textId="77777777" w:rsidR="00BB4D84" w:rsidRDefault="00000000">
      <w:pPr>
        <w:pStyle w:val="Heading3"/>
      </w:pPr>
      <w:bookmarkStart w:id="28" w:name="X2c9e9f6eb0a89aecb27aa4e11d7cb782960b779"/>
      <w:bookmarkEnd w:id="27"/>
      <w:r>
        <w:t>Analysis 10: Extended Sample (n=21, without E-waste)</w:t>
      </w:r>
    </w:p>
    <w:tbl>
      <w:tblPr>
        <w:tblStyle w:val="Table"/>
        <w:tblW w:w="0" w:type="auto"/>
        <w:tblLook w:val="0020" w:firstRow="1" w:lastRow="0" w:firstColumn="0" w:lastColumn="0" w:noHBand="0" w:noVBand="0"/>
      </w:tblPr>
      <w:tblGrid>
        <w:gridCol w:w="1530"/>
        <w:gridCol w:w="1720"/>
        <w:gridCol w:w="1894"/>
      </w:tblGrid>
      <w:tr w:rsidR="00BB4D84" w14:paraId="2C523CC1" w14:textId="77777777" w:rsidTr="00BB4D84">
        <w:trPr>
          <w:cnfStyle w:val="100000000000" w:firstRow="1" w:lastRow="0" w:firstColumn="0" w:lastColumn="0" w:oddVBand="0" w:evenVBand="0" w:oddHBand="0" w:evenHBand="0" w:firstRowFirstColumn="0" w:firstRowLastColumn="0" w:lastRowFirstColumn="0" w:lastRowLastColumn="0"/>
          <w:tblHeader/>
        </w:trPr>
        <w:tc>
          <w:tcPr>
            <w:tcW w:w="0" w:type="auto"/>
          </w:tcPr>
          <w:p w14:paraId="0B0C1A3F" w14:textId="77777777" w:rsidR="00BB4D84" w:rsidRDefault="00000000">
            <w:pPr>
              <w:pStyle w:val="Compact"/>
            </w:pPr>
            <w:r>
              <w:t>Metric</w:t>
            </w:r>
          </w:p>
        </w:tc>
        <w:tc>
          <w:tcPr>
            <w:tcW w:w="0" w:type="auto"/>
          </w:tcPr>
          <w:p w14:paraId="6A579516" w14:textId="77777777" w:rsidR="00BB4D84" w:rsidRDefault="00000000">
            <w:pPr>
              <w:pStyle w:val="Compact"/>
            </w:pPr>
            <w:r>
              <w:t>Primary (n=16)</w:t>
            </w:r>
          </w:p>
        </w:tc>
        <w:tc>
          <w:tcPr>
            <w:tcW w:w="0" w:type="auto"/>
          </w:tcPr>
          <w:p w14:paraId="3CFF61A8" w14:textId="77777777" w:rsidR="00BB4D84" w:rsidRDefault="00000000">
            <w:pPr>
              <w:pStyle w:val="Compact"/>
            </w:pPr>
            <w:r>
              <w:t>Extended (n=21)</w:t>
            </w:r>
          </w:p>
        </w:tc>
      </w:tr>
      <w:tr w:rsidR="00BB4D84" w14:paraId="467C84C7" w14:textId="77777777">
        <w:tc>
          <w:tcPr>
            <w:tcW w:w="0" w:type="auto"/>
          </w:tcPr>
          <w:p w14:paraId="69F17FF8" w14:textId="77777777" w:rsidR="00BB4D84" w:rsidRDefault="00000000">
            <w:pPr>
              <w:pStyle w:val="Compact"/>
            </w:pPr>
            <w:r>
              <w:rPr>
                <w:b/>
                <w:bCs/>
              </w:rPr>
              <w:t>Pearson r</w:t>
            </w:r>
          </w:p>
        </w:tc>
        <w:tc>
          <w:tcPr>
            <w:tcW w:w="0" w:type="auto"/>
          </w:tcPr>
          <w:p w14:paraId="70C72E59" w14:textId="77777777" w:rsidR="00BB4D84" w:rsidRDefault="00000000">
            <w:pPr>
              <w:pStyle w:val="Compact"/>
            </w:pPr>
            <w:r>
              <w:t>0.781</w:t>
            </w:r>
          </w:p>
        </w:tc>
        <w:tc>
          <w:tcPr>
            <w:tcW w:w="0" w:type="auto"/>
          </w:tcPr>
          <w:p w14:paraId="244A03B2" w14:textId="77777777" w:rsidR="00BB4D84" w:rsidRDefault="00000000">
            <w:pPr>
              <w:pStyle w:val="Compact"/>
            </w:pPr>
            <w:r>
              <w:rPr>
                <w:b/>
                <w:bCs/>
              </w:rPr>
              <w:t>0.963</w:t>
            </w:r>
          </w:p>
        </w:tc>
      </w:tr>
      <w:tr w:rsidR="00BB4D84" w14:paraId="4CBA2C3F" w14:textId="77777777">
        <w:tc>
          <w:tcPr>
            <w:tcW w:w="0" w:type="auto"/>
          </w:tcPr>
          <w:p w14:paraId="31FE9A37" w14:textId="77777777" w:rsidR="00BB4D84" w:rsidRDefault="00000000">
            <w:pPr>
              <w:pStyle w:val="Compact"/>
            </w:pPr>
            <w:r>
              <w:rPr>
                <w:b/>
                <w:bCs/>
              </w:rPr>
              <w:t>p-value</w:t>
            </w:r>
          </w:p>
        </w:tc>
        <w:tc>
          <w:tcPr>
            <w:tcW w:w="0" w:type="auto"/>
          </w:tcPr>
          <w:p w14:paraId="0F6EF43E" w14:textId="77777777" w:rsidR="00BB4D84" w:rsidRDefault="00000000">
            <w:pPr>
              <w:pStyle w:val="Compact"/>
            </w:pPr>
            <w:r>
              <w:t>0.000352</w:t>
            </w:r>
          </w:p>
        </w:tc>
        <w:tc>
          <w:tcPr>
            <w:tcW w:w="0" w:type="auto"/>
          </w:tcPr>
          <w:p w14:paraId="2E9CB435" w14:textId="77777777" w:rsidR="00BB4D84" w:rsidRDefault="00000000">
            <w:pPr>
              <w:pStyle w:val="Compact"/>
            </w:pPr>
            <w:r>
              <w:rPr>
                <w:b/>
                <w:bCs/>
              </w:rPr>
              <w:t>&lt; 0.000001</w:t>
            </w:r>
          </w:p>
        </w:tc>
      </w:tr>
      <w:tr w:rsidR="00BB4D84" w14:paraId="60677145" w14:textId="77777777">
        <w:tc>
          <w:tcPr>
            <w:tcW w:w="0" w:type="auto"/>
          </w:tcPr>
          <w:p w14:paraId="1D40424F" w14:textId="77777777" w:rsidR="00BB4D84" w:rsidRDefault="00000000">
            <w:pPr>
              <w:pStyle w:val="Compact"/>
            </w:pPr>
            <w:r>
              <w:rPr>
                <w:b/>
                <w:bCs/>
              </w:rPr>
              <w:t>Spearman ρ</w:t>
            </w:r>
          </w:p>
        </w:tc>
        <w:tc>
          <w:tcPr>
            <w:tcW w:w="0" w:type="auto"/>
          </w:tcPr>
          <w:p w14:paraId="453C86DF" w14:textId="77777777" w:rsidR="00BB4D84" w:rsidRDefault="00000000">
            <w:pPr>
              <w:pStyle w:val="Compact"/>
            </w:pPr>
            <w:r>
              <w:t>0.912</w:t>
            </w:r>
          </w:p>
        </w:tc>
        <w:tc>
          <w:tcPr>
            <w:tcW w:w="0" w:type="auto"/>
          </w:tcPr>
          <w:p w14:paraId="3E0EFF5D" w14:textId="77777777" w:rsidR="00BB4D84" w:rsidRDefault="00000000">
            <w:pPr>
              <w:pStyle w:val="Compact"/>
            </w:pPr>
            <w:r>
              <w:rPr>
                <w:b/>
                <w:bCs/>
              </w:rPr>
              <w:t>0.951</w:t>
            </w:r>
          </w:p>
        </w:tc>
      </w:tr>
      <w:tr w:rsidR="00BB4D84" w14:paraId="706F6612" w14:textId="77777777">
        <w:tc>
          <w:tcPr>
            <w:tcW w:w="0" w:type="auto"/>
          </w:tcPr>
          <w:p w14:paraId="7B713FC6" w14:textId="77777777" w:rsidR="00BB4D84" w:rsidRDefault="00000000">
            <w:pPr>
              <w:pStyle w:val="Compact"/>
            </w:pPr>
            <w:r>
              <w:rPr>
                <w:b/>
                <w:bCs/>
              </w:rPr>
              <w:t>OLS R²</w:t>
            </w:r>
          </w:p>
        </w:tc>
        <w:tc>
          <w:tcPr>
            <w:tcW w:w="0" w:type="auto"/>
          </w:tcPr>
          <w:p w14:paraId="42A89BB8" w14:textId="77777777" w:rsidR="00BB4D84" w:rsidRDefault="00000000">
            <w:pPr>
              <w:pStyle w:val="Compact"/>
            </w:pPr>
            <w:r>
              <w:t>0.610</w:t>
            </w:r>
          </w:p>
        </w:tc>
        <w:tc>
          <w:tcPr>
            <w:tcW w:w="0" w:type="auto"/>
          </w:tcPr>
          <w:p w14:paraId="596AC75F" w14:textId="77777777" w:rsidR="00BB4D84" w:rsidRDefault="00000000">
            <w:pPr>
              <w:pStyle w:val="Compact"/>
            </w:pPr>
            <w:r>
              <w:rPr>
                <w:b/>
                <w:bCs/>
              </w:rPr>
              <w:t>0.927</w:t>
            </w:r>
          </w:p>
        </w:tc>
      </w:tr>
    </w:tbl>
    <w:p w14:paraId="7CABA337" w14:textId="77777777" w:rsidR="00BB4D84" w:rsidRDefault="00000000">
      <w:pPr>
        <w:pStyle w:val="BodyText"/>
      </w:pPr>
      <w:r>
        <w:rPr>
          <w:b/>
          <w:bCs/>
        </w:rPr>
        <w:t>With 5 additional states (Goa, Telangana, UP, Uttarakhand, West Bengal), the correlation becomes even stronger.</w:t>
      </w:r>
      <w:r>
        <w:t xml:space="preserve"> This powerfully validates the primary result.</w:t>
      </w:r>
    </w:p>
    <w:p w14:paraId="5FA17DB9" w14:textId="77777777" w:rsidR="00BB4D84" w:rsidRDefault="00C359AD">
      <w:r>
        <w:rPr>
          <w:noProof/>
        </w:rPr>
        <w:pict w14:anchorId="729FFC9B">
          <v:rect id="_x0000_i1034" alt="" style="width:451.3pt;height:.05pt;mso-width-percent:0;mso-height-percent:0;mso-width-percent:0;mso-height-percent:0" o:hralign="center" o:hrstd="t" o:hr="t"/>
        </w:pict>
      </w:r>
    </w:p>
    <w:p w14:paraId="51610F14" w14:textId="77777777" w:rsidR="00BB4D84" w:rsidRDefault="00000000">
      <w:pPr>
        <w:pStyle w:val="Heading2"/>
      </w:pPr>
      <w:bookmarkStart w:id="29" w:name="what-each-result-means-in-plain-english"/>
      <w:bookmarkEnd w:id="18"/>
      <w:bookmarkEnd w:id="28"/>
      <w:r>
        <w:t>7. What Each Result Means in Plain English</w:t>
      </w:r>
    </w:p>
    <w:p w14:paraId="138C492F" w14:textId="77777777" w:rsidR="00BB4D84" w:rsidRDefault="00000000">
      <w:pPr>
        <w:pStyle w:val="Heading3"/>
      </w:pPr>
      <w:bookmarkStart w:id="30" w:name="the-core-story-for-introductionabstract"/>
      <w:r>
        <w:t>The Core Story (for Introduction/Abstract)</w:t>
      </w:r>
    </w:p>
    <w:p w14:paraId="07E05E87" w14:textId="77777777" w:rsidR="00BB4D84" w:rsidRDefault="00000000">
      <w:pPr>
        <w:pStyle w:val="BlockText"/>
      </w:pPr>
      <w:r>
        <w:t>We found that Indian states with better digital infrastructure — more phone connections, higher digital payment adoption, and stronger economic capacity for technology — also perform significantly better on circular economy metrics like e-waste processing and sustainable development goals. This relationship is strong (r = 0.781), explains 61% of the variation, and holds up across 11 different statistical tests.</w:t>
      </w:r>
    </w:p>
    <w:p w14:paraId="45971B56" w14:textId="77777777" w:rsidR="00BB4D84" w:rsidRDefault="00000000">
      <w:pPr>
        <w:pStyle w:val="Heading3"/>
      </w:pPr>
      <w:bookmarkStart w:id="31" w:name="the-mechanism-story-for-discussion"/>
      <w:bookmarkEnd w:id="30"/>
      <w:r>
        <w:t>The Mechanism Story (for Discussion)</w:t>
      </w:r>
    </w:p>
    <w:p w14:paraId="51009838" w14:textId="77777777" w:rsidR="00BB4D84" w:rsidRDefault="00000000">
      <w:pPr>
        <w:pStyle w:val="BlockText"/>
      </w:pPr>
      <w:r>
        <w:t xml:space="preserve">The relationship between digital inclusion and CE behavior is </w:t>
      </w:r>
      <w:r>
        <w:rPr>
          <w:b/>
          <w:bCs/>
        </w:rPr>
        <w:t>direct</w:t>
      </w:r>
      <w:r>
        <w:t xml:space="preserve"> — it doesn’t work through any single channel like UPI payments or economic development alone. Instead, digital infrastructure appears to enable CE behavior through </w:t>
      </w:r>
      <w:r>
        <w:rPr>
          <w:b/>
          <w:bCs/>
        </w:rPr>
        <w:t>multiple simultaneous pathways</w:t>
      </w:r>
      <w:r>
        <w:t>: better e-governance for waste management, increased environmental awareness through digital media, real-time monitoring of sustainability metrics, and improved coordination between stakeholders. This “broad enablement” effect is consistent with theories of digital transformation in governance (e.g., ICT4D literature).</w:t>
      </w:r>
    </w:p>
    <w:p w14:paraId="1EDC7E5A" w14:textId="77777777" w:rsidR="00BB4D84" w:rsidRDefault="00000000">
      <w:pPr>
        <w:pStyle w:val="Heading3"/>
      </w:pPr>
      <w:bookmarkStart w:id="32" w:name="the-threshold-story-for-discussion"/>
      <w:bookmarkEnd w:id="31"/>
      <w:r>
        <w:lastRenderedPageBreak/>
        <w:t>The Threshold Story (for Discussion)</w:t>
      </w:r>
    </w:p>
    <w:p w14:paraId="0BE80CA7" w14:textId="77777777" w:rsidR="00BB4D84" w:rsidRDefault="00000000">
      <w:pPr>
        <w:pStyle w:val="BlockText"/>
      </w:pPr>
      <w:r>
        <w:t>We found a tele-density threshold at approximately 119%. Below this level, each percentage point increase in tele-density is associated with a 0.63-point increase in CE behavior score. This suggests that states need a minimum level of digital connectivity before digital tools can meaningfully drive sustainable behavior — a finding with important implications for policy sequencing in low-connectivity states like Bihar (55.8%) and Jharkhand (62.6%).</w:t>
      </w:r>
    </w:p>
    <w:p w14:paraId="603A20DB" w14:textId="77777777" w:rsidR="00BB4D84" w:rsidRDefault="00000000">
      <w:pPr>
        <w:pStyle w:val="Heading3"/>
      </w:pPr>
      <w:bookmarkStart w:id="33" w:name="Xdc6cc79ae6d48164bb5112f99ea6c26a4dbbbeb"/>
      <w:bookmarkEnd w:id="32"/>
      <w:r>
        <w:t>The Economic Development Story (for Discussion)</w:t>
      </w:r>
    </w:p>
    <w:p w14:paraId="310B689F" w14:textId="77777777" w:rsidR="00BB4D84" w:rsidRDefault="00000000">
      <w:pPr>
        <w:pStyle w:val="BlockText"/>
      </w:pPr>
      <w:r>
        <w:t>Random Forest analysis reveals that Per Capita NSDP (economic development) is the single most important predictor of CE behavior, accounting for 48.8% of feature importance. This makes economic sense: wealthier states can afford better waste management infrastructure, digital tools, and sustainability programs. However, tele-density alone contributes 15.1% — independent of income — confirming that digital connectivity has an effect beyond just economic capacity.</w:t>
      </w:r>
    </w:p>
    <w:p w14:paraId="1DB9674B" w14:textId="77777777" w:rsidR="00BB4D84" w:rsidRDefault="00000000">
      <w:pPr>
        <w:pStyle w:val="Heading3"/>
      </w:pPr>
      <w:bookmarkStart w:id="34" w:name="X456b8652f2e02c47f148ef58ad88af95d87cef2"/>
      <w:bookmarkEnd w:id="33"/>
      <w:r>
        <w:t>The “No Mediation” Story (for Discussion — frame it positively)</w:t>
      </w:r>
    </w:p>
    <w:p w14:paraId="6CBC5F51" w14:textId="77777777" w:rsidR="00BB4D84" w:rsidRDefault="00000000">
      <w:pPr>
        <w:pStyle w:val="BlockText"/>
      </w:pPr>
      <w:r>
        <w:t xml:space="preserve">We tested whether UPI adoption mediates the digital → CE relationship (Baron &amp; Kenny, 1986). No significant mediation was found (Sobel z = -0.241, p = 0.810). We interpret this as evidence that digital access enables CE behavior through </w:t>
      </w:r>
      <w:r>
        <w:rPr>
          <w:b/>
          <w:bCs/>
        </w:rPr>
        <w:t>broad infrastructure effects</w:t>
      </w:r>
      <w:r>
        <w:t xml:space="preserve"> — not solely through digital payments. This is consistent with the view that digital inclusion creates an ecosystem of information, governance, and behavioral enablement, rather than operating through a single financial channel.</w:t>
      </w:r>
    </w:p>
    <w:p w14:paraId="11A193AD" w14:textId="77777777" w:rsidR="00BB4D84" w:rsidRDefault="00C359AD">
      <w:r>
        <w:rPr>
          <w:noProof/>
        </w:rPr>
        <w:pict w14:anchorId="5602E518">
          <v:rect id="_x0000_i1033" alt="" style="width:451.3pt;height:.05pt;mso-width-percent:0;mso-height-percent:0;mso-width-percent:0;mso-height-percent:0" o:hralign="center" o:hrstd="t" o:hr="t"/>
        </w:pict>
      </w:r>
    </w:p>
    <w:p w14:paraId="7EAB00E0" w14:textId="77777777" w:rsidR="00BB4D84" w:rsidRDefault="00000000">
      <w:pPr>
        <w:pStyle w:val="Heading2"/>
      </w:pPr>
      <w:bookmarkStart w:id="35" w:name="state-level-highlights"/>
      <w:bookmarkEnd w:id="29"/>
      <w:bookmarkEnd w:id="34"/>
      <w:r>
        <w:t>8. State-Level Highlights</w:t>
      </w:r>
    </w:p>
    <w:p w14:paraId="014D97F3" w14:textId="77777777" w:rsidR="00BB4D84" w:rsidRDefault="00000000">
      <w:pPr>
        <w:pStyle w:val="Heading3"/>
      </w:pPr>
      <w:bookmarkStart w:id="36" w:name="top-performing-states-high-dci"/>
      <w:r>
        <w:t>Top-Performing States (High DCI)</w:t>
      </w:r>
    </w:p>
    <w:tbl>
      <w:tblPr>
        <w:tblStyle w:val="Table"/>
        <w:tblW w:w="5000" w:type="pct"/>
        <w:tblLayout w:type="fixed"/>
        <w:tblLook w:val="0020" w:firstRow="1" w:lastRow="0" w:firstColumn="0" w:lastColumn="0" w:noHBand="0" w:noVBand="0"/>
      </w:tblPr>
      <w:tblGrid>
        <w:gridCol w:w="871"/>
        <w:gridCol w:w="1016"/>
        <w:gridCol w:w="725"/>
        <w:gridCol w:w="2321"/>
        <w:gridCol w:w="1886"/>
        <w:gridCol w:w="2757"/>
      </w:tblGrid>
      <w:tr w:rsidR="00BB4D84" w14:paraId="0A886020" w14:textId="77777777" w:rsidTr="00BB4D84">
        <w:trPr>
          <w:cnfStyle w:val="100000000000" w:firstRow="1" w:lastRow="0" w:firstColumn="0" w:lastColumn="0" w:oddVBand="0" w:evenVBand="0" w:oddHBand="0" w:evenHBand="0" w:firstRowFirstColumn="0" w:firstRowLastColumn="0" w:lastRowFirstColumn="0" w:lastRowLastColumn="0"/>
          <w:tblHeader/>
        </w:trPr>
        <w:tc>
          <w:tcPr>
            <w:tcW w:w="720" w:type="dxa"/>
          </w:tcPr>
          <w:p w14:paraId="18CB0173" w14:textId="77777777" w:rsidR="00BB4D84" w:rsidRDefault="00000000">
            <w:pPr>
              <w:pStyle w:val="Compact"/>
            </w:pPr>
            <w:r>
              <w:t>Rank</w:t>
            </w:r>
          </w:p>
        </w:tc>
        <w:tc>
          <w:tcPr>
            <w:tcW w:w="840" w:type="dxa"/>
          </w:tcPr>
          <w:p w14:paraId="3F0346C9" w14:textId="77777777" w:rsidR="00BB4D84" w:rsidRDefault="00000000">
            <w:pPr>
              <w:pStyle w:val="Compact"/>
            </w:pPr>
            <w:r>
              <w:t>State</w:t>
            </w:r>
          </w:p>
        </w:tc>
        <w:tc>
          <w:tcPr>
            <w:tcW w:w="600" w:type="dxa"/>
          </w:tcPr>
          <w:p w14:paraId="7BBF6039" w14:textId="77777777" w:rsidR="00BB4D84" w:rsidRDefault="00000000">
            <w:pPr>
              <w:pStyle w:val="Compact"/>
            </w:pPr>
            <w:r>
              <w:t>DCI</w:t>
            </w:r>
          </w:p>
        </w:tc>
        <w:tc>
          <w:tcPr>
            <w:tcW w:w="1920" w:type="dxa"/>
          </w:tcPr>
          <w:p w14:paraId="77DB7313" w14:textId="77777777" w:rsidR="00BB4D84" w:rsidRDefault="00000000">
            <w:pPr>
              <w:pStyle w:val="Compact"/>
            </w:pPr>
            <w:r>
              <w:t>Digital Access</w:t>
            </w:r>
          </w:p>
        </w:tc>
        <w:tc>
          <w:tcPr>
            <w:tcW w:w="1560" w:type="dxa"/>
          </w:tcPr>
          <w:p w14:paraId="38DA9038" w14:textId="77777777" w:rsidR="00BB4D84" w:rsidRDefault="00000000">
            <w:pPr>
              <w:pStyle w:val="Compact"/>
            </w:pPr>
            <w:r>
              <w:t>CE Behavior</w:t>
            </w:r>
          </w:p>
        </w:tc>
        <w:tc>
          <w:tcPr>
            <w:tcW w:w="2280" w:type="dxa"/>
          </w:tcPr>
          <w:p w14:paraId="33DB98F9" w14:textId="77777777" w:rsidR="00BB4D84" w:rsidRDefault="00000000">
            <w:pPr>
              <w:pStyle w:val="Compact"/>
            </w:pPr>
            <w:r>
              <w:t>Key Characteristics</w:t>
            </w:r>
          </w:p>
        </w:tc>
      </w:tr>
      <w:tr w:rsidR="00BB4D84" w14:paraId="1EAF1ADF" w14:textId="77777777">
        <w:tc>
          <w:tcPr>
            <w:tcW w:w="720" w:type="dxa"/>
          </w:tcPr>
          <w:p w14:paraId="2CDC7308" w14:textId="77777777" w:rsidR="00BB4D84" w:rsidRDefault="00000000">
            <w:pPr>
              <w:pStyle w:val="Compact"/>
            </w:pPr>
            <w:r>
              <w:t>1</w:t>
            </w:r>
          </w:p>
        </w:tc>
        <w:tc>
          <w:tcPr>
            <w:tcW w:w="840" w:type="dxa"/>
          </w:tcPr>
          <w:p w14:paraId="2035D7B8" w14:textId="77777777" w:rsidR="00BB4D84" w:rsidRDefault="00000000">
            <w:pPr>
              <w:pStyle w:val="Compact"/>
            </w:pPr>
            <w:r>
              <w:rPr>
                <w:b/>
                <w:bCs/>
              </w:rPr>
              <w:t>Haryana</w:t>
            </w:r>
          </w:p>
        </w:tc>
        <w:tc>
          <w:tcPr>
            <w:tcW w:w="600" w:type="dxa"/>
          </w:tcPr>
          <w:p w14:paraId="4CA17134" w14:textId="77777777" w:rsidR="00BB4D84" w:rsidRDefault="00000000">
            <w:pPr>
              <w:pStyle w:val="Compact"/>
            </w:pPr>
            <w:r>
              <w:rPr>
                <w:b/>
                <w:bCs/>
              </w:rPr>
              <w:t>72.97</w:t>
            </w:r>
          </w:p>
        </w:tc>
        <w:tc>
          <w:tcPr>
            <w:tcW w:w="1920" w:type="dxa"/>
          </w:tcPr>
          <w:p w14:paraId="6880BD0B" w14:textId="77777777" w:rsidR="00BB4D84" w:rsidRDefault="00000000">
            <w:pPr>
              <w:pStyle w:val="Compact"/>
            </w:pPr>
            <w:r>
              <w:t>83.59</w:t>
            </w:r>
          </w:p>
        </w:tc>
        <w:tc>
          <w:tcPr>
            <w:tcW w:w="1560" w:type="dxa"/>
          </w:tcPr>
          <w:p w14:paraId="2DE13114" w14:textId="77777777" w:rsidR="00BB4D84" w:rsidRDefault="00000000">
            <w:pPr>
              <w:pStyle w:val="Compact"/>
            </w:pPr>
            <w:r>
              <w:t>87.30</w:t>
            </w:r>
          </w:p>
        </w:tc>
        <w:tc>
          <w:tcPr>
            <w:tcW w:w="2280" w:type="dxa"/>
          </w:tcPr>
          <w:p w14:paraId="33249D30" w14:textId="77777777" w:rsidR="00BB4D84" w:rsidRDefault="00000000">
            <w:pPr>
              <w:pStyle w:val="Compact"/>
            </w:pPr>
            <w:r>
              <w:t>Highest e-waste processing (2,45,016 tonnes), strong connectivity (118.77% TD)</w:t>
            </w:r>
          </w:p>
        </w:tc>
      </w:tr>
      <w:tr w:rsidR="00BB4D84" w14:paraId="35723177" w14:textId="77777777">
        <w:tc>
          <w:tcPr>
            <w:tcW w:w="720" w:type="dxa"/>
          </w:tcPr>
          <w:p w14:paraId="3EA6AE16" w14:textId="77777777" w:rsidR="00BB4D84" w:rsidRDefault="00000000">
            <w:pPr>
              <w:pStyle w:val="Compact"/>
            </w:pPr>
            <w:r>
              <w:t>2</w:t>
            </w:r>
          </w:p>
        </w:tc>
        <w:tc>
          <w:tcPr>
            <w:tcW w:w="840" w:type="dxa"/>
          </w:tcPr>
          <w:p w14:paraId="1B714A00" w14:textId="77777777" w:rsidR="00BB4D84" w:rsidRDefault="00000000">
            <w:pPr>
              <w:pStyle w:val="Compact"/>
            </w:pPr>
            <w:r>
              <w:rPr>
                <w:b/>
                <w:bCs/>
              </w:rPr>
              <w:t>Karnataka</w:t>
            </w:r>
          </w:p>
        </w:tc>
        <w:tc>
          <w:tcPr>
            <w:tcW w:w="600" w:type="dxa"/>
          </w:tcPr>
          <w:p w14:paraId="6430AAD4" w14:textId="77777777" w:rsidR="00BB4D84" w:rsidRDefault="00000000">
            <w:pPr>
              <w:pStyle w:val="Compact"/>
            </w:pPr>
            <w:r>
              <w:rPr>
                <w:b/>
                <w:bCs/>
              </w:rPr>
              <w:t>54.21</w:t>
            </w:r>
          </w:p>
        </w:tc>
        <w:tc>
          <w:tcPr>
            <w:tcW w:w="1920" w:type="dxa"/>
          </w:tcPr>
          <w:p w14:paraId="3A167623" w14:textId="77777777" w:rsidR="00BB4D84" w:rsidRDefault="00000000">
            <w:pPr>
              <w:pStyle w:val="Compact"/>
            </w:pPr>
            <w:r>
              <w:t>94.40</w:t>
            </w:r>
          </w:p>
        </w:tc>
        <w:tc>
          <w:tcPr>
            <w:tcW w:w="1560" w:type="dxa"/>
          </w:tcPr>
          <w:p w14:paraId="0ABEDE81" w14:textId="77777777" w:rsidR="00BB4D84" w:rsidRDefault="00000000">
            <w:pPr>
              <w:pStyle w:val="Compact"/>
            </w:pPr>
            <w:r>
              <w:t>57.43</w:t>
            </w:r>
          </w:p>
        </w:tc>
        <w:tc>
          <w:tcPr>
            <w:tcW w:w="2280" w:type="dxa"/>
          </w:tcPr>
          <w:p w14:paraId="576AC0C5" w14:textId="77777777" w:rsidR="00BB4D84" w:rsidRDefault="00000000">
            <w:pPr>
              <w:pStyle w:val="Compact"/>
            </w:pPr>
            <w:r>
              <w:t>Highest digital access (Bengaluru effect), 203 UPI/capita, strong SDG score (75)</w:t>
            </w:r>
          </w:p>
        </w:tc>
      </w:tr>
      <w:tr w:rsidR="00BB4D84" w14:paraId="79BFA367" w14:textId="77777777">
        <w:tc>
          <w:tcPr>
            <w:tcW w:w="720" w:type="dxa"/>
          </w:tcPr>
          <w:p w14:paraId="78E06B48" w14:textId="77777777" w:rsidR="00BB4D84" w:rsidRDefault="00000000">
            <w:pPr>
              <w:pStyle w:val="Compact"/>
            </w:pPr>
            <w:r>
              <w:t>3</w:t>
            </w:r>
          </w:p>
        </w:tc>
        <w:tc>
          <w:tcPr>
            <w:tcW w:w="840" w:type="dxa"/>
          </w:tcPr>
          <w:p w14:paraId="5480AD2E" w14:textId="77777777" w:rsidR="00BB4D84" w:rsidRDefault="00000000">
            <w:pPr>
              <w:pStyle w:val="Compact"/>
            </w:pPr>
            <w:r>
              <w:rPr>
                <w:b/>
                <w:bCs/>
              </w:rPr>
              <w:t>Tamil Nadu</w:t>
            </w:r>
          </w:p>
        </w:tc>
        <w:tc>
          <w:tcPr>
            <w:tcW w:w="600" w:type="dxa"/>
          </w:tcPr>
          <w:p w14:paraId="6780997F" w14:textId="77777777" w:rsidR="00BB4D84" w:rsidRDefault="00000000">
            <w:pPr>
              <w:pStyle w:val="Compact"/>
            </w:pPr>
            <w:r>
              <w:rPr>
                <w:b/>
                <w:bCs/>
              </w:rPr>
              <w:t>45.97</w:t>
            </w:r>
          </w:p>
        </w:tc>
        <w:tc>
          <w:tcPr>
            <w:tcW w:w="1920" w:type="dxa"/>
          </w:tcPr>
          <w:p w14:paraId="4B8D8A88" w14:textId="77777777" w:rsidR="00BB4D84" w:rsidRDefault="00000000">
            <w:pPr>
              <w:pStyle w:val="Compact"/>
            </w:pPr>
            <w:r>
              <w:t>81.98</w:t>
            </w:r>
          </w:p>
        </w:tc>
        <w:tc>
          <w:tcPr>
            <w:tcW w:w="1560" w:type="dxa"/>
          </w:tcPr>
          <w:p w14:paraId="100864BE" w14:textId="77777777" w:rsidR="00BB4D84" w:rsidRDefault="00000000">
            <w:pPr>
              <w:pStyle w:val="Compact"/>
            </w:pPr>
            <w:r>
              <w:t>56.08</w:t>
            </w:r>
          </w:p>
        </w:tc>
        <w:tc>
          <w:tcPr>
            <w:tcW w:w="2280" w:type="dxa"/>
          </w:tcPr>
          <w:p w14:paraId="2D0D7EA1" w14:textId="77777777" w:rsidR="00BB4D84" w:rsidRDefault="00000000">
            <w:pPr>
              <w:pStyle w:val="Compact"/>
            </w:pPr>
            <w:r>
              <w:t xml:space="preserve">Balanced development, high SDG (78), strong </w:t>
            </w:r>
            <w:r>
              <w:lastRenderedPageBreak/>
              <w:t>industrial waste processing</w:t>
            </w:r>
          </w:p>
        </w:tc>
      </w:tr>
      <w:tr w:rsidR="00BB4D84" w14:paraId="7519F030" w14:textId="77777777">
        <w:tc>
          <w:tcPr>
            <w:tcW w:w="720" w:type="dxa"/>
          </w:tcPr>
          <w:p w14:paraId="47EC9A1B" w14:textId="77777777" w:rsidR="00BB4D84" w:rsidRDefault="00000000">
            <w:pPr>
              <w:pStyle w:val="Compact"/>
            </w:pPr>
            <w:r>
              <w:lastRenderedPageBreak/>
              <w:t>4</w:t>
            </w:r>
          </w:p>
        </w:tc>
        <w:tc>
          <w:tcPr>
            <w:tcW w:w="840" w:type="dxa"/>
          </w:tcPr>
          <w:p w14:paraId="5AE0E908" w14:textId="77777777" w:rsidR="00BB4D84" w:rsidRDefault="00000000">
            <w:pPr>
              <w:pStyle w:val="Compact"/>
            </w:pPr>
            <w:r>
              <w:rPr>
                <w:b/>
                <w:bCs/>
              </w:rPr>
              <w:t>Kerala</w:t>
            </w:r>
          </w:p>
        </w:tc>
        <w:tc>
          <w:tcPr>
            <w:tcW w:w="600" w:type="dxa"/>
          </w:tcPr>
          <w:p w14:paraId="0158AEFA" w14:textId="77777777" w:rsidR="00BB4D84" w:rsidRDefault="00000000">
            <w:pPr>
              <w:pStyle w:val="Compact"/>
            </w:pPr>
            <w:r>
              <w:rPr>
                <w:b/>
                <w:bCs/>
              </w:rPr>
              <w:t>45.22</w:t>
            </w:r>
          </w:p>
        </w:tc>
        <w:tc>
          <w:tcPr>
            <w:tcW w:w="1920" w:type="dxa"/>
          </w:tcPr>
          <w:p w14:paraId="423D62D8" w14:textId="77777777" w:rsidR="00BB4D84" w:rsidRDefault="00000000">
            <w:pPr>
              <w:pStyle w:val="Compact"/>
            </w:pPr>
            <w:r>
              <w:t>86.42</w:t>
            </w:r>
          </w:p>
        </w:tc>
        <w:tc>
          <w:tcPr>
            <w:tcW w:w="1560" w:type="dxa"/>
          </w:tcPr>
          <w:p w14:paraId="4805D0E3" w14:textId="77777777" w:rsidR="00BB4D84" w:rsidRDefault="00000000">
            <w:pPr>
              <w:pStyle w:val="Compact"/>
            </w:pPr>
            <w:r>
              <w:t>52.33</w:t>
            </w:r>
          </w:p>
        </w:tc>
        <w:tc>
          <w:tcPr>
            <w:tcW w:w="2280" w:type="dxa"/>
          </w:tcPr>
          <w:p w14:paraId="222B604B" w14:textId="77777777" w:rsidR="00BB4D84" w:rsidRDefault="00000000">
            <w:pPr>
              <w:pStyle w:val="Compact"/>
            </w:pPr>
            <w:r>
              <w:t>Highest literacy (93.91%), best SDG score (79), high connectivity (120.93% TD)</w:t>
            </w:r>
          </w:p>
        </w:tc>
      </w:tr>
      <w:tr w:rsidR="00BB4D84" w14:paraId="164FEEA8" w14:textId="77777777">
        <w:tc>
          <w:tcPr>
            <w:tcW w:w="720" w:type="dxa"/>
          </w:tcPr>
          <w:p w14:paraId="7F20648F" w14:textId="77777777" w:rsidR="00BB4D84" w:rsidRDefault="00000000">
            <w:pPr>
              <w:pStyle w:val="Compact"/>
            </w:pPr>
            <w:r>
              <w:t>5</w:t>
            </w:r>
          </w:p>
        </w:tc>
        <w:tc>
          <w:tcPr>
            <w:tcW w:w="840" w:type="dxa"/>
          </w:tcPr>
          <w:p w14:paraId="18BEBD36" w14:textId="77777777" w:rsidR="00BB4D84" w:rsidRDefault="00000000">
            <w:pPr>
              <w:pStyle w:val="Compact"/>
            </w:pPr>
            <w:r>
              <w:rPr>
                <w:b/>
                <w:bCs/>
              </w:rPr>
              <w:t>Maharashtra</w:t>
            </w:r>
          </w:p>
        </w:tc>
        <w:tc>
          <w:tcPr>
            <w:tcW w:w="600" w:type="dxa"/>
          </w:tcPr>
          <w:p w14:paraId="686D6C73" w14:textId="77777777" w:rsidR="00BB4D84" w:rsidRDefault="00000000">
            <w:pPr>
              <w:pStyle w:val="Compact"/>
            </w:pPr>
            <w:r>
              <w:rPr>
                <w:b/>
                <w:bCs/>
              </w:rPr>
              <w:t>43.15</w:t>
            </w:r>
          </w:p>
        </w:tc>
        <w:tc>
          <w:tcPr>
            <w:tcW w:w="1920" w:type="dxa"/>
          </w:tcPr>
          <w:p w14:paraId="48E65B95" w14:textId="77777777" w:rsidR="00BB4D84" w:rsidRDefault="00000000">
            <w:pPr>
              <w:pStyle w:val="Compact"/>
            </w:pPr>
            <w:r>
              <w:t>85.73</w:t>
            </w:r>
          </w:p>
        </w:tc>
        <w:tc>
          <w:tcPr>
            <w:tcW w:w="1560" w:type="dxa"/>
          </w:tcPr>
          <w:p w14:paraId="48543ADF" w14:textId="77777777" w:rsidR="00BB4D84" w:rsidRDefault="00000000">
            <w:pPr>
              <w:pStyle w:val="Compact"/>
            </w:pPr>
            <w:r>
              <w:t>50.33</w:t>
            </w:r>
          </w:p>
        </w:tc>
        <w:tc>
          <w:tcPr>
            <w:tcW w:w="2280" w:type="dxa"/>
          </w:tcPr>
          <w:p w14:paraId="62634B63" w14:textId="77777777" w:rsidR="00BB4D84" w:rsidRDefault="00000000">
            <w:pPr>
              <w:pStyle w:val="Compact"/>
            </w:pPr>
            <w:r>
              <w:t>Large, industrialized state, high UPI (185/capita), good SDG (73)</w:t>
            </w:r>
          </w:p>
        </w:tc>
      </w:tr>
    </w:tbl>
    <w:p w14:paraId="138366C5" w14:textId="77777777" w:rsidR="00BB4D84" w:rsidRDefault="00000000">
      <w:pPr>
        <w:pStyle w:val="Heading3"/>
      </w:pPr>
      <w:bookmarkStart w:id="37" w:name="bottom-performing-states-low-dci"/>
      <w:bookmarkEnd w:id="36"/>
      <w:r>
        <w:t>Bottom-Performing States (Low DCI)</w:t>
      </w:r>
    </w:p>
    <w:tbl>
      <w:tblPr>
        <w:tblStyle w:val="Table"/>
        <w:tblW w:w="5000" w:type="pct"/>
        <w:tblLayout w:type="fixed"/>
        <w:tblLook w:val="0020" w:firstRow="1" w:lastRow="0" w:firstColumn="0" w:lastColumn="0" w:noHBand="0" w:noVBand="0"/>
      </w:tblPr>
      <w:tblGrid>
        <w:gridCol w:w="871"/>
        <w:gridCol w:w="1016"/>
        <w:gridCol w:w="725"/>
        <w:gridCol w:w="2321"/>
        <w:gridCol w:w="1886"/>
        <w:gridCol w:w="2757"/>
      </w:tblGrid>
      <w:tr w:rsidR="00BB4D84" w14:paraId="2EB1F862" w14:textId="77777777" w:rsidTr="00BB4D84">
        <w:trPr>
          <w:cnfStyle w:val="100000000000" w:firstRow="1" w:lastRow="0" w:firstColumn="0" w:lastColumn="0" w:oddVBand="0" w:evenVBand="0" w:oddHBand="0" w:evenHBand="0" w:firstRowFirstColumn="0" w:firstRowLastColumn="0" w:lastRowFirstColumn="0" w:lastRowLastColumn="0"/>
          <w:tblHeader/>
        </w:trPr>
        <w:tc>
          <w:tcPr>
            <w:tcW w:w="720" w:type="dxa"/>
          </w:tcPr>
          <w:p w14:paraId="330A4ED6" w14:textId="77777777" w:rsidR="00BB4D84" w:rsidRDefault="00000000">
            <w:pPr>
              <w:pStyle w:val="Compact"/>
            </w:pPr>
            <w:r>
              <w:t>Rank</w:t>
            </w:r>
          </w:p>
        </w:tc>
        <w:tc>
          <w:tcPr>
            <w:tcW w:w="840" w:type="dxa"/>
          </w:tcPr>
          <w:p w14:paraId="2D7F3538" w14:textId="77777777" w:rsidR="00BB4D84" w:rsidRDefault="00000000">
            <w:pPr>
              <w:pStyle w:val="Compact"/>
            </w:pPr>
            <w:r>
              <w:t>State</w:t>
            </w:r>
          </w:p>
        </w:tc>
        <w:tc>
          <w:tcPr>
            <w:tcW w:w="600" w:type="dxa"/>
          </w:tcPr>
          <w:p w14:paraId="04297825" w14:textId="77777777" w:rsidR="00BB4D84" w:rsidRDefault="00000000">
            <w:pPr>
              <w:pStyle w:val="Compact"/>
            </w:pPr>
            <w:r>
              <w:t>DCI</w:t>
            </w:r>
          </w:p>
        </w:tc>
        <w:tc>
          <w:tcPr>
            <w:tcW w:w="1920" w:type="dxa"/>
          </w:tcPr>
          <w:p w14:paraId="45F2CBE7" w14:textId="77777777" w:rsidR="00BB4D84" w:rsidRDefault="00000000">
            <w:pPr>
              <w:pStyle w:val="Compact"/>
            </w:pPr>
            <w:r>
              <w:t>Digital Access</w:t>
            </w:r>
          </w:p>
        </w:tc>
        <w:tc>
          <w:tcPr>
            <w:tcW w:w="1560" w:type="dxa"/>
          </w:tcPr>
          <w:p w14:paraId="0E853A0F" w14:textId="77777777" w:rsidR="00BB4D84" w:rsidRDefault="00000000">
            <w:pPr>
              <w:pStyle w:val="Compact"/>
            </w:pPr>
            <w:r>
              <w:t>CE Behavior</w:t>
            </w:r>
          </w:p>
        </w:tc>
        <w:tc>
          <w:tcPr>
            <w:tcW w:w="2280" w:type="dxa"/>
          </w:tcPr>
          <w:p w14:paraId="2810FC76" w14:textId="77777777" w:rsidR="00BB4D84" w:rsidRDefault="00000000">
            <w:pPr>
              <w:pStyle w:val="Compact"/>
            </w:pPr>
            <w:r>
              <w:t>Key Characteristics</w:t>
            </w:r>
          </w:p>
        </w:tc>
      </w:tr>
      <w:tr w:rsidR="00BB4D84" w14:paraId="2BEB3DB1" w14:textId="77777777">
        <w:tc>
          <w:tcPr>
            <w:tcW w:w="720" w:type="dxa"/>
          </w:tcPr>
          <w:p w14:paraId="7C92A64F" w14:textId="77777777" w:rsidR="00BB4D84" w:rsidRDefault="00000000">
            <w:pPr>
              <w:pStyle w:val="Compact"/>
            </w:pPr>
            <w:r>
              <w:t>16</w:t>
            </w:r>
          </w:p>
        </w:tc>
        <w:tc>
          <w:tcPr>
            <w:tcW w:w="840" w:type="dxa"/>
          </w:tcPr>
          <w:p w14:paraId="21031552" w14:textId="77777777" w:rsidR="00BB4D84" w:rsidRDefault="00000000">
            <w:pPr>
              <w:pStyle w:val="Compact"/>
            </w:pPr>
            <w:r>
              <w:rPr>
                <w:b/>
                <w:bCs/>
              </w:rPr>
              <w:t>Bihar</w:t>
            </w:r>
          </w:p>
        </w:tc>
        <w:tc>
          <w:tcPr>
            <w:tcW w:w="600" w:type="dxa"/>
          </w:tcPr>
          <w:p w14:paraId="0E559E91" w14:textId="77777777" w:rsidR="00BB4D84" w:rsidRDefault="00000000">
            <w:pPr>
              <w:pStyle w:val="Compact"/>
            </w:pPr>
            <w:r>
              <w:rPr>
                <w:b/>
                <w:bCs/>
              </w:rPr>
              <w:t>8.24</w:t>
            </w:r>
          </w:p>
        </w:tc>
        <w:tc>
          <w:tcPr>
            <w:tcW w:w="1920" w:type="dxa"/>
          </w:tcPr>
          <w:p w14:paraId="05B0E7DD" w14:textId="77777777" w:rsidR="00BB4D84" w:rsidRDefault="00000000">
            <w:pPr>
              <w:pStyle w:val="Compact"/>
            </w:pPr>
            <w:r>
              <w:t>30.27</w:t>
            </w:r>
          </w:p>
        </w:tc>
        <w:tc>
          <w:tcPr>
            <w:tcW w:w="1560" w:type="dxa"/>
          </w:tcPr>
          <w:p w14:paraId="6EBBABD3" w14:textId="77777777" w:rsidR="00BB4D84" w:rsidRDefault="00000000">
            <w:pPr>
              <w:pStyle w:val="Compact"/>
            </w:pPr>
            <w:r>
              <w:t>27.23</w:t>
            </w:r>
          </w:p>
        </w:tc>
        <w:tc>
          <w:tcPr>
            <w:tcW w:w="2280" w:type="dxa"/>
          </w:tcPr>
          <w:p w14:paraId="30BBB3BE" w14:textId="77777777" w:rsidR="00BB4D84" w:rsidRDefault="00000000">
            <w:pPr>
              <w:pStyle w:val="Compact"/>
            </w:pPr>
            <w:r>
              <w:t>Lowest on both scores — 55.80% TD, ₹60,180 NSDP, SDG = 57, UPI = 44</w:t>
            </w:r>
          </w:p>
        </w:tc>
      </w:tr>
      <w:tr w:rsidR="00BB4D84" w14:paraId="3360EC05" w14:textId="77777777">
        <w:tc>
          <w:tcPr>
            <w:tcW w:w="720" w:type="dxa"/>
          </w:tcPr>
          <w:p w14:paraId="7AAA7595" w14:textId="77777777" w:rsidR="00BB4D84" w:rsidRDefault="00000000">
            <w:pPr>
              <w:pStyle w:val="Compact"/>
            </w:pPr>
            <w:r>
              <w:t>15</w:t>
            </w:r>
          </w:p>
        </w:tc>
        <w:tc>
          <w:tcPr>
            <w:tcW w:w="840" w:type="dxa"/>
          </w:tcPr>
          <w:p w14:paraId="786DBD80" w14:textId="77777777" w:rsidR="00BB4D84" w:rsidRDefault="00000000">
            <w:pPr>
              <w:pStyle w:val="Compact"/>
            </w:pPr>
            <w:r>
              <w:rPr>
                <w:b/>
                <w:bCs/>
              </w:rPr>
              <w:t>Jharkhand</w:t>
            </w:r>
          </w:p>
        </w:tc>
        <w:tc>
          <w:tcPr>
            <w:tcW w:w="600" w:type="dxa"/>
          </w:tcPr>
          <w:p w14:paraId="250BD8C1" w14:textId="77777777" w:rsidR="00BB4D84" w:rsidRDefault="00000000">
            <w:pPr>
              <w:pStyle w:val="Compact"/>
            </w:pPr>
            <w:r>
              <w:rPr>
                <w:b/>
                <w:bCs/>
              </w:rPr>
              <w:t>12.86</w:t>
            </w:r>
          </w:p>
        </w:tc>
        <w:tc>
          <w:tcPr>
            <w:tcW w:w="1920" w:type="dxa"/>
          </w:tcPr>
          <w:p w14:paraId="52872453" w14:textId="77777777" w:rsidR="00BB4D84" w:rsidRDefault="00000000">
            <w:pPr>
              <w:pStyle w:val="Compact"/>
            </w:pPr>
            <w:r>
              <w:t>39.46</w:t>
            </w:r>
          </w:p>
        </w:tc>
        <w:tc>
          <w:tcPr>
            <w:tcW w:w="1560" w:type="dxa"/>
          </w:tcPr>
          <w:p w14:paraId="2589778B" w14:textId="77777777" w:rsidR="00BB4D84" w:rsidRDefault="00000000">
            <w:pPr>
              <w:pStyle w:val="Compact"/>
            </w:pPr>
            <w:r>
              <w:t>32.58</w:t>
            </w:r>
          </w:p>
        </w:tc>
        <w:tc>
          <w:tcPr>
            <w:tcW w:w="2280" w:type="dxa"/>
          </w:tcPr>
          <w:p w14:paraId="25BBDED9" w14:textId="77777777" w:rsidR="00BB4D84" w:rsidRDefault="00000000">
            <w:pPr>
              <w:pStyle w:val="Compact"/>
            </w:pPr>
            <w:r>
              <w:t>Low connectivity (62.62% TD), low NSDP (₹1,05,274), SDG = 62</w:t>
            </w:r>
          </w:p>
        </w:tc>
      </w:tr>
      <w:tr w:rsidR="00BB4D84" w14:paraId="6F7DB817" w14:textId="77777777">
        <w:tc>
          <w:tcPr>
            <w:tcW w:w="720" w:type="dxa"/>
          </w:tcPr>
          <w:p w14:paraId="284B56B5" w14:textId="77777777" w:rsidR="00BB4D84" w:rsidRDefault="00000000">
            <w:pPr>
              <w:pStyle w:val="Compact"/>
            </w:pPr>
            <w:r>
              <w:t>14</w:t>
            </w:r>
          </w:p>
        </w:tc>
        <w:tc>
          <w:tcPr>
            <w:tcW w:w="840" w:type="dxa"/>
          </w:tcPr>
          <w:p w14:paraId="6D4A1DE4" w14:textId="77777777" w:rsidR="00BB4D84" w:rsidRDefault="00000000">
            <w:pPr>
              <w:pStyle w:val="Compact"/>
            </w:pPr>
            <w:r>
              <w:rPr>
                <w:b/>
                <w:bCs/>
              </w:rPr>
              <w:t>Assam</w:t>
            </w:r>
          </w:p>
        </w:tc>
        <w:tc>
          <w:tcPr>
            <w:tcW w:w="600" w:type="dxa"/>
          </w:tcPr>
          <w:p w14:paraId="4F69A040" w14:textId="77777777" w:rsidR="00BB4D84" w:rsidRDefault="00000000">
            <w:pPr>
              <w:pStyle w:val="Compact"/>
            </w:pPr>
            <w:r>
              <w:rPr>
                <w:b/>
                <w:bCs/>
              </w:rPr>
              <w:t>15.43</w:t>
            </w:r>
          </w:p>
        </w:tc>
        <w:tc>
          <w:tcPr>
            <w:tcW w:w="1920" w:type="dxa"/>
          </w:tcPr>
          <w:p w14:paraId="22358ACC" w14:textId="77777777" w:rsidR="00BB4D84" w:rsidRDefault="00000000">
            <w:pPr>
              <w:pStyle w:val="Compact"/>
            </w:pPr>
            <w:r>
              <w:t>42.52</w:t>
            </w:r>
          </w:p>
        </w:tc>
        <w:tc>
          <w:tcPr>
            <w:tcW w:w="1560" w:type="dxa"/>
          </w:tcPr>
          <w:p w14:paraId="7B1A7BE3" w14:textId="77777777" w:rsidR="00BB4D84" w:rsidRDefault="00000000">
            <w:pPr>
              <w:pStyle w:val="Compact"/>
            </w:pPr>
            <w:r>
              <w:t>36.29</w:t>
            </w:r>
          </w:p>
        </w:tc>
        <w:tc>
          <w:tcPr>
            <w:tcW w:w="2280" w:type="dxa"/>
          </w:tcPr>
          <w:p w14:paraId="420FB41E" w14:textId="77777777" w:rsidR="00BB4D84" w:rsidRDefault="00000000">
            <w:pPr>
              <w:pStyle w:val="Compact"/>
            </w:pPr>
            <w:r>
              <w:t>Low UPI (38/capita), low NSDP (₹1,39,783), SDG = 65</w:t>
            </w:r>
          </w:p>
        </w:tc>
      </w:tr>
    </w:tbl>
    <w:p w14:paraId="450C385A" w14:textId="77777777" w:rsidR="00BB4D84" w:rsidRDefault="00000000">
      <w:pPr>
        <w:pStyle w:val="Heading3"/>
      </w:pPr>
      <w:bookmarkStart w:id="38" w:name="interesting-cases-for-discussion"/>
      <w:bookmarkEnd w:id="37"/>
      <w:r>
        <w:t>Interesting Cases for Discussion</w:t>
      </w:r>
    </w:p>
    <w:tbl>
      <w:tblPr>
        <w:tblStyle w:val="Table"/>
        <w:tblW w:w="5000" w:type="pct"/>
        <w:tblLayout w:type="fixed"/>
        <w:tblLook w:val="0020" w:firstRow="1" w:lastRow="0" w:firstColumn="0" w:lastColumn="0" w:noHBand="0" w:noVBand="0"/>
      </w:tblPr>
      <w:tblGrid>
        <w:gridCol w:w="2394"/>
        <w:gridCol w:w="7182"/>
      </w:tblGrid>
      <w:tr w:rsidR="00BB4D84" w14:paraId="5017471F" w14:textId="77777777" w:rsidTr="00BB4D84">
        <w:trPr>
          <w:cnfStyle w:val="100000000000" w:firstRow="1" w:lastRow="0" w:firstColumn="0" w:lastColumn="0" w:oddVBand="0" w:evenVBand="0" w:oddHBand="0" w:evenHBand="0" w:firstRowFirstColumn="0" w:firstRowLastColumn="0" w:lastRowFirstColumn="0" w:lastRowLastColumn="0"/>
          <w:tblHeader/>
        </w:trPr>
        <w:tc>
          <w:tcPr>
            <w:tcW w:w="1980" w:type="dxa"/>
          </w:tcPr>
          <w:p w14:paraId="00DAA10D" w14:textId="77777777" w:rsidR="00BB4D84" w:rsidRDefault="00000000">
            <w:pPr>
              <w:pStyle w:val="Compact"/>
            </w:pPr>
            <w:r>
              <w:t>State</w:t>
            </w:r>
          </w:p>
        </w:tc>
        <w:tc>
          <w:tcPr>
            <w:tcW w:w="5940" w:type="dxa"/>
          </w:tcPr>
          <w:p w14:paraId="5E6126B8" w14:textId="77777777" w:rsidR="00BB4D84" w:rsidRDefault="00000000">
            <w:pPr>
              <w:pStyle w:val="Compact"/>
            </w:pPr>
            <w:r>
              <w:t>Why it’s interesting</w:t>
            </w:r>
          </w:p>
        </w:tc>
      </w:tr>
      <w:tr w:rsidR="00BB4D84" w14:paraId="2A4863F3" w14:textId="77777777">
        <w:tc>
          <w:tcPr>
            <w:tcW w:w="1980" w:type="dxa"/>
          </w:tcPr>
          <w:p w14:paraId="2810533E" w14:textId="77777777" w:rsidR="00BB4D84" w:rsidRDefault="00000000">
            <w:pPr>
              <w:pStyle w:val="Compact"/>
            </w:pPr>
            <w:r>
              <w:rPr>
                <w:b/>
                <w:bCs/>
              </w:rPr>
              <w:t>Haryana</w:t>
            </w:r>
          </w:p>
        </w:tc>
        <w:tc>
          <w:tcPr>
            <w:tcW w:w="5940" w:type="dxa"/>
          </w:tcPr>
          <w:p w14:paraId="15564958" w14:textId="77777777" w:rsidR="00BB4D84" w:rsidRDefault="00000000">
            <w:pPr>
              <w:pStyle w:val="Compact"/>
            </w:pPr>
            <w:r>
              <w:t>Highest DCI (72.97) — driven by massive e-waste processing (2,45,016 tonnes). This is likely due to Haryana being a hub for electronics recycling near Delhi. Flagged as influential point (Cook’s D).</w:t>
            </w:r>
          </w:p>
        </w:tc>
      </w:tr>
      <w:tr w:rsidR="00BB4D84" w14:paraId="634389A9" w14:textId="77777777">
        <w:tc>
          <w:tcPr>
            <w:tcW w:w="1980" w:type="dxa"/>
          </w:tcPr>
          <w:p w14:paraId="362F36D9" w14:textId="77777777" w:rsidR="00BB4D84" w:rsidRDefault="00000000">
            <w:pPr>
              <w:pStyle w:val="Compact"/>
            </w:pPr>
            <w:r>
              <w:rPr>
                <w:b/>
                <w:bCs/>
              </w:rPr>
              <w:t>Karnataka</w:t>
            </w:r>
          </w:p>
        </w:tc>
        <w:tc>
          <w:tcPr>
            <w:tcW w:w="5940" w:type="dxa"/>
          </w:tcPr>
          <w:p w14:paraId="4C57E6F1" w14:textId="77777777" w:rsidR="00BB4D84" w:rsidRDefault="00000000">
            <w:pPr>
              <w:pStyle w:val="Compact"/>
            </w:pPr>
            <w:r>
              <w:t>Highest Digital Access Score (94.40) but only 2nd in DCI — because CE behavior (57.43) doesn’t match its digital leadership. A case of “digital without green.”</w:t>
            </w:r>
          </w:p>
        </w:tc>
      </w:tr>
      <w:tr w:rsidR="00BB4D84" w14:paraId="641ED21C" w14:textId="77777777">
        <w:tc>
          <w:tcPr>
            <w:tcW w:w="1980" w:type="dxa"/>
          </w:tcPr>
          <w:p w14:paraId="3104F7A1" w14:textId="77777777" w:rsidR="00BB4D84" w:rsidRDefault="00000000">
            <w:pPr>
              <w:pStyle w:val="Compact"/>
            </w:pPr>
            <w:r>
              <w:rPr>
                <w:b/>
                <w:bCs/>
              </w:rPr>
              <w:t>Kerala</w:t>
            </w:r>
          </w:p>
        </w:tc>
        <w:tc>
          <w:tcPr>
            <w:tcW w:w="5940" w:type="dxa"/>
          </w:tcPr>
          <w:p w14:paraId="269CB029" w14:textId="77777777" w:rsidR="00BB4D84" w:rsidRDefault="00000000">
            <w:pPr>
              <w:pStyle w:val="Compact"/>
            </w:pPr>
            <w:r>
              <w:t>Best SDG score (79) and literacy (93.91%) but DCI = 45.22 — lower e-waste processing (1,249 tonnes) pulls down CE score. Shows that human development doesn’t automatically translate to CE behavior.</w:t>
            </w:r>
          </w:p>
        </w:tc>
      </w:tr>
      <w:tr w:rsidR="00BB4D84" w14:paraId="1E5F17D1" w14:textId="77777777">
        <w:tc>
          <w:tcPr>
            <w:tcW w:w="1980" w:type="dxa"/>
          </w:tcPr>
          <w:p w14:paraId="0D6F6560" w14:textId="77777777" w:rsidR="00BB4D84" w:rsidRDefault="00000000">
            <w:pPr>
              <w:pStyle w:val="Compact"/>
            </w:pPr>
            <w:r>
              <w:rPr>
                <w:b/>
                <w:bCs/>
              </w:rPr>
              <w:t>Bihar</w:t>
            </w:r>
          </w:p>
        </w:tc>
        <w:tc>
          <w:tcPr>
            <w:tcW w:w="5940" w:type="dxa"/>
          </w:tcPr>
          <w:p w14:paraId="0590C841" w14:textId="77777777" w:rsidR="00BB4D84" w:rsidRDefault="00000000">
            <w:pPr>
              <w:pStyle w:val="Compact"/>
            </w:pPr>
            <w:r>
              <w:t xml:space="preserve">Last on everything — but also has the greatest potential for improvement if digital infrastructure is expanded. Policy priority </w:t>
            </w:r>
            <w:r>
              <w:lastRenderedPageBreak/>
              <w:t>state.</w:t>
            </w:r>
          </w:p>
        </w:tc>
      </w:tr>
      <w:tr w:rsidR="00BB4D84" w14:paraId="43865D9A" w14:textId="77777777">
        <w:tc>
          <w:tcPr>
            <w:tcW w:w="1980" w:type="dxa"/>
          </w:tcPr>
          <w:p w14:paraId="41217B3A" w14:textId="77777777" w:rsidR="00BB4D84" w:rsidRDefault="00000000">
            <w:pPr>
              <w:pStyle w:val="Compact"/>
            </w:pPr>
            <w:r>
              <w:rPr>
                <w:b/>
                <w:bCs/>
              </w:rPr>
              <w:lastRenderedPageBreak/>
              <w:t>Chhattisgarh</w:t>
            </w:r>
          </w:p>
        </w:tc>
        <w:tc>
          <w:tcPr>
            <w:tcW w:w="5940" w:type="dxa"/>
          </w:tcPr>
          <w:p w14:paraId="3C8132CB" w14:textId="77777777" w:rsidR="00BB4D84" w:rsidRDefault="00000000">
            <w:pPr>
              <w:pStyle w:val="Compact"/>
            </w:pPr>
            <w:r>
              <w:t>Middle-ground state — moderate digital access (47.52), moderate CE (38.34), with decent e-waste processing (4,168 tonnes) despite low NSDP. Outperforms its expected level based on income.</w:t>
            </w:r>
          </w:p>
        </w:tc>
      </w:tr>
    </w:tbl>
    <w:p w14:paraId="14C1BE35" w14:textId="77777777" w:rsidR="00BB4D84" w:rsidRDefault="00C359AD">
      <w:r>
        <w:rPr>
          <w:noProof/>
        </w:rPr>
        <w:pict w14:anchorId="68CA0CD4">
          <v:rect id="_x0000_i1032" alt="" style="width:451.3pt;height:.05pt;mso-width-percent:0;mso-height-percent:0;mso-width-percent:0;mso-height-percent:0" o:hralign="center" o:hrstd="t" o:hr="t"/>
        </w:pict>
      </w:r>
    </w:p>
    <w:p w14:paraId="67AAA1E3" w14:textId="77777777" w:rsidR="00BB4D84" w:rsidRDefault="00000000">
      <w:pPr>
        <w:pStyle w:val="Heading2"/>
      </w:pPr>
      <w:bookmarkStart w:id="39" w:name="policy-implications"/>
      <w:bookmarkEnd w:id="35"/>
      <w:bookmarkEnd w:id="38"/>
      <w:r>
        <w:t>9. Policy Implications</w:t>
      </w:r>
    </w:p>
    <w:p w14:paraId="181168DE" w14:textId="77777777" w:rsidR="00BB4D84" w:rsidRDefault="00000000">
      <w:pPr>
        <w:pStyle w:val="Heading3"/>
      </w:pPr>
      <w:bookmarkStart w:id="40" w:name="X1a9580675ed35845fb2b2ad983cd7b4208aaf0e"/>
      <w:r>
        <w:t>Implication 1: Integrate Digital India and Swachh Bharat</w:t>
      </w:r>
    </w:p>
    <w:p w14:paraId="6EF0D999" w14:textId="77777777" w:rsidR="00BB4D84" w:rsidRDefault="00000000">
      <w:pPr>
        <w:pStyle w:val="BlockText"/>
      </w:pPr>
      <w:r>
        <w:t xml:space="preserve">Our findings suggest that digital inclusion and circular economy behavior are </w:t>
      </w:r>
      <w:r>
        <w:rPr>
          <w:b/>
          <w:bCs/>
        </w:rPr>
        <w:t>mutually reinforcing</w:t>
      </w:r>
      <w:r>
        <w:t xml:space="preserve">. Policymakers should design integrated programs — for example, using </w:t>
      </w:r>
      <w:r>
        <w:rPr>
          <w:b/>
          <w:bCs/>
        </w:rPr>
        <w:t>digital platforms for waste tracking</w:t>
      </w:r>
      <w:r>
        <w:t xml:space="preserve">, </w:t>
      </w:r>
      <w:r>
        <w:rPr>
          <w:b/>
          <w:bCs/>
        </w:rPr>
        <w:t>UPI-based incentives for recycling</w:t>
      </w:r>
      <w:r>
        <w:t xml:space="preserve">, and </w:t>
      </w:r>
      <w:r>
        <w:rPr>
          <w:b/>
          <w:bCs/>
        </w:rPr>
        <w:t>mobile-based awareness campaigns</w:t>
      </w:r>
      <w:r>
        <w:t xml:space="preserve"> for sustainable practices.</w:t>
      </w:r>
    </w:p>
    <w:p w14:paraId="28D8B154" w14:textId="77777777" w:rsidR="00BB4D84" w:rsidRDefault="00000000">
      <w:pPr>
        <w:pStyle w:val="Heading3"/>
      </w:pPr>
      <w:bookmarkStart w:id="41" w:name="X5931dbbb06425d8b8b9bcf52b47af27585750e8"/>
      <w:bookmarkEnd w:id="40"/>
      <w:r>
        <w:t>Implication 2: Priority States Need Digital Access First</w:t>
      </w:r>
    </w:p>
    <w:p w14:paraId="1C17A8D4" w14:textId="77777777" w:rsidR="00BB4D84" w:rsidRDefault="00000000">
      <w:pPr>
        <w:pStyle w:val="BlockText"/>
      </w:pPr>
      <w:r>
        <w:t xml:space="preserve">Bihar (TD = 55.80%), Jharkhand (62.62%), and Chhattisgarh (69.50%) are below the tele-density threshold of ~119%. The threshold analysis suggests that investing in </w:t>
      </w:r>
      <w:r>
        <w:rPr>
          <w:b/>
          <w:bCs/>
        </w:rPr>
        <w:t>closing the digital connectivity gap</w:t>
      </w:r>
      <w:r>
        <w:t xml:space="preserve"> in these states will also improve their sustainability performance.</w:t>
      </w:r>
    </w:p>
    <w:p w14:paraId="52B4812A" w14:textId="77777777" w:rsidR="00BB4D84" w:rsidRDefault="00000000">
      <w:pPr>
        <w:pStyle w:val="Heading3"/>
      </w:pPr>
      <w:bookmarkStart w:id="42" w:name="Xe882eb0dce6f40bfab9c9c11acb8c7d746e08bb"/>
      <w:bookmarkEnd w:id="41"/>
      <w:r>
        <w:t>Implication 3: It’s Not Just About Payments</w:t>
      </w:r>
    </w:p>
    <w:p w14:paraId="71CC1247" w14:textId="77777777" w:rsidR="00BB4D84" w:rsidRDefault="00000000">
      <w:pPr>
        <w:pStyle w:val="BlockText"/>
      </w:pPr>
      <w:r>
        <w:t xml:space="preserve">The mediation analysis shows UPI adoption alone doesn’t drive CE behavior. Policy should focus on </w:t>
      </w:r>
      <w:r>
        <w:rPr>
          <w:b/>
          <w:bCs/>
        </w:rPr>
        <w:t>broad digital infrastructure</w:t>
      </w:r>
      <w:r>
        <w:t xml:space="preserve"> — e-governance portals for waste management, environmental monitoring systems, digital literacy programs, and mobile-based sustainability education — not just financial digitization.</w:t>
      </w:r>
    </w:p>
    <w:p w14:paraId="3CE62ED2" w14:textId="77777777" w:rsidR="00BB4D84" w:rsidRDefault="00000000">
      <w:pPr>
        <w:pStyle w:val="Heading3"/>
      </w:pPr>
      <w:bookmarkStart w:id="43" w:name="X39000c742b7b2a4d8b46b9df19b2dfdf4a45128"/>
      <w:bookmarkEnd w:id="42"/>
      <w:r>
        <w:t>Implication 4: Economic Development is Key but Not Sufficient</w:t>
      </w:r>
    </w:p>
    <w:p w14:paraId="659EFFE2" w14:textId="77777777" w:rsidR="00BB4D84" w:rsidRDefault="00000000">
      <w:pPr>
        <w:pStyle w:val="BlockText"/>
      </w:pPr>
      <w:r>
        <w:t xml:space="preserve">Per Capita NSDP is the strongest predictor (48.8% importance), but tele-density contributes 15.1% independently. Even controlling for income, digital connectivity matters. This supports the argument that </w:t>
      </w:r>
      <w:r>
        <w:rPr>
          <w:b/>
          <w:bCs/>
        </w:rPr>
        <w:t>digital infrastructure has a direct enabling effect</w:t>
      </w:r>
      <w:r>
        <w:t xml:space="preserve"> beyond what economic growth alone provides.</w:t>
      </w:r>
    </w:p>
    <w:p w14:paraId="1FCB79E3" w14:textId="77777777" w:rsidR="00BB4D84" w:rsidRDefault="00C359AD">
      <w:r>
        <w:rPr>
          <w:noProof/>
        </w:rPr>
        <w:pict w14:anchorId="48B58877">
          <v:rect id="_x0000_i1031" alt="" style="width:451.3pt;height:.05pt;mso-width-percent:0;mso-height-percent:0;mso-width-percent:0;mso-height-percent:0" o:hralign="center" o:hrstd="t" o:hr="t"/>
        </w:pict>
      </w:r>
    </w:p>
    <w:p w14:paraId="5C0FCBCF" w14:textId="77777777" w:rsidR="00BB4D84" w:rsidRDefault="00000000">
      <w:pPr>
        <w:pStyle w:val="Heading2"/>
      </w:pPr>
      <w:bookmarkStart w:id="44" w:name="limitations-be-honest"/>
      <w:bookmarkEnd w:id="39"/>
      <w:bookmarkEnd w:id="43"/>
      <w:r>
        <w:t>10. Limitations (Be Honest)</w:t>
      </w:r>
    </w:p>
    <w:p w14:paraId="650AB5F0" w14:textId="77777777" w:rsidR="00BB4D84" w:rsidRDefault="00000000">
      <w:pPr>
        <w:pStyle w:val="Heading3"/>
      </w:pPr>
      <w:bookmarkStart w:id="45" w:name="limitation-1-small-sample-size-n-16"/>
      <w:r>
        <w:t>Limitation 1: Small Sample Size (n = 16)</w:t>
      </w:r>
    </w:p>
    <w:p w14:paraId="66F2AE0C" w14:textId="77777777" w:rsidR="00BB4D84" w:rsidRDefault="00000000">
      <w:pPr>
        <w:pStyle w:val="BlockText"/>
      </w:pPr>
      <w:r>
        <w:t>The inner-join approach, while ensuring data integrity, reduces the sample to 16 states. However, bootstrap confidence intervals (95% CI for r: [0.648, 0.979]) confirm the finding is robust, and the extended sample analysis (n = 21, r = 0.963) shows even stronger results.</w:t>
      </w:r>
    </w:p>
    <w:p w14:paraId="070BF7DA" w14:textId="77777777" w:rsidR="00BB4D84" w:rsidRDefault="00000000">
      <w:pPr>
        <w:pStyle w:val="Heading3"/>
      </w:pPr>
      <w:bookmarkStart w:id="46" w:name="limitation-2-cross-sectional-design"/>
      <w:bookmarkEnd w:id="45"/>
      <w:r>
        <w:lastRenderedPageBreak/>
        <w:t>Limitation 2: Cross-Sectional Design</w:t>
      </w:r>
    </w:p>
    <w:p w14:paraId="7130127A" w14:textId="77777777" w:rsidR="00BB4D84" w:rsidRDefault="00000000">
      <w:pPr>
        <w:pStyle w:val="BlockText"/>
      </w:pPr>
      <w:r>
        <w:t xml:space="preserve">This study is cross-sectional — it shows correlation, not causation. We cannot definitively say digital access </w:t>
      </w:r>
      <w:r>
        <w:rPr>
          <w:i/>
          <w:iCs/>
        </w:rPr>
        <w:t>causes</w:t>
      </w:r>
      <w:r>
        <w:t xml:space="preserve"> CE behavior. A longitudinal panel study tracking states over time would be needed to establish causality.</w:t>
      </w:r>
    </w:p>
    <w:p w14:paraId="5C41B992" w14:textId="77777777" w:rsidR="00BB4D84" w:rsidRDefault="00000000">
      <w:pPr>
        <w:pStyle w:val="Heading3"/>
      </w:pPr>
      <w:bookmarkStart w:id="47" w:name="limitation-3-temporal-mismatch"/>
      <w:bookmarkEnd w:id="46"/>
      <w:r>
        <w:t>Limitation 3: Temporal Mismatch</w:t>
      </w:r>
    </w:p>
    <w:p w14:paraId="6078FB6A" w14:textId="77777777" w:rsidR="00BB4D84" w:rsidRDefault="00000000">
      <w:pPr>
        <w:pStyle w:val="BlockText"/>
      </w:pPr>
      <w:r>
        <w:t>Data spans Census 2011 to TRAI/NPCI 2024-25. Census 2021 was postponed due to COVID-19 and has not been conducted as of 2026. Literacy and urbanization may have changed since 2011. However, these serve as control variables, not primary independent variables, and are structural indicators that change slowly.</w:t>
      </w:r>
    </w:p>
    <w:p w14:paraId="1C52087F" w14:textId="77777777" w:rsidR="00BB4D84" w:rsidRDefault="00000000">
      <w:pPr>
        <w:pStyle w:val="Heading3"/>
      </w:pPr>
      <w:bookmarkStart w:id="48" w:name="X7c0e89151bf3401741e02091bf461d822a6530a"/>
      <w:bookmarkEnd w:id="47"/>
      <w:r>
        <w:t>Limitation 4: Composite Score Subjectivity</w:t>
      </w:r>
    </w:p>
    <w:p w14:paraId="121CB4B3" w14:textId="77777777" w:rsidR="00BB4D84" w:rsidRDefault="00000000">
      <w:pPr>
        <w:pStyle w:val="BlockText"/>
      </w:pPr>
      <w:r>
        <w:t>The Digital Access Score and CE Behavior Score use researcher-selected weights. While sensitivity analysis (7 weight schemes, 6/7 significant) shows robustness, alternative weight schemes or different component selections may yield different results.</w:t>
      </w:r>
    </w:p>
    <w:p w14:paraId="724CF238" w14:textId="77777777" w:rsidR="00BB4D84" w:rsidRDefault="00000000">
      <w:pPr>
        <w:pStyle w:val="Heading3"/>
      </w:pPr>
      <w:bookmarkStart w:id="49" w:name="limitation-5-e-waste-data-gap"/>
      <w:bookmarkEnd w:id="48"/>
      <w:r>
        <w:t>Limitation 5: E-Waste Data Gap</w:t>
      </w:r>
    </w:p>
    <w:p w14:paraId="0CF53B38" w14:textId="77777777" w:rsidR="00BB4D84" w:rsidRDefault="00000000">
      <w:pPr>
        <w:pStyle w:val="BlockText"/>
      </w:pPr>
      <w:r>
        <w:t>CPCB E-waste data was unavailable for Goa, Telangana, UP, Uttarakhand, and West Bengal, limiting coverage. This bottleneck reduced the primary sample from 21 potential states to 16.</w:t>
      </w:r>
    </w:p>
    <w:p w14:paraId="36ED83F9" w14:textId="77777777" w:rsidR="00BB4D84" w:rsidRDefault="00000000">
      <w:pPr>
        <w:pStyle w:val="Heading3"/>
      </w:pPr>
      <w:bookmarkStart w:id="50" w:name="limitation-6-ecological-fallacy"/>
      <w:bookmarkEnd w:id="49"/>
      <w:r>
        <w:t>Limitation 6: Ecological Fallacy</w:t>
      </w:r>
    </w:p>
    <w:p w14:paraId="50ECBCE0" w14:textId="77777777" w:rsidR="00BB4D84" w:rsidRDefault="00000000">
      <w:pPr>
        <w:pStyle w:val="BlockText"/>
      </w:pPr>
      <w:r>
        <w:t>State-level analysis cannot capture within-state variation. Bihar’s low scores don’t mean every citizen in Bihar has poor digital access or CE behavior — urban areas within Bihar may perform differently from rural areas.</w:t>
      </w:r>
    </w:p>
    <w:p w14:paraId="2516B9EA" w14:textId="77777777" w:rsidR="00BB4D84" w:rsidRDefault="00000000">
      <w:pPr>
        <w:pStyle w:val="Heading3"/>
      </w:pPr>
      <w:bookmarkStart w:id="51" w:name="limitation-7-nsdp-in-both-scores"/>
      <w:bookmarkEnd w:id="50"/>
      <w:r>
        <w:t>Limitation 7: NSDP in Both Scores</w:t>
      </w:r>
    </w:p>
    <w:p w14:paraId="73E705FE" w14:textId="77777777" w:rsidR="00BB4D84" w:rsidRDefault="00000000">
      <w:pPr>
        <w:pStyle w:val="BlockText"/>
      </w:pPr>
      <w:r>
        <w:t>Per Capita NSDP appears as a component in both Digital Access Score and CE Behavior Score. While this reflects the genuine role of economic capacity in both domains, it creates a mechanical correlation. The sensitivity analysis with alternative weight schemes partially addresses this — but the finding that tele-density alone (without NSDP) significantly predicts CE behavior (piecewise regression, p = 0.0001) confirms the relationship isn’t purely driven by shared NSDP.</w:t>
      </w:r>
    </w:p>
    <w:p w14:paraId="00DDE620" w14:textId="77777777" w:rsidR="00BB4D84" w:rsidRDefault="00C359AD">
      <w:r>
        <w:rPr>
          <w:noProof/>
        </w:rPr>
        <w:pict w14:anchorId="390FCB41">
          <v:rect id="_x0000_i1030" alt="" style="width:451.3pt;height:.05pt;mso-width-percent:0;mso-height-percent:0;mso-width-percent:0;mso-height-percent:0" o:hralign="center" o:hrstd="t" o:hr="t"/>
        </w:pict>
      </w:r>
    </w:p>
    <w:p w14:paraId="5BD20F0C" w14:textId="77777777" w:rsidR="00BB4D84" w:rsidRDefault="00000000">
      <w:pPr>
        <w:pStyle w:val="Heading2"/>
      </w:pPr>
      <w:bookmarkStart w:id="52" w:name="future-work"/>
      <w:bookmarkEnd w:id="44"/>
      <w:bookmarkEnd w:id="51"/>
      <w:r>
        <w:t>11. Future Work</w:t>
      </w:r>
    </w:p>
    <w:p w14:paraId="24982CC2" w14:textId="77777777" w:rsidR="00BB4D84" w:rsidRDefault="00000000">
      <w:pPr>
        <w:pStyle w:val="Compact"/>
        <w:numPr>
          <w:ilvl w:val="0"/>
          <w:numId w:val="7"/>
        </w:numPr>
      </w:pPr>
      <w:r>
        <w:rPr>
          <w:b/>
          <w:bCs/>
        </w:rPr>
        <w:t>Longitudinal analysis:</w:t>
      </w:r>
      <w:r>
        <w:t xml:space="preserve"> Track the same states over 3-5 years to establish causal direction</w:t>
      </w:r>
    </w:p>
    <w:p w14:paraId="7CF9D4E8" w14:textId="77777777" w:rsidR="00BB4D84" w:rsidRDefault="00000000">
      <w:pPr>
        <w:pStyle w:val="Compact"/>
        <w:numPr>
          <w:ilvl w:val="0"/>
          <w:numId w:val="7"/>
        </w:numPr>
      </w:pPr>
      <w:r>
        <w:rPr>
          <w:b/>
          <w:bCs/>
        </w:rPr>
        <w:lastRenderedPageBreak/>
        <w:t>District-level granularity:</w:t>
      </w:r>
      <w:r>
        <w:t xml:space="preserve"> Use district-level data (if available) to increase sample size and reduce ecological fallacy</w:t>
      </w:r>
    </w:p>
    <w:p w14:paraId="1769BE99" w14:textId="77777777" w:rsidR="00BB4D84" w:rsidRDefault="00000000">
      <w:pPr>
        <w:pStyle w:val="Compact"/>
        <w:numPr>
          <w:ilvl w:val="0"/>
          <w:numId w:val="7"/>
        </w:numPr>
      </w:pPr>
      <w:r>
        <w:rPr>
          <w:b/>
          <w:bCs/>
        </w:rPr>
        <w:t>Additional CE indicators:</w:t>
      </w:r>
      <w:r>
        <w:t xml:space="preserve"> Include plastic waste processing rates, municipal solid waste management, Extended Producer Responsibility (EPR) compliance</w:t>
      </w:r>
    </w:p>
    <w:p w14:paraId="4EC19FDD" w14:textId="77777777" w:rsidR="00BB4D84" w:rsidRDefault="00000000">
      <w:pPr>
        <w:pStyle w:val="Compact"/>
        <w:numPr>
          <w:ilvl w:val="0"/>
          <w:numId w:val="7"/>
        </w:numPr>
      </w:pPr>
      <w:r>
        <w:rPr>
          <w:b/>
          <w:bCs/>
        </w:rPr>
        <w:t>Digital literacy dimension:</w:t>
      </w:r>
      <w:r>
        <w:t xml:space="preserve"> Add IAMAI internet penetration data or NSO survey data on device usage patterns</w:t>
      </w:r>
    </w:p>
    <w:p w14:paraId="751EC889" w14:textId="77777777" w:rsidR="00BB4D84" w:rsidRDefault="00000000">
      <w:pPr>
        <w:pStyle w:val="Compact"/>
        <w:numPr>
          <w:ilvl w:val="0"/>
          <w:numId w:val="7"/>
        </w:numPr>
      </w:pPr>
      <w:r>
        <w:rPr>
          <w:b/>
          <w:bCs/>
        </w:rPr>
        <w:t>Structural Equation Modeling:</w:t>
      </w:r>
      <w:r>
        <w:t xml:space="preserve"> With n &gt; 100 (district-level), build a full path model of digital → economic → CE pathways</w:t>
      </w:r>
    </w:p>
    <w:p w14:paraId="39001526" w14:textId="77777777" w:rsidR="00BB4D84" w:rsidRDefault="00000000">
      <w:pPr>
        <w:pStyle w:val="Compact"/>
        <w:numPr>
          <w:ilvl w:val="0"/>
          <w:numId w:val="7"/>
        </w:numPr>
      </w:pPr>
      <w:r>
        <w:rPr>
          <w:b/>
          <w:bCs/>
        </w:rPr>
        <w:t>Comparative study:</w:t>
      </w:r>
      <w:r>
        <w:t xml:space="preserve"> Apply the DCI framework to other developing countries (Bangladesh, Nigeria, Indonesia)</w:t>
      </w:r>
    </w:p>
    <w:p w14:paraId="53382380" w14:textId="77777777" w:rsidR="00BB4D84" w:rsidRDefault="00C359AD">
      <w:r>
        <w:rPr>
          <w:noProof/>
        </w:rPr>
        <w:pict w14:anchorId="5A0F111F">
          <v:rect id="_x0000_i1029" alt="" style="width:451.3pt;height:.05pt;mso-width-percent:0;mso-height-percent:0;mso-width-percent:0;mso-height-percent:0" o:hralign="center" o:hrstd="t" o:hr="t"/>
        </w:pict>
      </w:r>
    </w:p>
    <w:p w14:paraId="2BB6D764" w14:textId="77777777" w:rsidR="00BB4D84" w:rsidRDefault="00000000">
      <w:pPr>
        <w:pStyle w:val="Heading2"/>
      </w:pPr>
      <w:bookmarkStart w:id="53" w:name="ready-to-use-sentences-for-paper"/>
      <w:bookmarkEnd w:id="52"/>
      <w:r>
        <w:t>12. Ready-to-Use Sentences for Paper</w:t>
      </w:r>
    </w:p>
    <w:p w14:paraId="2071F4C4" w14:textId="77777777" w:rsidR="00BB4D84" w:rsidRDefault="00000000">
      <w:pPr>
        <w:pStyle w:val="Heading3"/>
      </w:pPr>
      <w:bookmarkStart w:id="54" w:name="for-abstract"/>
      <w:r>
        <w:t>For Abstract</w:t>
      </w:r>
    </w:p>
    <w:p w14:paraId="4EC7CA16" w14:textId="77777777" w:rsidR="00BB4D84" w:rsidRDefault="00000000">
      <w:pPr>
        <w:pStyle w:val="BlockText"/>
      </w:pPr>
      <w:r>
        <w:rPr>
          <w:i/>
          <w:iCs/>
        </w:rPr>
        <w:t>This study investigates whether digital inclusion drives circular economy (CE) behavior across Indian states. Using a novel Digital Circularity Index (DCI) constructed from 100% verified government data spanning seven official sources, we analyze 16 Indian states with complete data across TRAI (tele-density), RBI (per capita NSDP), NITI Aayog (SDG Index), NPCI/Dataful (UPI per capita), and CPCB (e-waste processing). We find a strong, statistically significant positive correlation between Digital Access Score and CE Behavior Score (Pearson r = 0.781, p &lt; 0.001). OLS regression shows that digital access explains 61% of the variance in CE behavior (R² = 0.610). The result is robust across bootstrap resampling (95% CI: [0.648, 0.979]), non-parametric tests (Spearman ρ = 0.912), robust standard errors (HC3 p = 0.000011), permutation tests, and an extended 21-state sample. The relationship is direct — not mediated through UPI adoption alone — suggesting that digital infrastructure enables CE behavior through multiple simultaneous pathways. A threshold analysis identifies 119% tele-density as a critical inflection point. We recommend integrated Digital India–Circular Economy policies with priority connectivity investments in lagging states.</w:t>
      </w:r>
    </w:p>
    <w:p w14:paraId="61A08163" w14:textId="77777777" w:rsidR="00BB4D84" w:rsidRDefault="00000000">
      <w:pPr>
        <w:pStyle w:val="Heading3"/>
      </w:pPr>
      <w:bookmarkStart w:id="55" w:name="for-introduction"/>
      <w:bookmarkEnd w:id="54"/>
      <w:r>
        <w:t>For Introduction</w:t>
      </w:r>
    </w:p>
    <w:p w14:paraId="6590932C" w14:textId="77777777" w:rsidR="00BB4D84" w:rsidRDefault="00000000">
      <w:pPr>
        <w:pStyle w:val="BlockText"/>
      </w:pPr>
      <w:r>
        <w:rPr>
          <w:i/>
          <w:iCs/>
        </w:rPr>
        <w:t>India stands at the intersection of two transformative agendas: rapid digitization under “Digital India” and the transition to a circular economy under the Swachh Bharat Mission and National Resource Efficiency Policy. While each agenda has been studied independently, the potential synergy between digital inclusion and circular economy behavior remains unexplored at the sub-national level. This study addresses this gap by constructing a Digital Circularity Index (DCI) — the first composite measure linking digital access to CE behavior across Indian states using exclusively verified government data.</w:t>
      </w:r>
    </w:p>
    <w:p w14:paraId="766AE183" w14:textId="77777777" w:rsidR="00BB4D84" w:rsidRDefault="00000000">
      <w:pPr>
        <w:pStyle w:val="Heading3"/>
      </w:pPr>
      <w:bookmarkStart w:id="56" w:name="for-methodology"/>
      <w:bookmarkEnd w:id="55"/>
      <w:r>
        <w:lastRenderedPageBreak/>
        <w:t>For Methodology</w:t>
      </w:r>
    </w:p>
    <w:p w14:paraId="7D5A5952" w14:textId="77777777" w:rsidR="00BB4D84" w:rsidRDefault="00000000">
      <w:pPr>
        <w:pStyle w:val="BlockText"/>
      </w:pPr>
      <w:r>
        <w:rPr>
          <w:i/>
          <w:iCs/>
        </w:rPr>
        <w:t>We employed a cross-sectional research design analyzing 16 Indian states for which complete, verified data was available across all seven government sources. Data was collected from the Telecom Regulatory Authority of India’s Quarterly Performance Indicators Report (Q2 2024, Table 1.6), the Reserve Bank of India’s Handbook of Statistics on Indian Economy (Table 9, FY 2023-24), NITI Aayog’s SDG India Index 2023-24, NPCI state-wise UPI transactions as analyzed by Dataful Insights (FY 2024-25), the Central Pollution Control Board’s e-waste report (FY 2021-22), and the Census of India 2011. An inner-join strategy ensured only states with verified data across all sources were included, prioritizing data integrity over sample size.</w:t>
      </w:r>
    </w:p>
    <w:p w14:paraId="0E218CDD" w14:textId="77777777" w:rsidR="00BB4D84" w:rsidRDefault="00000000">
      <w:pPr>
        <w:pStyle w:val="Heading3"/>
      </w:pPr>
      <w:bookmarkStart w:id="57" w:name="for-results"/>
      <w:bookmarkEnd w:id="56"/>
      <w:r>
        <w:t>For Results</w:t>
      </w:r>
    </w:p>
    <w:p w14:paraId="3825A751" w14:textId="77777777" w:rsidR="00BB4D84" w:rsidRDefault="00000000">
      <w:pPr>
        <w:pStyle w:val="BlockText"/>
      </w:pPr>
      <w:r>
        <w:rPr>
          <w:i/>
          <w:iCs/>
        </w:rPr>
        <w:t>The primary OLS regression yielded a statistically significant positive relationship between Digital Access Score and CE Behavior Score (β₁ = 0.551, SE = 0.118, t = 4.684, p &lt; 0.001). The model explained 61.04% of the variance in CE behavior (R² = 0.610, Adjusted R² = 0.583, F(1,14) = 21.94, p &lt; 0.001). The Pearson correlation coefficient was 0.781, indicating a strong positive association. These results were corroborated by non-parametric tests: Spearman’s ρ = 0.912 (p &lt; 0.001) and Kendall’s τ = 0.783 (p &lt; 0.001). Diagnostic tests confirmed the appropriateness of OLS assumptions: Breusch-Pagan test indicated homoscedasticity (LM = 1.539, p = 0.215) and Durbin-Watson statistic (2.025) indicated no autocorrelation. Cook’s distance analysis identified Haryana as a single influential observation (D = 4.16), but its removal did not alter the significance of the relationship.</w:t>
      </w:r>
    </w:p>
    <w:p w14:paraId="1790AEA3" w14:textId="77777777" w:rsidR="00BB4D84" w:rsidRDefault="00000000">
      <w:pPr>
        <w:pStyle w:val="Heading3"/>
      </w:pPr>
      <w:bookmarkStart w:id="58" w:name="for-discussion"/>
      <w:bookmarkEnd w:id="57"/>
      <w:r>
        <w:t>For Discussion</w:t>
      </w:r>
    </w:p>
    <w:p w14:paraId="24885F62" w14:textId="77777777" w:rsidR="00BB4D84" w:rsidRDefault="00000000">
      <w:pPr>
        <w:pStyle w:val="BlockText"/>
      </w:pPr>
      <w:r>
        <w:rPr>
          <w:i/>
          <w:iCs/>
        </w:rPr>
        <w:t>The absence of significant mediation through UPI adoption (Sobel z = -0.241, p = 0.810) is a notable finding. We interpret this as evidence that digital access enables CE behavior through a broad ecosystem of information, governance, and behavioral mechanisms rather than a single financial channel. This interpretation is consistent with the ICT for Development (ICT4D) literature, which emphasizes that digital infrastructure creates network effects across multiple domains simultaneously (Avgerou, 2010; Heeks, 2017).</w:t>
      </w:r>
    </w:p>
    <w:p w14:paraId="1EC006F9" w14:textId="77777777" w:rsidR="00BB4D84" w:rsidRDefault="00000000">
      <w:pPr>
        <w:pStyle w:val="Heading3"/>
      </w:pPr>
      <w:bookmarkStart w:id="59" w:name="for-conclusion"/>
      <w:bookmarkEnd w:id="58"/>
      <w:r>
        <w:t>For Conclusion</w:t>
      </w:r>
    </w:p>
    <w:p w14:paraId="47D8462A" w14:textId="77777777" w:rsidR="00BB4D84" w:rsidRDefault="00000000">
      <w:pPr>
        <w:pStyle w:val="BlockText"/>
      </w:pPr>
      <w:r>
        <w:rPr>
          <w:i/>
          <w:iCs/>
        </w:rPr>
        <w:t xml:space="preserve">This study provides empirical evidence that digital inclusion and circular economy behavior are positively and significantly correlated across Indian states. The Digital Circularity Index (DCI) offers a novel, reproducible framework for quantifying this relationship using publicly available government data. Our findings support integrated policy approaches that leverage Digital India infrastructure to accelerate the circular economy transition, with priority investments in states below the 119% tele-density threshold. Future research </w:t>
      </w:r>
      <w:r>
        <w:rPr>
          <w:i/>
          <w:iCs/>
        </w:rPr>
        <w:lastRenderedPageBreak/>
        <w:t>should employ longitudinal designs and district-level data to establish causal mechanisms and increase generalizability.</w:t>
      </w:r>
    </w:p>
    <w:p w14:paraId="4F088C94" w14:textId="77777777" w:rsidR="00BB4D84" w:rsidRDefault="00C359AD">
      <w:r>
        <w:rPr>
          <w:noProof/>
        </w:rPr>
        <w:pict w14:anchorId="47E4BFA6">
          <v:rect id="_x0000_i1028" alt="" style="width:451.3pt;height:.05pt;mso-width-percent:0;mso-height-percent:0;mso-width-percent:0;mso-height-percent:0" o:hralign="center" o:hrstd="t" o:hr="t"/>
        </w:pict>
      </w:r>
    </w:p>
    <w:p w14:paraId="1605E302" w14:textId="77777777" w:rsidR="00BB4D84" w:rsidRDefault="00000000">
      <w:pPr>
        <w:pStyle w:val="Heading2"/>
      </w:pPr>
      <w:bookmarkStart w:id="60" w:name="figures-list-what-each-shows"/>
      <w:bookmarkEnd w:id="53"/>
      <w:bookmarkEnd w:id="59"/>
      <w:r>
        <w:t>13. Figures List &amp; What Each Shows</w:t>
      </w:r>
    </w:p>
    <w:tbl>
      <w:tblPr>
        <w:tblStyle w:val="Table"/>
        <w:tblW w:w="5000" w:type="pct"/>
        <w:tblLayout w:type="fixed"/>
        <w:tblLook w:val="0020" w:firstRow="1" w:lastRow="0" w:firstColumn="0" w:lastColumn="0" w:noHBand="0" w:noVBand="0"/>
      </w:tblPr>
      <w:tblGrid>
        <w:gridCol w:w="1868"/>
        <w:gridCol w:w="1402"/>
        <w:gridCol w:w="3270"/>
        <w:gridCol w:w="3036"/>
      </w:tblGrid>
      <w:tr w:rsidR="00BB4D84" w14:paraId="4D63D224" w14:textId="77777777" w:rsidTr="00BB4D84">
        <w:trPr>
          <w:cnfStyle w:val="100000000000" w:firstRow="1" w:lastRow="0" w:firstColumn="0" w:lastColumn="0" w:oddVBand="0" w:evenVBand="0" w:oddHBand="0" w:evenHBand="0" w:firstRowFirstColumn="0" w:firstRowLastColumn="0" w:lastRowFirstColumn="0" w:lastRowLastColumn="0"/>
          <w:tblHeader/>
        </w:trPr>
        <w:tc>
          <w:tcPr>
            <w:tcW w:w="1545" w:type="dxa"/>
          </w:tcPr>
          <w:p w14:paraId="7AE28403" w14:textId="77777777" w:rsidR="00BB4D84" w:rsidRDefault="00000000">
            <w:pPr>
              <w:pStyle w:val="Compact"/>
            </w:pPr>
            <w:r>
              <w:t>Figure</w:t>
            </w:r>
          </w:p>
        </w:tc>
        <w:tc>
          <w:tcPr>
            <w:tcW w:w="1159" w:type="dxa"/>
          </w:tcPr>
          <w:p w14:paraId="5EEF6172" w14:textId="77777777" w:rsidR="00BB4D84" w:rsidRDefault="00000000">
            <w:pPr>
              <w:pStyle w:val="Compact"/>
            </w:pPr>
            <w:r>
              <w:t>File</w:t>
            </w:r>
          </w:p>
        </w:tc>
        <w:tc>
          <w:tcPr>
            <w:tcW w:w="2704" w:type="dxa"/>
          </w:tcPr>
          <w:p w14:paraId="207A4415" w14:textId="77777777" w:rsidR="00BB4D84" w:rsidRDefault="00000000">
            <w:pPr>
              <w:pStyle w:val="Compact"/>
            </w:pPr>
            <w:r>
              <w:t>What It Shows</w:t>
            </w:r>
          </w:p>
        </w:tc>
        <w:tc>
          <w:tcPr>
            <w:tcW w:w="2511" w:type="dxa"/>
          </w:tcPr>
          <w:p w14:paraId="0D92A22A" w14:textId="77777777" w:rsidR="00BB4D84" w:rsidRDefault="00000000">
            <w:pPr>
              <w:pStyle w:val="Compact"/>
            </w:pPr>
            <w:r>
              <w:t>Key Takeaway</w:t>
            </w:r>
          </w:p>
        </w:tc>
      </w:tr>
      <w:tr w:rsidR="00BB4D84" w14:paraId="7E96AB48" w14:textId="77777777">
        <w:tc>
          <w:tcPr>
            <w:tcW w:w="1545" w:type="dxa"/>
          </w:tcPr>
          <w:p w14:paraId="0981815A" w14:textId="77777777" w:rsidR="00BB4D84" w:rsidRDefault="00000000">
            <w:pPr>
              <w:pStyle w:val="Compact"/>
            </w:pPr>
            <w:r>
              <w:t>Fig 1</w:t>
            </w:r>
          </w:p>
        </w:tc>
        <w:tc>
          <w:tcPr>
            <w:tcW w:w="1159" w:type="dxa"/>
          </w:tcPr>
          <w:p w14:paraId="484C1E1B" w14:textId="77777777" w:rsidR="00BB4D84" w:rsidRDefault="00000000">
            <w:pPr>
              <w:pStyle w:val="Compact"/>
            </w:pPr>
            <w:r>
              <w:rPr>
                <w:rStyle w:val="VerbatimChar"/>
              </w:rPr>
              <w:t>fig1_correlation_heatmap.png</w:t>
            </w:r>
          </w:p>
        </w:tc>
        <w:tc>
          <w:tcPr>
            <w:tcW w:w="2704" w:type="dxa"/>
          </w:tcPr>
          <w:p w14:paraId="2B2BC56E" w14:textId="77777777" w:rsidR="00BB4D84" w:rsidRDefault="00000000">
            <w:pPr>
              <w:pStyle w:val="Compact"/>
            </w:pPr>
            <w:r>
              <w:t>Correlation matrix of all numeric variables</w:t>
            </w:r>
          </w:p>
        </w:tc>
        <w:tc>
          <w:tcPr>
            <w:tcW w:w="2511" w:type="dxa"/>
          </w:tcPr>
          <w:p w14:paraId="4941DBB6" w14:textId="77777777" w:rsidR="00BB4D84" w:rsidRDefault="00000000">
            <w:pPr>
              <w:pStyle w:val="Compact"/>
            </w:pPr>
            <w:r>
              <w:t>SDG, NSDP, and Tele-density are most correlated with CE Behavior</w:t>
            </w:r>
          </w:p>
        </w:tc>
      </w:tr>
      <w:tr w:rsidR="00BB4D84" w14:paraId="6CDDC57F" w14:textId="77777777">
        <w:tc>
          <w:tcPr>
            <w:tcW w:w="1545" w:type="dxa"/>
          </w:tcPr>
          <w:p w14:paraId="7535E503" w14:textId="77777777" w:rsidR="00BB4D84" w:rsidRDefault="00000000">
            <w:pPr>
              <w:pStyle w:val="Compact"/>
            </w:pPr>
            <w:r>
              <w:t>Fig 2</w:t>
            </w:r>
          </w:p>
        </w:tc>
        <w:tc>
          <w:tcPr>
            <w:tcW w:w="1159" w:type="dxa"/>
          </w:tcPr>
          <w:p w14:paraId="2F9F87AC" w14:textId="77777777" w:rsidR="00BB4D84" w:rsidRDefault="00000000">
            <w:pPr>
              <w:pStyle w:val="Compact"/>
            </w:pPr>
            <w:r>
              <w:rPr>
                <w:rStyle w:val="VerbatimChar"/>
              </w:rPr>
              <w:t>fig2_digital_vs_ce_scatter.png</w:t>
            </w:r>
          </w:p>
        </w:tc>
        <w:tc>
          <w:tcPr>
            <w:tcW w:w="2704" w:type="dxa"/>
          </w:tcPr>
          <w:p w14:paraId="16249466" w14:textId="77777777" w:rsidR="00BB4D84" w:rsidRDefault="00000000">
            <w:pPr>
              <w:pStyle w:val="Compact"/>
            </w:pPr>
            <w:r>
              <w:t>Digital Access Score vs CE Behavior Score scatter plot with OLS line</w:t>
            </w:r>
          </w:p>
        </w:tc>
        <w:tc>
          <w:tcPr>
            <w:tcW w:w="2511" w:type="dxa"/>
          </w:tcPr>
          <w:p w14:paraId="145DC867" w14:textId="77777777" w:rsidR="00BB4D84" w:rsidRDefault="00000000">
            <w:pPr>
              <w:pStyle w:val="Compact"/>
            </w:pPr>
            <w:r>
              <w:t>Clear positive trend, R² = 0.610, p &lt; 0.001</w:t>
            </w:r>
          </w:p>
        </w:tc>
      </w:tr>
      <w:tr w:rsidR="00BB4D84" w14:paraId="379425BF" w14:textId="77777777">
        <w:tc>
          <w:tcPr>
            <w:tcW w:w="1545" w:type="dxa"/>
          </w:tcPr>
          <w:p w14:paraId="12EE8E2E" w14:textId="77777777" w:rsidR="00BB4D84" w:rsidRDefault="00000000">
            <w:pPr>
              <w:pStyle w:val="Compact"/>
            </w:pPr>
            <w:r>
              <w:t>Fig 3</w:t>
            </w:r>
          </w:p>
        </w:tc>
        <w:tc>
          <w:tcPr>
            <w:tcW w:w="1159" w:type="dxa"/>
          </w:tcPr>
          <w:p w14:paraId="64D1238C" w14:textId="77777777" w:rsidR="00BB4D84" w:rsidRDefault="00000000">
            <w:pPr>
              <w:pStyle w:val="Compact"/>
            </w:pPr>
            <w:r>
              <w:rPr>
                <w:rStyle w:val="VerbatimChar"/>
              </w:rPr>
              <w:t>fig3_dci_ranking.png</w:t>
            </w:r>
          </w:p>
        </w:tc>
        <w:tc>
          <w:tcPr>
            <w:tcW w:w="2704" w:type="dxa"/>
          </w:tcPr>
          <w:p w14:paraId="464D8B79" w14:textId="77777777" w:rsidR="00BB4D84" w:rsidRDefault="00000000">
            <w:pPr>
              <w:pStyle w:val="Compact"/>
            </w:pPr>
            <w:r>
              <w:t>DCI ranking of all 16 states</w:t>
            </w:r>
          </w:p>
        </w:tc>
        <w:tc>
          <w:tcPr>
            <w:tcW w:w="2511" w:type="dxa"/>
          </w:tcPr>
          <w:p w14:paraId="27EC8417" w14:textId="77777777" w:rsidR="00BB4D84" w:rsidRDefault="00000000">
            <w:pPr>
              <w:pStyle w:val="Compact"/>
            </w:pPr>
            <w:r>
              <w:t>Haryana (72.97) leads, Bihar (8.24) lags</w:t>
            </w:r>
          </w:p>
        </w:tc>
      </w:tr>
      <w:tr w:rsidR="00BB4D84" w14:paraId="2FB9D952" w14:textId="77777777">
        <w:tc>
          <w:tcPr>
            <w:tcW w:w="1545" w:type="dxa"/>
          </w:tcPr>
          <w:p w14:paraId="4978DD7D" w14:textId="77777777" w:rsidR="00BB4D84" w:rsidRDefault="00000000">
            <w:pPr>
              <w:pStyle w:val="Compact"/>
            </w:pPr>
            <w:r>
              <w:t>Fig 4</w:t>
            </w:r>
          </w:p>
        </w:tc>
        <w:tc>
          <w:tcPr>
            <w:tcW w:w="1159" w:type="dxa"/>
          </w:tcPr>
          <w:p w14:paraId="3CD5DABA" w14:textId="77777777" w:rsidR="00BB4D84" w:rsidRDefault="00000000">
            <w:pPr>
              <w:pStyle w:val="Compact"/>
            </w:pPr>
            <w:r>
              <w:rPr>
                <w:rStyle w:val="VerbatimChar"/>
              </w:rPr>
              <w:t>fig4_distributions.png</w:t>
            </w:r>
          </w:p>
        </w:tc>
        <w:tc>
          <w:tcPr>
            <w:tcW w:w="2704" w:type="dxa"/>
          </w:tcPr>
          <w:p w14:paraId="7334F4FF" w14:textId="77777777" w:rsidR="00BB4D84" w:rsidRDefault="00000000">
            <w:pPr>
              <w:pStyle w:val="Compact"/>
            </w:pPr>
            <w:r>
              <w:t>Distribution of key variables (histograms)</w:t>
            </w:r>
          </w:p>
        </w:tc>
        <w:tc>
          <w:tcPr>
            <w:tcW w:w="2511" w:type="dxa"/>
          </w:tcPr>
          <w:p w14:paraId="51A7DC43" w14:textId="77777777" w:rsidR="00BB4D84" w:rsidRDefault="00000000">
            <w:pPr>
              <w:pStyle w:val="Compact"/>
            </w:pPr>
            <w:r>
              <w:t>Most variables show reasonable variation</w:t>
            </w:r>
          </w:p>
        </w:tc>
      </w:tr>
      <w:tr w:rsidR="00BB4D84" w14:paraId="2F435A2D" w14:textId="77777777">
        <w:tc>
          <w:tcPr>
            <w:tcW w:w="1545" w:type="dxa"/>
          </w:tcPr>
          <w:p w14:paraId="07D2F69C" w14:textId="77777777" w:rsidR="00BB4D84" w:rsidRDefault="00000000">
            <w:pPr>
              <w:pStyle w:val="Compact"/>
            </w:pPr>
            <w:r>
              <w:t>Fig 5</w:t>
            </w:r>
          </w:p>
        </w:tc>
        <w:tc>
          <w:tcPr>
            <w:tcW w:w="1159" w:type="dxa"/>
          </w:tcPr>
          <w:p w14:paraId="434B6DA7" w14:textId="77777777" w:rsidR="00BB4D84" w:rsidRDefault="00000000">
            <w:pPr>
              <w:pStyle w:val="Compact"/>
            </w:pPr>
            <w:r>
              <w:rPr>
                <w:rStyle w:val="VerbatimChar"/>
              </w:rPr>
              <w:t>fig5_boxplots_digital_access.png</w:t>
            </w:r>
          </w:p>
        </w:tc>
        <w:tc>
          <w:tcPr>
            <w:tcW w:w="2704" w:type="dxa"/>
          </w:tcPr>
          <w:p w14:paraId="3FBA753D" w14:textId="77777777" w:rsidR="00BB4D84" w:rsidRDefault="00000000">
            <w:pPr>
              <w:pStyle w:val="Compact"/>
            </w:pPr>
            <w:r>
              <w:t>Box plots by digital access category (Low/Medium/High)</w:t>
            </w:r>
          </w:p>
        </w:tc>
        <w:tc>
          <w:tcPr>
            <w:tcW w:w="2511" w:type="dxa"/>
          </w:tcPr>
          <w:p w14:paraId="6F306944" w14:textId="77777777" w:rsidR="00BB4D84" w:rsidRDefault="00000000">
            <w:pPr>
              <w:pStyle w:val="Compact"/>
            </w:pPr>
            <w:r>
              <w:t>Clear step-wise increase in CE behavior by digital access group</w:t>
            </w:r>
          </w:p>
        </w:tc>
      </w:tr>
      <w:tr w:rsidR="00BB4D84" w14:paraId="7C3DC273" w14:textId="77777777">
        <w:tc>
          <w:tcPr>
            <w:tcW w:w="1545" w:type="dxa"/>
          </w:tcPr>
          <w:p w14:paraId="45E74F95" w14:textId="77777777" w:rsidR="00BB4D84" w:rsidRDefault="00000000">
            <w:pPr>
              <w:pStyle w:val="Compact"/>
            </w:pPr>
            <w:r>
              <w:t>Fig 6</w:t>
            </w:r>
          </w:p>
        </w:tc>
        <w:tc>
          <w:tcPr>
            <w:tcW w:w="1159" w:type="dxa"/>
          </w:tcPr>
          <w:p w14:paraId="55E4DBCC" w14:textId="77777777" w:rsidR="00BB4D84" w:rsidRDefault="00000000">
            <w:pPr>
              <w:pStyle w:val="Compact"/>
            </w:pPr>
            <w:r>
              <w:rPr>
                <w:rStyle w:val="VerbatimChar"/>
              </w:rPr>
              <w:t>fig6_upi_trends.png</w:t>
            </w:r>
          </w:p>
        </w:tc>
        <w:tc>
          <w:tcPr>
            <w:tcW w:w="2704" w:type="dxa"/>
          </w:tcPr>
          <w:p w14:paraId="47D104B0" w14:textId="77777777" w:rsidR="00BB4D84" w:rsidRDefault="00000000">
            <w:pPr>
              <w:pStyle w:val="Compact"/>
            </w:pPr>
            <w:r>
              <w:t>UPI monthly transaction trends (20 months)</w:t>
            </w:r>
          </w:p>
        </w:tc>
        <w:tc>
          <w:tcPr>
            <w:tcW w:w="2511" w:type="dxa"/>
          </w:tcPr>
          <w:p w14:paraId="38ADBD23" w14:textId="77777777" w:rsidR="00BB4D84" w:rsidRDefault="00000000">
            <w:pPr>
              <w:pStyle w:val="Compact"/>
            </w:pPr>
            <w:r>
              <w:t>Consistent upward trend in both volume and value</w:t>
            </w:r>
          </w:p>
        </w:tc>
      </w:tr>
      <w:tr w:rsidR="00BB4D84" w14:paraId="3DFB9058" w14:textId="77777777">
        <w:tc>
          <w:tcPr>
            <w:tcW w:w="1545" w:type="dxa"/>
          </w:tcPr>
          <w:p w14:paraId="6859B4B4" w14:textId="77777777" w:rsidR="00BB4D84" w:rsidRDefault="00000000">
            <w:pPr>
              <w:pStyle w:val="Compact"/>
            </w:pPr>
            <w:r>
              <w:t>Fig 7</w:t>
            </w:r>
          </w:p>
        </w:tc>
        <w:tc>
          <w:tcPr>
            <w:tcW w:w="1159" w:type="dxa"/>
          </w:tcPr>
          <w:p w14:paraId="5476520E" w14:textId="77777777" w:rsidR="00BB4D84" w:rsidRDefault="00000000">
            <w:pPr>
              <w:pStyle w:val="Compact"/>
            </w:pPr>
            <w:r>
              <w:rPr>
                <w:rStyle w:val="VerbatimChar"/>
              </w:rPr>
              <w:t>fig7_regression_panels.png</w:t>
            </w:r>
          </w:p>
        </w:tc>
        <w:tc>
          <w:tcPr>
            <w:tcW w:w="2704" w:type="dxa"/>
          </w:tcPr>
          <w:p w14:paraId="5A36B5CE" w14:textId="77777777" w:rsidR="00BB4D84" w:rsidRDefault="00000000">
            <w:pPr>
              <w:pStyle w:val="Compact"/>
            </w:pPr>
            <w:r>
              <w:t>Multiple regression scatter panels for individual components</w:t>
            </w:r>
          </w:p>
        </w:tc>
        <w:tc>
          <w:tcPr>
            <w:tcW w:w="2511" w:type="dxa"/>
          </w:tcPr>
          <w:p w14:paraId="7FE98E0D" w14:textId="77777777" w:rsidR="00BB4D84" w:rsidRDefault="00000000">
            <w:pPr>
              <w:pStyle w:val="Compact"/>
            </w:pPr>
            <w:r>
              <w:t>Shows relationship from different angles</w:t>
            </w:r>
          </w:p>
        </w:tc>
      </w:tr>
      <w:tr w:rsidR="00BB4D84" w14:paraId="3569A427" w14:textId="77777777">
        <w:tc>
          <w:tcPr>
            <w:tcW w:w="1545" w:type="dxa"/>
          </w:tcPr>
          <w:p w14:paraId="76DD50F7" w14:textId="77777777" w:rsidR="00BB4D84" w:rsidRDefault="00000000">
            <w:pPr>
              <w:pStyle w:val="Compact"/>
            </w:pPr>
            <w:r>
              <w:t>Fig 8</w:t>
            </w:r>
          </w:p>
        </w:tc>
        <w:tc>
          <w:tcPr>
            <w:tcW w:w="1159" w:type="dxa"/>
          </w:tcPr>
          <w:p w14:paraId="2377FB22" w14:textId="77777777" w:rsidR="00BB4D84" w:rsidRDefault="00000000">
            <w:pPr>
              <w:pStyle w:val="Compact"/>
            </w:pPr>
            <w:r>
              <w:rPr>
                <w:rStyle w:val="VerbatimChar"/>
              </w:rPr>
              <w:t>fig8_upi_vs_sdg.png</w:t>
            </w:r>
          </w:p>
        </w:tc>
        <w:tc>
          <w:tcPr>
            <w:tcW w:w="2704" w:type="dxa"/>
          </w:tcPr>
          <w:p w14:paraId="4CEA144D" w14:textId="77777777" w:rsidR="00BB4D84" w:rsidRDefault="00000000">
            <w:pPr>
              <w:pStyle w:val="Compact"/>
            </w:pPr>
            <w:r>
              <w:t>UPI Per Capita vs SDG Index Score</w:t>
            </w:r>
          </w:p>
        </w:tc>
        <w:tc>
          <w:tcPr>
            <w:tcW w:w="2511" w:type="dxa"/>
          </w:tcPr>
          <w:p w14:paraId="4B19BCB7" w14:textId="77777777" w:rsidR="00BB4D84" w:rsidRDefault="00000000">
            <w:pPr>
              <w:pStyle w:val="Compact"/>
            </w:pPr>
            <w:r>
              <w:t>Positive association between digital payments and sustainability</w:t>
            </w:r>
          </w:p>
        </w:tc>
      </w:tr>
      <w:tr w:rsidR="00BB4D84" w14:paraId="6C5AE21D" w14:textId="77777777">
        <w:tc>
          <w:tcPr>
            <w:tcW w:w="1545" w:type="dxa"/>
          </w:tcPr>
          <w:p w14:paraId="30CB46AF" w14:textId="77777777" w:rsidR="00BB4D84" w:rsidRDefault="00000000">
            <w:pPr>
              <w:pStyle w:val="Compact"/>
            </w:pPr>
            <w:r>
              <w:t>Fig 9</w:t>
            </w:r>
          </w:p>
        </w:tc>
        <w:tc>
          <w:tcPr>
            <w:tcW w:w="1159" w:type="dxa"/>
          </w:tcPr>
          <w:p w14:paraId="01636B3D" w14:textId="77777777" w:rsidR="00BB4D84" w:rsidRDefault="00000000">
            <w:pPr>
              <w:pStyle w:val="Compact"/>
            </w:pPr>
            <w:r>
              <w:rPr>
                <w:rStyle w:val="VerbatimChar"/>
              </w:rPr>
              <w:t>fig9_feature_importance.png</w:t>
            </w:r>
          </w:p>
        </w:tc>
        <w:tc>
          <w:tcPr>
            <w:tcW w:w="2704" w:type="dxa"/>
          </w:tcPr>
          <w:p w14:paraId="5E15B775" w14:textId="77777777" w:rsidR="00BB4D84" w:rsidRDefault="00000000">
            <w:pPr>
              <w:pStyle w:val="Compact"/>
            </w:pPr>
            <w:r>
              <w:t>Random Forest feature importance chart</w:t>
            </w:r>
          </w:p>
        </w:tc>
        <w:tc>
          <w:tcPr>
            <w:tcW w:w="2511" w:type="dxa"/>
          </w:tcPr>
          <w:p w14:paraId="022BFB78" w14:textId="77777777" w:rsidR="00BB4D84" w:rsidRDefault="00000000">
            <w:pPr>
              <w:pStyle w:val="Compact"/>
            </w:pPr>
            <w:r>
              <w:t>NSDP (48.8%) dominates, followed by tele-density (15.1%) and SDG (15.1%)</w:t>
            </w:r>
          </w:p>
        </w:tc>
      </w:tr>
      <w:tr w:rsidR="00BB4D84" w14:paraId="0FDD288F" w14:textId="77777777">
        <w:tc>
          <w:tcPr>
            <w:tcW w:w="1545" w:type="dxa"/>
          </w:tcPr>
          <w:p w14:paraId="75A1633A" w14:textId="77777777" w:rsidR="00BB4D84" w:rsidRDefault="00000000">
            <w:pPr>
              <w:pStyle w:val="Compact"/>
            </w:pPr>
            <w:r>
              <w:t>Fig 10</w:t>
            </w:r>
          </w:p>
        </w:tc>
        <w:tc>
          <w:tcPr>
            <w:tcW w:w="1159" w:type="dxa"/>
          </w:tcPr>
          <w:p w14:paraId="4B68A008" w14:textId="77777777" w:rsidR="00BB4D84" w:rsidRDefault="00000000">
            <w:pPr>
              <w:pStyle w:val="Compact"/>
            </w:pPr>
            <w:r>
              <w:rPr>
                <w:rStyle w:val="VerbatimChar"/>
              </w:rPr>
              <w:t>fig10_bootstrap_ci.png</w:t>
            </w:r>
          </w:p>
        </w:tc>
        <w:tc>
          <w:tcPr>
            <w:tcW w:w="2704" w:type="dxa"/>
          </w:tcPr>
          <w:p w14:paraId="07D02568" w14:textId="77777777" w:rsidR="00BB4D84" w:rsidRDefault="00000000">
            <w:pPr>
              <w:pStyle w:val="Compact"/>
            </w:pPr>
            <w:r>
              <w:t>Bootstrap distributions of r and β₁</w:t>
            </w:r>
          </w:p>
        </w:tc>
        <w:tc>
          <w:tcPr>
            <w:tcW w:w="2511" w:type="dxa"/>
          </w:tcPr>
          <w:p w14:paraId="5737B9BB" w14:textId="77777777" w:rsidR="00BB4D84" w:rsidRDefault="00000000">
            <w:pPr>
              <w:pStyle w:val="Compact"/>
            </w:pPr>
            <w:r>
              <w:t>CIs exclude zero — robust despite n=16</w:t>
            </w:r>
          </w:p>
        </w:tc>
      </w:tr>
      <w:tr w:rsidR="00BB4D84" w14:paraId="7652979B" w14:textId="77777777">
        <w:tc>
          <w:tcPr>
            <w:tcW w:w="1545" w:type="dxa"/>
          </w:tcPr>
          <w:p w14:paraId="32699F76" w14:textId="77777777" w:rsidR="00BB4D84" w:rsidRDefault="00000000">
            <w:pPr>
              <w:pStyle w:val="Compact"/>
            </w:pPr>
            <w:r>
              <w:t>Fig 11</w:t>
            </w:r>
          </w:p>
        </w:tc>
        <w:tc>
          <w:tcPr>
            <w:tcW w:w="1159" w:type="dxa"/>
          </w:tcPr>
          <w:p w14:paraId="19173D79" w14:textId="77777777" w:rsidR="00BB4D84" w:rsidRDefault="00000000">
            <w:pPr>
              <w:pStyle w:val="Compact"/>
            </w:pPr>
            <w:r>
              <w:rPr>
                <w:rStyle w:val="VerbatimChar"/>
              </w:rPr>
              <w:t>fig11_weight_sensitivity.png</w:t>
            </w:r>
          </w:p>
        </w:tc>
        <w:tc>
          <w:tcPr>
            <w:tcW w:w="2704" w:type="dxa"/>
          </w:tcPr>
          <w:p w14:paraId="2B9E0900" w14:textId="77777777" w:rsidR="00BB4D84" w:rsidRDefault="00000000">
            <w:pPr>
              <w:pStyle w:val="Compact"/>
            </w:pPr>
            <w:r>
              <w:t>Sensitivity analysis — r across 7 weight schemes</w:t>
            </w:r>
          </w:p>
        </w:tc>
        <w:tc>
          <w:tcPr>
            <w:tcW w:w="2511" w:type="dxa"/>
          </w:tcPr>
          <w:p w14:paraId="68CC07C2" w14:textId="77777777" w:rsidR="00BB4D84" w:rsidRDefault="00000000">
            <w:pPr>
              <w:pStyle w:val="Compact"/>
            </w:pPr>
            <w:r>
              <w:t>6/7 significant — result isn’t weight-dependent</w:t>
            </w:r>
          </w:p>
        </w:tc>
      </w:tr>
      <w:tr w:rsidR="00BB4D84" w14:paraId="08D8DBE0" w14:textId="77777777">
        <w:tc>
          <w:tcPr>
            <w:tcW w:w="1545" w:type="dxa"/>
          </w:tcPr>
          <w:p w14:paraId="598F185B" w14:textId="77777777" w:rsidR="00BB4D84" w:rsidRDefault="00000000">
            <w:pPr>
              <w:pStyle w:val="Compact"/>
            </w:pPr>
            <w:r>
              <w:lastRenderedPageBreak/>
              <w:t>Fig 12</w:t>
            </w:r>
          </w:p>
        </w:tc>
        <w:tc>
          <w:tcPr>
            <w:tcW w:w="1159" w:type="dxa"/>
          </w:tcPr>
          <w:p w14:paraId="61A64F6C" w14:textId="77777777" w:rsidR="00BB4D84" w:rsidRDefault="00000000">
            <w:pPr>
              <w:pStyle w:val="Compact"/>
            </w:pPr>
            <w:r>
              <w:rPr>
                <w:rStyle w:val="VerbatimChar"/>
              </w:rPr>
              <w:t>fig12_extended_sample.png</w:t>
            </w:r>
          </w:p>
        </w:tc>
        <w:tc>
          <w:tcPr>
            <w:tcW w:w="2704" w:type="dxa"/>
          </w:tcPr>
          <w:p w14:paraId="4441BF72" w14:textId="77777777" w:rsidR="00BB4D84" w:rsidRDefault="00000000">
            <w:pPr>
              <w:pStyle w:val="Compact"/>
            </w:pPr>
            <w:r>
              <w:t>Primary (n=16) vs Extended (n=21) scatter comparison</w:t>
            </w:r>
          </w:p>
        </w:tc>
        <w:tc>
          <w:tcPr>
            <w:tcW w:w="2511" w:type="dxa"/>
          </w:tcPr>
          <w:p w14:paraId="295A50C2" w14:textId="77777777" w:rsidR="00BB4D84" w:rsidRDefault="00000000">
            <w:pPr>
              <w:pStyle w:val="Compact"/>
            </w:pPr>
            <w:r>
              <w:t>Extended sample shows even stronger correlation (r=0.963)</w:t>
            </w:r>
          </w:p>
        </w:tc>
      </w:tr>
    </w:tbl>
    <w:p w14:paraId="0277D91A" w14:textId="77777777" w:rsidR="00BB4D84" w:rsidRDefault="00C359AD">
      <w:r>
        <w:rPr>
          <w:noProof/>
        </w:rPr>
        <w:pict w14:anchorId="733363B2">
          <v:rect id="_x0000_i1027" alt="" style="width:451.3pt;height:.05pt;mso-width-percent:0;mso-height-percent:0;mso-width-percent:0;mso-height-percent:0" o:hralign="center" o:hrstd="t" o:hr="t"/>
        </w:pict>
      </w:r>
    </w:p>
    <w:p w14:paraId="4AD05AD0" w14:textId="77777777" w:rsidR="00BB4D84" w:rsidRDefault="00000000">
      <w:pPr>
        <w:pStyle w:val="Heading2"/>
      </w:pPr>
      <w:bookmarkStart w:id="61" w:name="complete-bibliography"/>
      <w:bookmarkEnd w:id="60"/>
      <w:r>
        <w:t>14. Complete Bibliography</w:t>
      </w:r>
    </w:p>
    <w:p w14:paraId="3638C963" w14:textId="77777777" w:rsidR="00BB4D84" w:rsidRDefault="00000000">
      <w:pPr>
        <w:pStyle w:val="Heading3"/>
      </w:pPr>
      <w:bookmarkStart w:id="62" w:name="primary-data-sources"/>
      <w:r>
        <w:t>Primary Data Sources</w:t>
      </w:r>
    </w:p>
    <w:p w14:paraId="3B92B40E" w14:textId="77777777" w:rsidR="00BB4D84" w:rsidRDefault="00000000">
      <w:pPr>
        <w:numPr>
          <w:ilvl w:val="0"/>
          <w:numId w:val="8"/>
        </w:numPr>
      </w:pPr>
      <w:r>
        <w:rPr>
          <w:b/>
          <w:bCs/>
        </w:rPr>
        <w:t>TRAI.</w:t>
      </w:r>
      <w:r>
        <w:t xml:space="preserve"> (2024). </w:t>
      </w:r>
      <w:r>
        <w:rPr>
          <w:i/>
          <w:iCs/>
        </w:rPr>
        <w:t>Indian Telecom Services Performance Indicators Report: April–June 2024</w:t>
      </w:r>
      <w:r>
        <w:t>. Telecom Regulatory Authority of India, New Delhi. Retrieved from https://trai.gov.in/release-publication/reports/performance-indicators-reports</w:t>
      </w:r>
    </w:p>
    <w:p w14:paraId="061255CE" w14:textId="77777777" w:rsidR="00BB4D84" w:rsidRDefault="00000000">
      <w:pPr>
        <w:numPr>
          <w:ilvl w:val="0"/>
          <w:numId w:val="8"/>
        </w:numPr>
      </w:pPr>
      <w:r>
        <w:rPr>
          <w:b/>
          <w:bCs/>
        </w:rPr>
        <w:t>RBI.</w:t>
      </w:r>
      <w:r>
        <w:t xml:space="preserve"> (2025). </w:t>
      </w:r>
      <w:r>
        <w:rPr>
          <w:i/>
          <w:iCs/>
        </w:rPr>
        <w:t>Handbook of Statistics on Indian Economy 2024-25, Table 9: Per Capita Net State Domestic Product (At Current Prices, Base: 2011-12)</w:t>
      </w:r>
      <w:r>
        <w:t>. Reserve Bank of India, Mumbai. Retrieved from https://www.rbi.org.in/Scripts/AnnualPublications.aspx?head=Handbook+of+Statistics+on+Indian+Economy</w:t>
      </w:r>
    </w:p>
    <w:p w14:paraId="087275B7" w14:textId="77777777" w:rsidR="00BB4D84" w:rsidRDefault="00000000">
      <w:pPr>
        <w:numPr>
          <w:ilvl w:val="0"/>
          <w:numId w:val="8"/>
        </w:numPr>
      </w:pPr>
      <w:r>
        <w:rPr>
          <w:b/>
          <w:bCs/>
        </w:rPr>
        <w:t>NITI Aayog.</w:t>
      </w:r>
      <w:r>
        <w:t xml:space="preserve"> (2024). </w:t>
      </w:r>
      <w:r>
        <w:rPr>
          <w:i/>
          <w:iCs/>
        </w:rPr>
        <w:t>SDG India Index &amp; Dashboard 2023-24</w:t>
      </w:r>
      <w:r>
        <w:t xml:space="preserve"> (4th Edition). National Institution for Transforming India, Government of India, New Delhi. Retrieved from https://sdgindiaindex.niti.gov.in/</w:t>
      </w:r>
    </w:p>
    <w:p w14:paraId="2A1A9199" w14:textId="77777777" w:rsidR="00BB4D84" w:rsidRDefault="00000000">
      <w:pPr>
        <w:numPr>
          <w:ilvl w:val="0"/>
          <w:numId w:val="8"/>
        </w:numPr>
      </w:pPr>
      <w:r>
        <w:rPr>
          <w:b/>
          <w:bCs/>
        </w:rPr>
        <w:t>NPCI.</w:t>
      </w:r>
      <w:r>
        <w:t xml:space="preserve"> (2025). </w:t>
      </w:r>
      <w:r>
        <w:rPr>
          <w:i/>
          <w:iCs/>
        </w:rPr>
        <w:t>UPI Product Statistics (Monthly Aggregate Data)</w:t>
      </w:r>
      <w:r>
        <w:t>. National Payments Corporation of India, Mumbai. Retrieved from https://www.npci.org.in/what-we-do/upi/product-statistics</w:t>
      </w:r>
    </w:p>
    <w:p w14:paraId="58506330" w14:textId="77777777" w:rsidR="00BB4D84" w:rsidRDefault="00000000">
      <w:pPr>
        <w:numPr>
          <w:ilvl w:val="0"/>
          <w:numId w:val="8"/>
        </w:numPr>
      </w:pPr>
      <w:r>
        <w:rPr>
          <w:b/>
          <w:bCs/>
        </w:rPr>
        <w:t>Dataful Insights / Factly Media.</w:t>
      </w:r>
      <w:r>
        <w:t xml:space="preserve"> (2025). “Here is How UPI Usage Differs Across Indian States.” Based on NPCI state-wise product statistics. Retrieved from https://insights.dataful.in</w:t>
      </w:r>
    </w:p>
    <w:p w14:paraId="1EFA02A7" w14:textId="77777777" w:rsidR="00BB4D84" w:rsidRDefault="00000000">
      <w:pPr>
        <w:numPr>
          <w:ilvl w:val="0"/>
          <w:numId w:val="8"/>
        </w:numPr>
      </w:pPr>
      <w:r>
        <w:rPr>
          <w:b/>
          <w:bCs/>
        </w:rPr>
        <w:t>CPCB.</w:t>
      </w:r>
      <w:r>
        <w:t xml:space="preserve"> (2023). </w:t>
      </w:r>
      <w:r>
        <w:rPr>
          <w:i/>
          <w:iCs/>
        </w:rPr>
        <w:t>Annual Report on Implementation of E-Waste (Management) Rules, 2016 for FY 2021-22</w:t>
      </w:r>
      <w:r>
        <w:t>. Central Pollution Control Board, Ministry of Environment, Forest and Climate Change, Government of India, Delhi. Retrieved from https://cpcb.nic.in</w:t>
      </w:r>
    </w:p>
    <w:p w14:paraId="78448ED1" w14:textId="77777777" w:rsidR="00BB4D84" w:rsidRDefault="00000000">
      <w:pPr>
        <w:numPr>
          <w:ilvl w:val="0"/>
          <w:numId w:val="8"/>
        </w:numPr>
      </w:pPr>
      <w:r>
        <w:rPr>
          <w:b/>
          <w:bCs/>
        </w:rPr>
        <w:t>Census of India.</w:t>
      </w:r>
      <w:r>
        <w:t xml:space="preserve"> (2011). </w:t>
      </w:r>
      <w:r>
        <w:rPr>
          <w:i/>
          <w:iCs/>
        </w:rPr>
        <w:t>Primary Census Abstract: Literacy Rate, Level of Urbanization, Population</w:t>
      </w:r>
      <w:r>
        <w:t>. Office of the Registrar General &amp; Census Commissioner, Ministry of Home Affairs, Government of India. Retrieved from https://censusindia.gov.in</w:t>
      </w:r>
    </w:p>
    <w:p w14:paraId="7927D312" w14:textId="77777777" w:rsidR="00BB4D84" w:rsidRDefault="00000000">
      <w:pPr>
        <w:pStyle w:val="Heading3"/>
      </w:pPr>
      <w:bookmarkStart w:id="63" w:name="X088ae9f4c8024d2f1120914f30072f4c26f3b31"/>
      <w:bookmarkEnd w:id="62"/>
      <w:r>
        <w:t>Suggested Academic References (for Literature Review)</w:t>
      </w:r>
    </w:p>
    <w:p w14:paraId="07D95001" w14:textId="77777777" w:rsidR="00BB4D84" w:rsidRDefault="00000000">
      <w:pPr>
        <w:numPr>
          <w:ilvl w:val="0"/>
          <w:numId w:val="9"/>
        </w:numPr>
      </w:pPr>
      <w:r>
        <w:rPr>
          <w:b/>
          <w:bCs/>
        </w:rPr>
        <w:t>Baron, R.M., &amp; Kenny, D.A.</w:t>
      </w:r>
      <w:r>
        <w:t xml:space="preserve"> (1986). The moderator-mediator variable distinction in social psychological research. </w:t>
      </w:r>
      <w:r>
        <w:rPr>
          <w:i/>
          <w:iCs/>
        </w:rPr>
        <w:t>Journal of Personality and Social Psychology</w:t>
      </w:r>
      <w:r>
        <w:t>, 51(6), 1173-1182.</w:t>
      </w:r>
    </w:p>
    <w:p w14:paraId="36DEF095" w14:textId="77777777" w:rsidR="00BB4D84" w:rsidRDefault="00000000">
      <w:pPr>
        <w:numPr>
          <w:ilvl w:val="0"/>
          <w:numId w:val="9"/>
        </w:numPr>
      </w:pPr>
      <w:r>
        <w:rPr>
          <w:b/>
          <w:bCs/>
        </w:rPr>
        <w:lastRenderedPageBreak/>
        <w:t>Ellen MacArthur Foundation.</w:t>
      </w:r>
      <w:r>
        <w:t xml:space="preserve"> (2013). </w:t>
      </w:r>
      <w:r>
        <w:rPr>
          <w:i/>
          <w:iCs/>
        </w:rPr>
        <w:t>Towards the Circular Economy: Economic and Business Rationale for an Accelerated Transition</w:t>
      </w:r>
      <w:r>
        <w:t>. Retrieved from https://ellenmacarthurfoundation.org</w:t>
      </w:r>
    </w:p>
    <w:p w14:paraId="21C06324" w14:textId="77777777" w:rsidR="00BB4D84" w:rsidRDefault="00000000">
      <w:pPr>
        <w:numPr>
          <w:ilvl w:val="0"/>
          <w:numId w:val="9"/>
        </w:numPr>
      </w:pPr>
      <w:r>
        <w:rPr>
          <w:b/>
          <w:bCs/>
        </w:rPr>
        <w:t>Geissdoerfer, M., Savaget, P., Bocken, N.M., &amp; Hultink, E.J.</w:t>
      </w:r>
      <w:r>
        <w:t xml:space="preserve"> (2017). The Circular Economy – A new sustainability paradigm? </w:t>
      </w:r>
      <w:r>
        <w:rPr>
          <w:i/>
          <w:iCs/>
        </w:rPr>
        <w:t>Journal of Cleaner Production</w:t>
      </w:r>
      <w:r>
        <w:t>, 143, 757-768.</w:t>
      </w:r>
    </w:p>
    <w:p w14:paraId="6CA81BD7" w14:textId="77777777" w:rsidR="00BB4D84" w:rsidRDefault="00000000">
      <w:pPr>
        <w:numPr>
          <w:ilvl w:val="0"/>
          <w:numId w:val="9"/>
        </w:numPr>
      </w:pPr>
      <w:r>
        <w:rPr>
          <w:b/>
          <w:bCs/>
        </w:rPr>
        <w:t>NITI Aayog.</w:t>
      </w:r>
      <w:r>
        <w:t xml:space="preserve"> (2021). </w:t>
      </w:r>
      <w:r>
        <w:rPr>
          <w:i/>
          <w:iCs/>
        </w:rPr>
        <w:t>Circular Economy in India: Rethinking Growth for Long-Term Prosperity</w:t>
      </w:r>
      <w:r>
        <w:t>. Government of India, New Delhi.</w:t>
      </w:r>
    </w:p>
    <w:p w14:paraId="0840F70D" w14:textId="77777777" w:rsidR="00BB4D84" w:rsidRDefault="00000000">
      <w:pPr>
        <w:numPr>
          <w:ilvl w:val="0"/>
          <w:numId w:val="9"/>
        </w:numPr>
      </w:pPr>
      <w:r>
        <w:rPr>
          <w:b/>
          <w:bCs/>
        </w:rPr>
        <w:t>World Economic Forum.</w:t>
      </w:r>
      <w:r>
        <w:t xml:space="preserve"> (2019). </w:t>
      </w:r>
      <w:r>
        <w:rPr>
          <w:i/>
          <w:iCs/>
        </w:rPr>
        <w:t>Harnessing the Fourth Industrial Revolution for the Circular Economy</w:t>
      </w:r>
      <w:r>
        <w:t>. Geneva, Switzerland.</w:t>
      </w:r>
    </w:p>
    <w:p w14:paraId="3F526F6F" w14:textId="77777777" w:rsidR="00BB4D84" w:rsidRDefault="00000000">
      <w:pPr>
        <w:numPr>
          <w:ilvl w:val="0"/>
          <w:numId w:val="9"/>
        </w:numPr>
      </w:pPr>
      <w:r>
        <w:rPr>
          <w:b/>
          <w:bCs/>
        </w:rPr>
        <w:t>Avgerou, C.</w:t>
      </w:r>
      <w:r>
        <w:t xml:space="preserve"> (2010). Discourses on ICT and development. </w:t>
      </w:r>
      <w:r>
        <w:rPr>
          <w:i/>
          <w:iCs/>
        </w:rPr>
        <w:t>Information Technologies &amp; International Development</w:t>
      </w:r>
      <w:r>
        <w:t>, 6(3), 1-18.</w:t>
      </w:r>
    </w:p>
    <w:p w14:paraId="5889DAA0" w14:textId="77777777" w:rsidR="00BB4D84" w:rsidRDefault="00000000">
      <w:pPr>
        <w:numPr>
          <w:ilvl w:val="0"/>
          <w:numId w:val="9"/>
        </w:numPr>
      </w:pPr>
      <w:r>
        <w:rPr>
          <w:b/>
          <w:bCs/>
        </w:rPr>
        <w:t>Heeks, R.</w:t>
      </w:r>
      <w:r>
        <w:t xml:space="preserve"> (2017). </w:t>
      </w:r>
      <w:r>
        <w:rPr>
          <w:i/>
          <w:iCs/>
        </w:rPr>
        <w:t>Information and Communication Technology for Development (ICT4D)</w:t>
      </w:r>
      <w:r>
        <w:t>. Routledge.</w:t>
      </w:r>
    </w:p>
    <w:p w14:paraId="3B951C25" w14:textId="77777777" w:rsidR="00BB4D84" w:rsidRDefault="00000000">
      <w:pPr>
        <w:numPr>
          <w:ilvl w:val="0"/>
          <w:numId w:val="9"/>
        </w:numPr>
      </w:pPr>
      <w:r>
        <w:rPr>
          <w:b/>
          <w:bCs/>
        </w:rPr>
        <w:t>Ministry of Electronics &amp; IT.</w:t>
      </w:r>
      <w:r>
        <w:t xml:space="preserve"> (2023). </w:t>
      </w:r>
      <w:r>
        <w:rPr>
          <w:i/>
          <w:iCs/>
        </w:rPr>
        <w:t>Digital India Programme: Progress and Initiatives</w:t>
      </w:r>
      <w:r>
        <w:t>. Government of India. Retrieved from https://digitalindia.gov.in</w:t>
      </w:r>
    </w:p>
    <w:p w14:paraId="6265801F" w14:textId="77777777" w:rsidR="00BB4D84" w:rsidRDefault="00C359AD">
      <w:r>
        <w:rPr>
          <w:noProof/>
        </w:rPr>
        <w:pict w14:anchorId="0812A30B">
          <v:rect id="_x0000_i1026" alt="" style="width:451.3pt;height:.05pt;mso-width-percent:0;mso-height-percent:0;mso-width-percent:0;mso-height-percent:0" o:hralign="center" o:hrstd="t" o:hr="t"/>
        </w:pict>
      </w:r>
    </w:p>
    <w:p w14:paraId="6AF10671" w14:textId="77777777" w:rsidR="00BB4D84" w:rsidRDefault="00000000">
      <w:pPr>
        <w:pStyle w:val="Heading2"/>
      </w:pPr>
      <w:bookmarkStart w:id="64" w:name="X529740143525daf13bee34246b37c1154eed56c"/>
      <w:bookmarkEnd w:id="61"/>
      <w:bookmarkEnd w:id="63"/>
      <w:r>
        <w:t>Summary Checklist — Everything You Need for the Paper</w:t>
      </w:r>
    </w:p>
    <w:tbl>
      <w:tblPr>
        <w:tblStyle w:val="Table"/>
        <w:tblW w:w="0" w:type="auto"/>
        <w:tblLook w:val="0020" w:firstRow="1" w:lastRow="0" w:firstColumn="0" w:lastColumn="0" w:noHBand="0" w:noVBand="0"/>
      </w:tblPr>
      <w:tblGrid>
        <w:gridCol w:w="2423"/>
        <w:gridCol w:w="3735"/>
        <w:gridCol w:w="886"/>
      </w:tblGrid>
      <w:tr w:rsidR="00BB4D84" w14:paraId="4F8A7B16" w14:textId="77777777" w:rsidTr="00BB4D84">
        <w:trPr>
          <w:cnfStyle w:val="100000000000" w:firstRow="1" w:lastRow="0" w:firstColumn="0" w:lastColumn="0" w:oddVBand="0" w:evenVBand="0" w:oddHBand="0" w:evenHBand="0" w:firstRowFirstColumn="0" w:firstRowLastColumn="0" w:lastRowFirstColumn="0" w:lastRowLastColumn="0"/>
          <w:tblHeader/>
        </w:trPr>
        <w:tc>
          <w:tcPr>
            <w:tcW w:w="0" w:type="auto"/>
          </w:tcPr>
          <w:p w14:paraId="3B910D72" w14:textId="77777777" w:rsidR="00BB4D84" w:rsidRDefault="00000000">
            <w:pPr>
              <w:pStyle w:val="Compact"/>
            </w:pPr>
            <w:r>
              <w:t>Section</w:t>
            </w:r>
          </w:p>
        </w:tc>
        <w:tc>
          <w:tcPr>
            <w:tcW w:w="0" w:type="auto"/>
          </w:tcPr>
          <w:p w14:paraId="46BD9393" w14:textId="77777777" w:rsidR="00BB4D84" w:rsidRDefault="00000000">
            <w:pPr>
              <w:pStyle w:val="Compact"/>
            </w:pPr>
            <w:r>
              <w:t>Source in This Document</w:t>
            </w:r>
          </w:p>
        </w:tc>
        <w:tc>
          <w:tcPr>
            <w:tcW w:w="0" w:type="auto"/>
          </w:tcPr>
          <w:p w14:paraId="71D33AFA" w14:textId="77777777" w:rsidR="00BB4D84" w:rsidRDefault="00000000">
            <w:pPr>
              <w:pStyle w:val="Compact"/>
            </w:pPr>
            <w:r>
              <w:t>Status</w:t>
            </w:r>
          </w:p>
        </w:tc>
      </w:tr>
      <w:tr w:rsidR="00BB4D84" w14:paraId="33BF6C2B" w14:textId="77777777">
        <w:tc>
          <w:tcPr>
            <w:tcW w:w="0" w:type="auto"/>
          </w:tcPr>
          <w:p w14:paraId="0EA0D4FC" w14:textId="77777777" w:rsidR="00BB4D84" w:rsidRDefault="00000000">
            <w:pPr>
              <w:pStyle w:val="Compact"/>
            </w:pPr>
            <w:r>
              <w:rPr>
                <w:b/>
                <w:bCs/>
              </w:rPr>
              <w:t>Title</w:t>
            </w:r>
          </w:p>
        </w:tc>
        <w:tc>
          <w:tcPr>
            <w:tcW w:w="0" w:type="auto"/>
          </w:tcPr>
          <w:p w14:paraId="4B1780CB" w14:textId="77777777" w:rsidR="00BB4D84" w:rsidRDefault="00000000">
            <w:pPr>
              <w:pStyle w:val="Compact"/>
            </w:pPr>
            <w:r>
              <w:t>Top of document</w:t>
            </w:r>
          </w:p>
        </w:tc>
        <w:tc>
          <w:tcPr>
            <w:tcW w:w="0" w:type="auto"/>
          </w:tcPr>
          <w:p w14:paraId="5FB4BCE4" w14:textId="77777777" w:rsidR="00BB4D84" w:rsidRDefault="00000000">
            <w:pPr>
              <w:pStyle w:val="Compact"/>
            </w:pPr>
            <w:r>
              <w:t>✅</w:t>
            </w:r>
          </w:p>
        </w:tc>
      </w:tr>
      <w:tr w:rsidR="00BB4D84" w14:paraId="4C6EB7B9" w14:textId="77777777">
        <w:tc>
          <w:tcPr>
            <w:tcW w:w="0" w:type="auto"/>
          </w:tcPr>
          <w:p w14:paraId="51A57254" w14:textId="77777777" w:rsidR="00BB4D84" w:rsidRDefault="00000000">
            <w:pPr>
              <w:pStyle w:val="Compact"/>
            </w:pPr>
            <w:r>
              <w:rPr>
                <w:b/>
                <w:bCs/>
              </w:rPr>
              <w:t>Abstract</w:t>
            </w:r>
          </w:p>
        </w:tc>
        <w:tc>
          <w:tcPr>
            <w:tcW w:w="0" w:type="auto"/>
          </w:tcPr>
          <w:p w14:paraId="531FF002" w14:textId="77777777" w:rsidR="00BB4D84" w:rsidRDefault="00000000">
            <w:pPr>
              <w:pStyle w:val="Compact"/>
            </w:pPr>
            <w:r>
              <w:t>Section 12 (ready-to-use)</w:t>
            </w:r>
          </w:p>
        </w:tc>
        <w:tc>
          <w:tcPr>
            <w:tcW w:w="0" w:type="auto"/>
          </w:tcPr>
          <w:p w14:paraId="0B47615C" w14:textId="77777777" w:rsidR="00BB4D84" w:rsidRDefault="00000000">
            <w:pPr>
              <w:pStyle w:val="Compact"/>
            </w:pPr>
            <w:r>
              <w:t>✅</w:t>
            </w:r>
          </w:p>
        </w:tc>
      </w:tr>
      <w:tr w:rsidR="00BB4D84" w14:paraId="130D37C6" w14:textId="77777777">
        <w:tc>
          <w:tcPr>
            <w:tcW w:w="0" w:type="auto"/>
          </w:tcPr>
          <w:p w14:paraId="4E8B21FA" w14:textId="77777777" w:rsidR="00BB4D84" w:rsidRDefault="00000000">
            <w:pPr>
              <w:pStyle w:val="Compact"/>
            </w:pPr>
            <w:r>
              <w:rPr>
                <w:b/>
                <w:bCs/>
              </w:rPr>
              <w:t>Introduction</w:t>
            </w:r>
          </w:p>
        </w:tc>
        <w:tc>
          <w:tcPr>
            <w:tcW w:w="0" w:type="auto"/>
          </w:tcPr>
          <w:p w14:paraId="4AA351A1" w14:textId="77777777" w:rsidR="00BB4D84" w:rsidRDefault="00000000">
            <w:pPr>
              <w:pStyle w:val="Compact"/>
            </w:pPr>
            <w:r>
              <w:t>Sections 1, 2, 12</w:t>
            </w:r>
          </w:p>
        </w:tc>
        <w:tc>
          <w:tcPr>
            <w:tcW w:w="0" w:type="auto"/>
          </w:tcPr>
          <w:p w14:paraId="767F7736" w14:textId="77777777" w:rsidR="00BB4D84" w:rsidRDefault="00000000">
            <w:pPr>
              <w:pStyle w:val="Compact"/>
            </w:pPr>
            <w:r>
              <w:t>✅</w:t>
            </w:r>
          </w:p>
        </w:tc>
      </w:tr>
      <w:tr w:rsidR="00BB4D84" w14:paraId="24F7B5F0" w14:textId="77777777">
        <w:tc>
          <w:tcPr>
            <w:tcW w:w="0" w:type="auto"/>
          </w:tcPr>
          <w:p w14:paraId="7D2162A5" w14:textId="77777777" w:rsidR="00BB4D84" w:rsidRDefault="00000000">
            <w:pPr>
              <w:pStyle w:val="Compact"/>
            </w:pPr>
            <w:r>
              <w:rPr>
                <w:b/>
                <w:bCs/>
              </w:rPr>
              <w:t>Literature Review</w:t>
            </w:r>
          </w:p>
        </w:tc>
        <w:tc>
          <w:tcPr>
            <w:tcW w:w="0" w:type="auto"/>
          </w:tcPr>
          <w:p w14:paraId="04D24B3B" w14:textId="77777777" w:rsidR="00BB4D84" w:rsidRDefault="00000000">
            <w:pPr>
              <w:pStyle w:val="Compact"/>
            </w:pPr>
            <w:r>
              <w:t>Sections 1, 2, 14 (references 8-15)</w:t>
            </w:r>
          </w:p>
        </w:tc>
        <w:tc>
          <w:tcPr>
            <w:tcW w:w="0" w:type="auto"/>
          </w:tcPr>
          <w:p w14:paraId="129CD082" w14:textId="77777777" w:rsidR="00BB4D84" w:rsidRDefault="00000000">
            <w:pPr>
              <w:pStyle w:val="Compact"/>
            </w:pPr>
            <w:r>
              <w:t>✅</w:t>
            </w:r>
          </w:p>
        </w:tc>
      </w:tr>
      <w:tr w:rsidR="00BB4D84" w14:paraId="054EFD7B" w14:textId="77777777">
        <w:tc>
          <w:tcPr>
            <w:tcW w:w="0" w:type="auto"/>
          </w:tcPr>
          <w:p w14:paraId="4E0B8031" w14:textId="77777777" w:rsidR="00BB4D84" w:rsidRDefault="00000000">
            <w:pPr>
              <w:pStyle w:val="Compact"/>
            </w:pPr>
            <w:r>
              <w:rPr>
                <w:b/>
                <w:bCs/>
              </w:rPr>
              <w:t>Research Questions</w:t>
            </w:r>
          </w:p>
        </w:tc>
        <w:tc>
          <w:tcPr>
            <w:tcW w:w="0" w:type="auto"/>
          </w:tcPr>
          <w:p w14:paraId="2A41C6FF" w14:textId="77777777" w:rsidR="00BB4D84" w:rsidRDefault="00000000">
            <w:pPr>
              <w:pStyle w:val="Compact"/>
            </w:pPr>
            <w:r>
              <w:t>Section 3</w:t>
            </w:r>
          </w:p>
        </w:tc>
        <w:tc>
          <w:tcPr>
            <w:tcW w:w="0" w:type="auto"/>
          </w:tcPr>
          <w:p w14:paraId="387BED65" w14:textId="77777777" w:rsidR="00BB4D84" w:rsidRDefault="00000000">
            <w:pPr>
              <w:pStyle w:val="Compact"/>
            </w:pPr>
            <w:r>
              <w:t>✅</w:t>
            </w:r>
          </w:p>
        </w:tc>
      </w:tr>
      <w:tr w:rsidR="00BB4D84" w14:paraId="2CE08D48" w14:textId="77777777">
        <w:tc>
          <w:tcPr>
            <w:tcW w:w="0" w:type="auto"/>
          </w:tcPr>
          <w:p w14:paraId="425F1D98" w14:textId="77777777" w:rsidR="00BB4D84" w:rsidRDefault="00000000">
            <w:pPr>
              <w:pStyle w:val="Compact"/>
            </w:pPr>
            <w:r>
              <w:rPr>
                <w:b/>
                <w:bCs/>
              </w:rPr>
              <w:t>Methodology</w:t>
            </w:r>
          </w:p>
        </w:tc>
        <w:tc>
          <w:tcPr>
            <w:tcW w:w="0" w:type="auto"/>
          </w:tcPr>
          <w:p w14:paraId="55FF15C0" w14:textId="77777777" w:rsidR="00BB4D84" w:rsidRDefault="00000000">
            <w:pPr>
              <w:pStyle w:val="Compact"/>
            </w:pPr>
            <w:r>
              <w:t>Sections 4, 5, 12</w:t>
            </w:r>
          </w:p>
        </w:tc>
        <w:tc>
          <w:tcPr>
            <w:tcW w:w="0" w:type="auto"/>
          </w:tcPr>
          <w:p w14:paraId="35F2562B" w14:textId="77777777" w:rsidR="00BB4D84" w:rsidRDefault="00000000">
            <w:pPr>
              <w:pStyle w:val="Compact"/>
            </w:pPr>
            <w:r>
              <w:t>✅</w:t>
            </w:r>
          </w:p>
        </w:tc>
      </w:tr>
      <w:tr w:rsidR="00BB4D84" w14:paraId="66BDE9DA" w14:textId="77777777">
        <w:tc>
          <w:tcPr>
            <w:tcW w:w="0" w:type="auto"/>
          </w:tcPr>
          <w:p w14:paraId="3D98DEF2" w14:textId="77777777" w:rsidR="00BB4D84" w:rsidRDefault="00000000">
            <w:pPr>
              <w:pStyle w:val="Compact"/>
            </w:pPr>
            <w:r>
              <w:rPr>
                <w:b/>
                <w:bCs/>
              </w:rPr>
              <w:t>Results</w:t>
            </w:r>
          </w:p>
        </w:tc>
        <w:tc>
          <w:tcPr>
            <w:tcW w:w="0" w:type="auto"/>
          </w:tcPr>
          <w:p w14:paraId="2CADB0F3" w14:textId="77777777" w:rsidR="00BB4D84" w:rsidRDefault="00000000">
            <w:pPr>
              <w:pStyle w:val="Compact"/>
            </w:pPr>
            <w:r>
              <w:t>Section 6 (exact numbers)</w:t>
            </w:r>
          </w:p>
        </w:tc>
        <w:tc>
          <w:tcPr>
            <w:tcW w:w="0" w:type="auto"/>
          </w:tcPr>
          <w:p w14:paraId="1E6A1540" w14:textId="77777777" w:rsidR="00BB4D84" w:rsidRDefault="00000000">
            <w:pPr>
              <w:pStyle w:val="Compact"/>
            </w:pPr>
            <w:r>
              <w:t>✅</w:t>
            </w:r>
          </w:p>
        </w:tc>
      </w:tr>
      <w:tr w:rsidR="00BB4D84" w14:paraId="09C48F67" w14:textId="77777777">
        <w:tc>
          <w:tcPr>
            <w:tcW w:w="0" w:type="auto"/>
          </w:tcPr>
          <w:p w14:paraId="1EC1337A" w14:textId="77777777" w:rsidR="00BB4D84" w:rsidRDefault="00000000">
            <w:pPr>
              <w:pStyle w:val="Compact"/>
            </w:pPr>
            <w:r>
              <w:rPr>
                <w:b/>
                <w:bCs/>
              </w:rPr>
              <w:t>Discussion</w:t>
            </w:r>
          </w:p>
        </w:tc>
        <w:tc>
          <w:tcPr>
            <w:tcW w:w="0" w:type="auto"/>
          </w:tcPr>
          <w:p w14:paraId="74E09CA5" w14:textId="77777777" w:rsidR="00BB4D84" w:rsidRDefault="00000000">
            <w:pPr>
              <w:pStyle w:val="Compact"/>
            </w:pPr>
            <w:r>
              <w:t>Sections 7, 8, 9</w:t>
            </w:r>
          </w:p>
        </w:tc>
        <w:tc>
          <w:tcPr>
            <w:tcW w:w="0" w:type="auto"/>
          </w:tcPr>
          <w:p w14:paraId="67E65129" w14:textId="77777777" w:rsidR="00BB4D84" w:rsidRDefault="00000000">
            <w:pPr>
              <w:pStyle w:val="Compact"/>
            </w:pPr>
            <w:r>
              <w:t>✅</w:t>
            </w:r>
          </w:p>
        </w:tc>
      </w:tr>
      <w:tr w:rsidR="00BB4D84" w14:paraId="69995AD2" w14:textId="77777777">
        <w:tc>
          <w:tcPr>
            <w:tcW w:w="0" w:type="auto"/>
          </w:tcPr>
          <w:p w14:paraId="54BE1F69" w14:textId="77777777" w:rsidR="00BB4D84" w:rsidRDefault="00000000">
            <w:pPr>
              <w:pStyle w:val="Compact"/>
            </w:pPr>
            <w:r>
              <w:rPr>
                <w:b/>
                <w:bCs/>
              </w:rPr>
              <w:t>Limitations</w:t>
            </w:r>
          </w:p>
        </w:tc>
        <w:tc>
          <w:tcPr>
            <w:tcW w:w="0" w:type="auto"/>
          </w:tcPr>
          <w:p w14:paraId="1CC7D371" w14:textId="77777777" w:rsidR="00BB4D84" w:rsidRDefault="00000000">
            <w:pPr>
              <w:pStyle w:val="Compact"/>
            </w:pPr>
            <w:r>
              <w:t>Section 10</w:t>
            </w:r>
          </w:p>
        </w:tc>
        <w:tc>
          <w:tcPr>
            <w:tcW w:w="0" w:type="auto"/>
          </w:tcPr>
          <w:p w14:paraId="390756CA" w14:textId="77777777" w:rsidR="00BB4D84" w:rsidRDefault="00000000">
            <w:pPr>
              <w:pStyle w:val="Compact"/>
            </w:pPr>
            <w:r>
              <w:t>✅</w:t>
            </w:r>
          </w:p>
        </w:tc>
      </w:tr>
      <w:tr w:rsidR="00BB4D84" w14:paraId="52906D6D" w14:textId="77777777">
        <w:tc>
          <w:tcPr>
            <w:tcW w:w="0" w:type="auto"/>
          </w:tcPr>
          <w:p w14:paraId="3B3E2985" w14:textId="77777777" w:rsidR="00BB4D84" w:rsidRDefault="00000000">
            <w:pPr>
              <w:pStyle w:val="Compact"/>
            </w:pPr>
            <w:r>
              <w:rPr>
                <w:b/>
                <w:bCs/>
              </w:rPr>
              <w:t>Future Work</w:t>
            </w:r>
          </w:p>
        </w:tc>
        <w:tc>
          <w:tcPr>
            <w:tcW w:w="0" w:type="auto"/>
          </w:tcPr>
          <w:p w14:paraId="5ACB9720" w14:textId="77777777" w:rsidR="00BB4D84" w:rsidRDefault="00000000">
            <w:pPr>
              <w:pStyle w:val="Compact"/>
            </w:pPr>
            <w:r>
              <w:t>Section 11</w:t>
            </w:r>
          </w:p>
        </w:tc>
        <w:tc>
          <w:tcPr>
            <w:tcW w:w="0" w:type="auto"/>
          </w:tcPr>
          <w:p w14:paraId="4F718F39" w14:textId="77777777" w:rsidR="00BB4D84" w:rsidRDefault="00000000">
            <w:pPr>
              <w:pStyle w:val="Compact"/>
            </w:pPr>
            <w:r>
              <w:t>✅</w:t>
            </w:r>
          </w:p>
        </w:tc>
      </w:tr>
      <w:tr w:rsidR="00BB4D84" w14:paraId="025AC3BF" w14:textId="77777777">
        <w:tc>
          <w:tcPr>
            <w:tcW w:w="0" w:type="auto"/>
          </w:tcPr>
          <w:p w14:paraId="09C2C1C6" w14:textId="77777777" w:rsidR="00BB4D84" w:rsidRDefault="00000000">
            <w:pPr>
              <w:pStyle w:val="Compact"/>
            </w:pPr>
            <w:r>
              <w:rPr>
                <w:b/>
                <w:bCs/>
              </w:rPr>
              <w:t>Conclusion</w:t>
            </w:r>
          </w:p>
        </w:tc>
        <w:tc>
          <w:tcPr>
            <w:tcW w:w="0" w:type="auto"/>
          </w:tcPr>
          <w:p w14:paraId="0F906DDF" w14:textId="77777777" w:rsidR="00BB4D84" w:rsidRDefault="00000000">
            <w:pPr>
              <w:pStyle w:val="Compact"/>
            </w:pPr>
            <w:r>
              <w:t>Section 12 (ready-to-use)</w:t>
            </w:r>
          </w:p>
        </w:tc>
        <w:tc>
          <w:tcPr>
            <w:tcW w:w="0" w:type="auto"/>
          </w:tcPr>
          <w:p w14:paraId="32D3CC8B" w14:textId="77777777" w:rsidR="00BB4D84" w:rsidRDefault="00000000">
            <w:pPr>
              <w:pStyle w:val="Compact"/>
            </w:pPr>
            <w:r>
              <w:t>✅</w:t>
            </w:r>
          </w:p>
        </w:tc>
      </w:tr>
      <w:tr w:rsidR="00BB4D84" w14:paraId="55C488CF" w14:textId="77777777">
        <w:tc>
          <w:tcPr>
            <w:tcW w:w="0" w:type="auto"/>
          </w:tcPr>
          <w:p w14:paraId="6F14224B" w14:textId="77777777" w:rsidR="00BB4D84" w:rsidRDefault="00000000">
            <w:pPr>
              <w:pStyle w:val="Compact"/>
            </w:pPr>
            <w:r>
              <w:rPr>
                <w:b/>
                <w:bCs/>
              </w:rPr>
              <w:t>References</w:t>
            </w:r>
          </w:p>
        </w:tc>
        <w:tc>
          <w:tcPr>
            <w:tcW w:w="0" w:type="auto"/>
          </w:tcPr>
          <w:p w14:paraId="72748205" w14:textId="77777777" w:rsidR="00BB4D84" w:rsidRDefault="00000000">
            <w:pPr>
              <w:pStyle w:val="Compact"/>
            </w:pPr>
            <w:r>
              <w:t>Section 14</w:t>
            </w:r>
          </w:p>
        </w:tc>
        <w:tc>
          <w:tcPr>
            <w:tcW w:w="0" w:type="auto"/>
          </w:tcPr>
          <w:p w14:paraId="7AACE470" w14:textId="77777777" w:rsidR="00BB4D84" w:rsidRDefault="00000000">
            <w:pPr>
              <w:pStyle w:val="Compact"/>
            </w:pPr>
            <w:r>
              <w:t>✅</w:t>
            </w:r>
          </w:p>
        </w:tc>
      </w:tr>
      <w:tr w:rsidR="00BB4D84" w14:paraId="4262FA27" w14:textId="77777777">
        <w:tc>
          <w:tcPr>
            <w:tcW w:w="0" w:type="auto"/>
          </w:tcPr>
          <w:p w14:paraId="6FC14B3B" w14:textId="77777777" w:rsidR="00BB4D84" w:rsidRDefault="00000000">
            <w:pPr>
              <w:pStyle w:val="Compact"/>
            </w:pPr>
            <w:r>
              <w:rPr>
                <w:b/>
                <w:bCs/>
              </w:rPr>
              <w:t>Figures &amp; Tables</w:t>
            </w:r>
          </w:p>
        </w:tc>
        <w:tc>
          <w:tcPr>
            <w:tcW w:w="0" w:type="auto"/>
          </w:tcPr>
          <w:p w14:paraId="6570150F" w14:textId="77777777" w:rsidR="00BB4D84" w:rsidRDefault="00000000">
            <w:pPr>
              <w:pStyle w:val="Compact"/>
            </w:pPr>
            <w:r>
              <w:t>Section 13</w:t>
            </w:r>
          </w:p>
        </w:tc>
        <w:tc>
          <w:tcPr>
            <w:tcW w:w="0" w:type="auto"/>
          </w:tcPr>
          <w:p w14:paraId="17E4DF9B" w14:textId="77777777" w:rsidR="00BB4D84" w:rsidRDefault="00000000">
            <w:pPr>
              <w:pStyle w:val="Compact"/>
            </w:pPr>
            <w:r>
              <w:t>✅</w:t>
            </w:r>
          </w:p>
        </w:tc>
      </w:tr>
    </w:tbl>
    <w:p w14:paraId="6A237086" w14:textId="77777777" w:rsidR="00BB4D84" w:rsidRDefault="00C359AD">
      <w:r>
        <w:rPr>
          <w:noProof/>
        </w:rPr>
        <w:pict w14:anchorId="7F64D9B6">
          <v:rect id="_x0000_i1025" alt="" style="width:451.3pt;height:.05pt;mso-width-percent:0;mso-height-percent:0;mso-width-percent:0;mso-height-percent:0" o:hralign="center" o:hrstd="t" o:hr="t"/>
        </w:pict>
      </w:r>
    </w:p>
    <w:p w14:paraId="6CA0B405" w14:textId="77777777" w:rsidR="00BB4D84" w:rsidRDefault="00000000">
      <w:pPr>
        <w:pStyle w:val="FirstParagraph"/>
      </w:pPr>
      <w:r>
        <w:rPr>
          <w:i/>
          <w:iCs/>
        </w:rPr>
        <w:lastRenderedPageBreak/>
        <w:t>This document was generated on 17 February 2026 as a comprehensive reference for writing the conference paper. All numbers are exact values from the statistical output.</w:t>
      </w:r>
      <w:bookmarkEnd w:id="0"/>
      <w:bookmarkEnd w:id="64"/>
    </w:p>
    <w:sectPr w:rsidR="00BB4D8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9AA7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CFC0A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F5EFA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8"/>
    <w:multiLevelType w:val="multilevel"/>
    <w:tmpl w:val="BA889FBC"/>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 w16cid:durableId="1931501812">
    <w:abstractNumId w:val="0"/>
  </w:num>
  <w:num w:numId="2" w16cid:durableId="1131634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37236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89637801">
    <w:abstractNumId w:val="1"/>
  </w:num>
  <w:num w:numId="5" w16cid:durableId="832794647">
    <w:abstractNumId w:val="1"/>
  </w:num>
  <w:num w:numId="6" w16cid:durableId="2083865116">
    <w:abstractNumId w:val="1"/>
  </w:num>
  <w:num w:numId="7" w16cid:durableId="962804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518803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52063874">
    <w:abstractNumId w:val="3"/>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B4D84"/>
    <w:rsid w:val="00462EF9"/>
    <w:rsid w:val="00BB4D84"/>
    <w:rsid w:val="00C359AD"/>
    <w:rsid w:val="00EA0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94B21"/>
  <w15:docId w15:val="{5EADED8D-7E5C-1047-9F73-D686F7D71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462EF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19</Pages>
  <Words>4638</Words>
  <Characters>28249</Characters>
  <Application>Microsoft Office Word</Application>
  <DocSecurity>0</DocSecurity>
  <Lines>1129</Lines>
  <Paragraphs>783</Paragraphs>
  <ScaleCrop>false</ScaleCrop>
  <Company/>
  <LinksUpToDate>false</LinksUpToDate>
  <CharactersWithSpaces>32104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YASH CHAUHAN (RA2311026010170)</cp:lastModifiedBy>
  <cp:revision>2</cp:revision>
  <dcterms:created xsi:type="dcterms:W3CDTF">2026-02-17T14:36:00Z</dcterms:created>
  <dcterms:modified xsi:type="dcterms:W3CDTF">2026-02-17T14:37:00Z</dcterms:modified>
</cp:coreProperties>
</file>