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805"/>
        </w:tabs>
        <w:spacing w:line="240" w:lineRule="auto"/>
        <w:jc w:val="both"/>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100 Bucks Challenge</w:t>
      </w:r>
    </w:p>
    <w:p w:rsidR="00000000" w:rsidDel="00000000" w:rsidP="00000000" w:rsidRDefault="00000000" w:rsidRPr="00000000" w14:paraId="00000002">
      <w:pPr>
        <w:tabs>
          <w:tab w:val="left" w:pos="5805"/>
        </w:tabs>
        <w:spacing w:line="240" w:lineRule="auto"/>
        <w:jc w:val="both"/>
        <w:rPr>
          <w:rFonts w:ascii="Calibri" w:cs="Calibri" w:eastAsia="Calibri" w:hAnsi="Calibri"/>
        </w:rPr>
      </w:pPr>
      <w:r w:rsidDel="00000000" w:rsidR="00000000" w:rsidRPr="00000000">
        <w:rPr>
          <w:rFonts w:ascii="Calibri" w:cs="Calibri" w:eastAsia="Calibri" w:hAnsi="Calibri"/>
          <w:highlight w:val="white"/>
          <w:rtl w:val="0"/>
        </w:rPr>
        <w:t xml:space="preserve">A very well known entrepreneurship game known as 100 bucks challenge was organized in Induction week of School of Liberal Studies (SLS) in which each team was given Rs. 200. Using the seed money the teams had to earn more by doing business on the campus. The objective was to make students know about PDPU IIC and approach us if they have any potential business idea.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