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Smart Gujarat for New India Hackathon</w:t>
      </w:r>
    </w:p>
    <w:p w:rsidR="00000000" w:rsidDel="00000000" w:rsidP="00000000" w:rsidRDefault="00000000" w:rsidRPr="00000000" w14:paraId="00000002">
      <w:pPr>
        <w:spacing w:after="200" w:line="240" w:lineRule="auto"/>
        <w:jc w:val="both"/>
        <w:rPr>
          <w:rFonts w:ascii="Calibri" w:cs="Calibri" w:eastAsia="Calibri" w:hAnsi="Calibri"/>
        </w:rPr>
      </w:pPr>
      <w:r w:rsidDel="00000000" w:rsidR="00000000" w:rsidRPr="00000000">
        <w:rPr>
          <w:rFonts w:ascii="Calibri" w:cs="Calibri" w:eastAsia="Calibri" w:hAnsi="Calibri"/>
          <w:rtl w:val="0"/>
        </w:rPr>
        <w:t xml:space="preserve">The Government of Gujarat with support of Central Government has been proactively promoting creativity amongst the younger generation. Smart Gujarat for New India Hackathon – an initiative by Education Department, Government of Gujarat to foster entrepreneurship and innovation amongst students and today’s youth. The initiative of Smart Gujarat for New India Hackthon is taken under Student Startup and and Innovation Policy (SSIP). PDPU IIC organized the Hackathon on 24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-25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March 2018 at PDPU campus and saw a participation of over 1300. </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