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6163D7">
        <w:t>2017</w:t>
      </w:r>
      <w:r w:rsidRPr="006C2C0F">
        <w:t>,</w:t>
      </w:r>
      <w:r w:rsidR="00A818B3" w:rsidRPr="006C2C0F">
        <w:t xml:space="preserve"> </w:t>
      </w:r>
      <w:r w:rsidR="006163D7">
        <w:t>12</w:t>
      </w:r>
      <w:r w:rsidRPr="006C2C0F">
        <w:t>–</w:t>
      </w:r>
      <w:r w:rsidR="006163D7">
        <w:t>12</w:t>
      </w:r>
    </w:p>
    <w:p w:rsidR="006C2C0F" w:rsidRPr="006C2C0F" w:rsidRDefault="005E41BA" w:rsidP="006163D7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CA4C20" w:rsidRDefault="00CA4C20" w:rsidP="00435193">
            <w:pPr>
              <w:pStyle w:val="Subtitle"/>
              <w:rPr>
                <w:lang w:val="en-IN"/>
              </w:rPr>
            </w:pPr>
            <w:r w:rsidRPr="00CA4C20">
              <w:t>CSE 549.01 Computational Biology</w:t>
            </w:r>
          </w:p>
          <w:p w:rsidR="00CC64E3" w:rsidRPr="00F362A7" w:rsidRDefault="006163D7" w:rsidP="00435193">
            <w:pPr>
              <w:pStyle w:val="Title"/>
            </w:pPr>
            <w:r w:rsidRPr="006163D7">
              <w:t>Adding Salmon-based Modules to MultiQC</w:t>
            </w:r>
          </w:p>
          <w:p w:rsidR="00CC64E3" w:rsidRPr="00F362A7" w:rsidRDefault="006163D7" w:rsidP="00513FFC">
            <w:pPr>
              <w:pStyle w:val="Author-Group"/>
            </w:pPr>
            <w:r w:rsidRPr="006163D7">
              <w:t>Yash Shah</w:t>
            </w:r>
            <w:r w:rsidRPr="00F362A7">
              <w:rPr>
                <w:vertAlign w:val="superscript"/>
              </w:rPr>
              <w:t>1</w:t>
            </w:r>
            <w:r w:rsidRPr="006163D7">
              <w:t>, Sharad Gupta</w:t>
            </w:r>
            <w:r w:rsidRPr="00F362A7">
              <w:rPr>
                <w:vertAlign w:val="superscript"/>
              </w:rPr>
              <w:t>1</w:t>
            </w:r>
            <w:r w:rsidRPr="006163D7">
              <w:t>, Siddhartha Chhabra</w:t>
            </w:r>
            <w:r w:rsidRPr="00F362A7">
              <w:rPr>
                <w:vertAlign w:val="superscript"/>
              </w:rPr>
              <w:t>1</w:t>
            </w:r>
            <w:r w:rsidRPr="006163D7">
              <w:t>, Dinesh Balani</w:t>
            </w:r>
            <w:r w:rsidR="00CC64E3" w:rsidRPr="00F362A7">
              <w:rPr>
                <w:vertAlign w:val="superscript"/>
              </w:rPr>
              <w:t>1</w:t>
            </w:r>
          </w:p>
          <w:p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6163D7" w:rsidRPr="006163D7">
              <w:rPr>
                <w:lang w:val="en-IN"/>
              </w:rPr>
              <w:t>Computer Science, Stony Brook University, Stony Brook, 11794, United States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Default="00CC64E3" w:rsidP="002F4CA8">
            <w:pPr>
              <w:pStyle w:val="History-Dates"/>
            </w:pPr>
            <w:r w:rsidRPr="003B3D09">
              <w:t xml:space="preserve">Received on </w:t>
            </w:r>
            <w:r w:rsidR="006163D7">
              <w:t>2017/12/12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</w:t>
            </w:r>
            <w:r w:rsidR="006163D7">
              <w:t>2017/12/12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CC64E3" w:rsidRPr="00DA7E18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="006163D7">
              <w:t xml:space="preserve"> </w:t>
            </w:r>
            <w:r w:rsidR="00F60312">
              <w:t>The motivation for this project is to provide support</w:t>
            </w:r>
            <w:r w:rsidR="006163D7" w:rsidRPr="006163D7">
              <w:rPr>
                <w:lang w:val="en-IN"/>
              </w:rPr>
              <w:t xml:space="preserve"> for Salmon module</w:t>
            </w:r>
            <w:r w:rsidR="00F60312">
              <w:rPr>
                <w:lang w:val="en-IN"/>
              </w:rPr>
              <w:t>s</w:t>
            </w:r>
            <w:r w:rsidR="006163D7" w:rsidRPr="006163D7">
              <w:rPr>
                <w:lang w:val="en-IN"/>
              </w:rPr>
              <w:t xml:space="preserve"> on MultiQC tool</w:t>
            </w:r>
            <w:r w:rsidR="003A4127">
              <w:t>.</w:t>
            </w:r>
          </w:p>
          <w:p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F60312">
              <w:t xml:space="preserve">Plotting line graphs for </w:t>
            </w:r>
            <w:r w:rsidR="00F60312" w:rsidRPr="00F60312">
              <w:rPr>
                <w:lang w:val="en-IN"/>
              </w:rPr>
              <w:t>GC bias</w:t>
            </w:r>
            <w:r w:rsidR="00F60312">
              <w:rPr>
                <w:lang w:val="en-IN"/>
              </w:rPr>
              <w:t xml:space="preserve"> and </w:t>
            </w:r>
            <w:r w:rsidR="00F60312" w:rsidRPr="00F60312">
              <w:rPr>
                <w:lang w:val="en-IN"/>
              </w:rPr>
              <w:t>Sequence bias</w:t>
            </w:r>
            <w:r w:rsidR="00F60312">
              <w:rPr>
                <w:lang w:val="en-IN"/>
              </w:rPr>
              <w:t>,</w:t>
            </w:r>
            <w:r w:rsidR="00F60312" w:rsidRPr="00F60312">
              <w:rPr>
                <w:lang w:val="en-IN"/>
              </w:rPr>
              <w:t xml:space="preserve"> Heatmap</w:t>
            </w:r>
            <w:r w:rsidR="00F60312">
              <w:rPr>
                <w:lang w:val="en-IN"/>
              </w:rPr>
              <w:t xml:space="preserve"> to </w:t>
            </w:r>
            <w:r w:rsidR="00F60312" w:rsidRPr="00F60312">
              <w:t xml:space="preserve">show correlation </w:t>
            </w:r>
            <w:r w:rsidR="00F60312">
              <w:t xml:space="preserve">between these </w:t>
            </w:r>
            <w:r w:rsidR="00F60312" w:rsidRPr="00F60312">
              <w:t>biases</w:t>
            </w:r>
            <w:r w:rsidR="00F60312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proofErr w:type="spellStart"/>
            <w:r w:rsidR="00F60312">
              <w:t>Github</w:t>
            </w:r>
            <w:proofErr w:type="spellEnd"/>
            <w:r w:rsidR="00F60312">
              <w:t xml:space="preserve"> URL: </w:t>
            </w:r>
            <w:r w:rsidR="002F4CC3" w:rsidRPr="002F4CC3">
              <w:t>https://github.com/yash199/MultiQC-Salmon</w:t>
            </w:r>
          </w:p>
          <w:p w:rsidR="003A4127" w:rsidRDefault="003A4127" w:rsidP="00F60312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F60312" w:rsidRPr="00F60312">
              <w:rPr>
                <w:rFonts w:ascii="AdvPS2AA1" w:hAnsi="AdvPS2AA1" w:cs="AdvPS2AA1"/>
                <w:lang w:eastAsia="en-IN"/>
              </w:rPr>
              <w:t>ysshah@cs.stonybrook.edu</w:t>
            </w:r>
          </w:p>
        </w:tc>
      </w:tr>
    </w:tbl>
    <w:p w:rsidR="002C783E" w:rsidRDefault="002C783E">
      <w:pPr>
        <w:pStyle w:val="AbstractHead"/>
        <w:spacing w:line="14" w:lineRule="exact"/>
      </w:pPr>
    </w:p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8"/>
          <w:headerReference w:type="default" r:id="rId9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952599" w:rsidP="001A0125">
      <w:pPr>
        <w:pStyle w:val="Heading1"/>
      </w:pPr>
      <w:r w:rsidRPr="00F4766C">
        <w:t xml:space="preserve">Introduction </w:t>
      </w:r>
    </w:p>
    <w:p w:rsidR="00A2482D" w:rsidRDefault="000C3BEA" w:rsidP="00A2482D">
      <w:pPr>
        <w:pStyle w:val="para-first"/>
        <w:rPr>
          <w:lang w:val="en-IN"/>
        </w:rPr>
      </w:pPr>
      <w:r w:rsidRPr="000C3BEA">
        <w:t>MultiQC searches a directory for analysis logs and compiles a HTML report. It's a general use tool, perfect for summarizing the output from numerous bioinformatics tools</w:t>
      </w:r>
      <w:r>
        <w:t xml:space="preserve">. It </w:t>
      </w:r>
      <w:r w:rsidRPr="000C3BEA">
        <w:t>Aggregate results from bioinformatics analyses across many samples into a single report</w:t>
      </w:r>
      <w:r>
        <w:t>.</w:t>
      </w:r>
      <w:r>
        <w:rPr>
          <w:lang w:val="en-IN"/>
        </w:rPr>
        <w:t xml:space="preserve"> </w:t>
      </w:r>
      <w:r w:rsidRPr="000C3BEA">
        <w:rPr>
          <w:lang w:val="en-IN"/>
        </w:rPr>
        <w:t xml:space="preserve">The </w:t>
      </w:r>
      <w:r>
        <w:rPr>
          <w:lang w:val="en-IN"/>
        </w:rPr>
        <w:t xml:space="preserve">objective of this project </w:t>
      </w:r>
      <w:r w:rsidRPr="000C3BEA">
        <w:rPr>
          <w:lang w:val="en-IN"/>
        </w:rPr>
        <w:t xml:space="preserve">is to integrate Salmon, </w:t>
      </w:r>
      <w:r w:rsidRPr="000C3BEA">
        <w:t>a tool for </w:t>
      </w:r>
      <w:r w:rsidRPr="000C3BEA">
        <w:rPr>
          <w:bCs/>
        </w:rPr>
        <w:t>wicked-fast</w:t>
      </w:r>
      <w:r w:rsidRPr="000C3BEA">
        <w:t> transcript quantification from RNA-seq</w:t>
      </w:r>
      <w:r>
        <w:t>uence</w:t>
      </w:r>
      <w:r w:rsidRPr="000C3BEA">
        <w:t xml:space="preserve"> data</w:t>
      </w:r>
      <w:r w:rsidR="00A2482D">
        <w:t xml:space="preserve"> which</w:t>
      </w:r>
      <w:r w:rsidRPr="000C3BEA">
        <w:rPr>
          <w:lang w:val="en-IN"/>
        </w:rPr>
        <w:t xml:space="preserve"> enable</w:t>
      </w:r>
      <w:r w:rsidR="00A2482D">
        <w:rPr>
          <w:lang w:val="en-IN"/>
        </w:rPr>
        <w:t>s</w:t>
      </w:r>
      <w:r w:rsidRPr="000C3BEA">
        <w:rPr>
          <w:lang w:val="en-IN"/>
        </w:rPr>
        <w:t xml:space="preserve"> us to better</w:t>
      </w:r>
      <w:r>
        <w:rPr>
          <w:lang w:val="en-IN"/>
        </w:rPr>
        <w:t xml:space="preserve"> </w:t>
      </w:r>
      <w:r w:rsidRPr="000C3BEA">
        <w:rPr>
          <w:lang w:val="en-IN"/>
        </w:rPr>
        <w:t>quantify and visualize the Salmon outputs</w:t>
      </w:r>
      <w:r w:rsidR="00A2482D">
        <w:rPr>
          <w:lang w:val="en-IN"/>
        </w:rPr>
        <w:t>.</w:t>
      </w:r>
      <w:r w:rsidR="00CF3701">
        <w:rPr>
          <w:lang w:val="en-IN"/>
        </w:rPr>
        <w:t xml:space="preserve"> </w:t>
      </w:r>
      <w:r w:rsidR="00A2482D">
        <w:rPr>
          <w:lang w:val="en-IN"/>
        </w:rPr>
        <w:t>In this project, we have developed the following modules.</w:t>
      </w:r>
    </w:p>
    <w:p w:rsidR="00A2482D" w:rsidRPr="00A2482D" w:rsidRDefault="00A2482D" w:rsidP="00A2482D">
      <w:pPr>
        <w:pStyle w:val="para-first"/>
        <w:numPr>
          <w:ilvl w:val="0"/>
          <w:numId w:val="15"/>
        </w:numPr>
        <w:rPr>
          <w:lang w:val="en-IN"/>
        </w:rPr>
      </w:pPr>
      <w:r>
        <w:t>R</w:t>
      </w:r>
      <w:r w:rsidRPr="00A2482D">
        <w:t>epresentation of the GC-bias model</w:t>
      </w:r>
    </w:p>
    <w:p w:rsidR="00A2482D" w:rsidRPr="00A2482D" w:rsidRDefault="00A2482D" w:rsidP="00A2482D">
      <w:pPr>
        <w:pStyle w:val="para-first"/>
        <w:numPr>
          <w:ilvl w:val="0"/>
          <w:numId w:val="15"/>
        </w:numPr>
        <w:rPr>
          <w:lang w:val="en-IN"/>
        </w:rPr>
      </w:pPr>
      <w:r>
        <w:t>R</w:t>
      </w:r>
      <w:r w:rsidRPr="00A2482D">
        <w:t xml:space="preserve">epresentation of the </w:t>
      </w:r>
      <w:r>
        <w:t>Sequencing-</w:t>
      </w:r>
      <w:r w:rsidRPr="00A2482D">
        <w:t>bias model</w:t>
      </w:r>
      <w:r w:rsidR="00DE1147">
        <w:t xml:space="preserve"> (</w:t>
      </w:r>
      <w:r w:rsidR="00DE1147" w:rsidRPr="00DE1147">
        <w:rPr>
          <w:lang w:val="en-IN"/>
        </w:rPr>
        <w:t>3’ and 5’</w:t>
      </w:r>
      <w:r w:rsidR="00DE1147">
        <w:rPr>
          <w:lang w:val="en-IN"/>
        </w:rPr>
        <w:t>)</w:t>
      </w:r>
    </w:p>
    <w:p w:rsidR="00CF3701" w:rsidRDefault="00CF3701" w:rsidP="00CF3701">
      <w:pPr>
        <w:pStyle w:val="para-first"/>
        <w:numPr>
          <w:ilvl w:val="0"/>
          <w:numId w:val="15"/>
        </w:numPr>
        <w:rPr>
          <w:lang w:val="en-IN"/>
        </w:rPr>
      </w:pPr>
      <w:r>
        <w:rPr>
          <w:lang w:val="en-IN"/>
        </w:rPr>
        <w:t>Heatmap denoting correlation between average GC-bias and Sequencing-bias.</w:t>
      </w:r>
    </w:p>
    <w:p w:rsidR="00CF3701" w:rsidRPr="00CF3701" w:rsidRDefault="00CF3701" w:rsidP="00CF3701">
      <w:pPr>
        <w:pStyle w:val="para-first"/>
        <w:rPr>
          <w:lang w:val="en-IN"/>
        </w:rPr>
      </w:pPr>
      <w:r>
        <w:rPr>
          <w:lang w:val="en-IN"/>
        </w:rPr>
        <w:t xml:space="preserve">These representations help us </w:t>
      </w:r>
      <w:r w:rsidRPr="000C3BEA">
        <w:rPr>
          <w:lang w:val="en-IN"/>
        </w:rPr>
        <w:t>in</w:t>
      </w:r>
      <w:r>
        <w:rPr>
          <w:lang w:val="en-IN"/>
        </w:rPr>
        <w:t xml:space="preserve"> </w:t>
      </w:r>
      <w:r w:rsidRPr="000C3BEA">
        <w:rPr>
          <w:lang w:val="en-IN"/>
        </w:rPr>
        <w:t xml:space="preserve">assessing the analysis results across </w:t>
      </w:r>
      <w:r>
        <w:rPr>
          <w:lang w:val="en-IN"/>
        </w:rPr>
        <w:t>all</w:t>
      </w:r>
      <w:r w:rsidRPr="000C3BEA">
        <w:rPr>
          <w:lang w:val="en-IN"/>
        </w:rPr>
        <w:t xml:space="preserve"> sample</w:t>
      </w:r>
      <w:r>
        <w:rPr>
          <w:lang w:val="en-IN"/>
        </w:rPr>
        <w:t>s</w:t>
      </w:r>
      <w:r w:rsidRPr="000C3BEA">
        <w:rPr>
          <w:lang w:val="en-IN"/>
        </w:rPr>
        <w:t>.</w:t>
      </w:r>
    </w:p>
    <w:p w:rsidR="00D83B8A" w:rsidRDefault="004E13A5" w:rsidP="001A0125">
      <w:pPr>
        <w:pStyle w:val="Heading1"/>
      </w:pPr>
      <w:r w:rsidRPr="001A0125">
        <w:t>Methods</w:t>
      </w:r>
    </w:p>
    <w:p w:rsidR="00CA17B7" w:rsidRDefault="00CA17B7" w:rsidP="00CA17B7">
      <w:pPr>
        <w:autoSpaceDE w:val="0"/>
        <w:autoSpaceDN w:val="0"/>
        <w:adjustRightInd w:val="0"/>
        <w:spacing w:line="240" w:lineRule="auto"/>
        <w:rPr>
          <w:rFonts w:ascii="NimbusSanL-Regu" w:hAnsi="NimbusSanL-Regu" w:cs="NimbusSanL-Regu"/>
          <w:sz w:val="18"/>
          <w:szCs w:val="18"/>
          <w:lang w:val="en-IN" w:eastAsia="en-IN"/>
        </w:rPr>
      </w:pPr>
    </w:p>
    <w:p w:rsidR="00CA17B7" w:rsidRPr="00CA17B7" w:rsidRDefault="00CA17B7" w:rsidP="00CA17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8"/>
          <w:szCs w:val="18"/>
          <w:lang w:val="en-IN" w:eastAsia="en-IN"/>
        </w:rPr>
      </w:pPr>
      <w:r w:rsidRPr="00CA17B7">
        <w:rPr>
          <w:rFonts w:ascii="Times New Roman" w:hAnsi="Times New Roman"/>
          <w:sz w:val="18"/>
          <w:szCs w:val="18"/>
          <w:lang w:val="en-IN" w:eastAsia="en-IN"/>
        </w:rPr>
        <w:t>2.1 GC Bias</w:t>
      </w:r>
    </w:p>
    <w:p w:rsidR="00CA17B7" w:rsidRPr="00CA17B7" w:rsidRDefault="00CA17B7" w:rsidP="00CA17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8"/>
          <w:szCs w:val="18"/>
          <w:lang w:val="en-IN" w:eastAsia="en-IN"/>
        </w:rPr>
      </w:pPr>
    </w:p>
    <w:p w:rsidR="00CA17B7" w:rsidRDefault="00CA17B7" w:rsidP="00CA17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eastAsia="en-IN"/>
        </w:rPr>
      </w:pPr>
      <w:r w:rsidRPr="00CA17B7">
        <w:rPr>
          <w:rFonts w:ascii="Times New Roman" w:hAnsi="Times New Roman"/>
          <w:sz w:val="16"/>
          <w:szCs w:val="16"/>
          <w:lang w:eastAsia="en-IN"/>
        </w:rPr>
        <w:t xml:space="preserve">In this method, we aim to represent information about GC bias (the percentage of G and C nucleotides) in the fragments, compared to expected values. The module parses the logs and checks if sample </w:t>
      </w:r>
      <w:proofErr w:type="gramStart"/>
      <w:r w:rsidRPr="00CA17B7">
        <w:rPr>
          <w:rFonts w:ascii="Times New Roman" w:hAnsi="Times New Roman"/>
          <w:sz w:val="16"/>
          <w:szCs w:val="16"/>
          <w:lang w:eastAsia="en-IN"/>
        </w:rPr>
        <w:t>has  ‘</w:t>
      </w:r>
      <w:proofErr w:type="spellStart"/>
      <w:proofErr w:type="gramEnd"/>
      <w:r w:rsidRPr="00CA17B7">
        <w:rPr>
          <w:rFonts w:ascii="Times New Roman" w:hAnsi="Times New Roman"/>
          <w:sz w:val="16"/>
          <w:szCs w:val="16"/>
          <w:lang w:eastAsia="en-IN"/>
        </w:rPr>
        <w:t>gc_bias_correct</w:t>
      </w:r>
      <w:proofErr w:type="spellEnd"/>
      <w:r w:rsidRPr="00CA17B7">
        <w:rPr>
          <w:rFonts w:ascii="Times New Roman" w:hAnsi="Times New Roman"/>
          <w:sz w:val="16"/>
          <w:szCs w:val="16"/>
          <w:lang w:eastAsia="en-IN"/>
        </w:rPr>
        <w:t xml:space="preserve">’  flag set true in </w:t>
      </w:r>
      <w:proofErr w:type="spellStart"/>
      <w:r w:rsidRPr="00CA17B7">
        <w:rPr>
          <w:rFonts w:ascii="Times New Roman" w:hAnsi="Times New Roman"/>
          <w:sz w:val="16"/>
          <w:szCs w:val="16"/>
          <w:lang w:eastAsia="en-IN"/>
        </w:rPr>
        <w:t>meta_info.json</w:t>
      </w:r>
      <w:proofErr w:type="spellEnd"/>
      <w:r w:rsidRPr="00CA17B7">
        <w:rPr>
          <w:rFonts w:ascii="Times New Roman" w:hAnsi="Times New Roman"/>
          <w:sz w:val="16"/>
          <w:szCs w:val="16"/>
          <w:lang w:eastAsia="en-IN"/>
        </w:rPr>
        <w:t xml:space="preserve"> file and plots the corresponding graph in MultiQC report.</w:t>
      </w:r>
    </w:p>
    <w:p w:rsidR="00CA17B7" w:rsidRPr="00CA17B7" w:rsidRDefault="00CA17B7" w:rsidP="00CA17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</w:p>
    <w:p w:rsidR="00B80D35" w:rsidRPr="00B80D35" w:rsidRDefault="00B80D35" w:rsidP="00B80D35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  <w:r w:rsidRPr="00B80D35">
        <w:rPr>
          <w:rFonts w:ascii="Times New Roman" w:hAnsi="Times New Roman"/>
          <w:sz w:val="16"/>
          <w:szCs w:val="16"/>
          <w:lang w:val="en-IN" w:eastAsia="en-IN"/>
        </w:rPr>
        <w:t>Get the sample path from command line argument.</w:t>
      </w:r>
    </w:p>
    <w:p w:rsidR="00B80D35" w:rsidRPr="00B80D35" w:rsidRDefault="00B80D35" w:rsidP="00B80D35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  <w:r w:rsidRPr="00B80D35">
        <w:rPr>
          <w:rFonts w:ascii="Times New Roman" w:hAnsi="Times New Roman"/>
          <w:sz w:val="16"/>
          <w:szCs w:val="16"/>
          <w:lang w:val="en-IN" w:eastAsia="en-IN"/>
        </w:rPr>
        <w:t>For each subdirectory in the path location, program will navigate through “/bias/</w:t>
      </w:r>
      <w:proofErr w:type="spellStart"/>
      <w:r w:rsidRPr="00B80D35">
        <w:rPr>
          <w:rFonts w:ascii="Times New Roman" w:hAnsi="Times New Roman"/>
          <w:sz w:val="16"/>
          <w:szCs w:val="16"/>
          <w:lang w:val="en-IN" w:eastAsia="en-IN"/>
        </w:rPr>
        <w:t>aux_info</w:t>
      </w:r>
      <w:proofErr w:type="spellEnd"/>
      <w:r w:rsidRPr="00B80D35">
        <w:rPr>
          <w:rFonts w:ascii="Times New Roman" w:hAnsi="Times New Roman"/>
          <w:sz w:val="16"/>
          <w:szCs w:val="16"/>
          <w:lang w:val="en-IN" w:eastAsia="en-IN"/>
        </w:rPr>
        <w:t>/” and read “</w:t>
      </w:r>
      <w:proofErr w:type="spellStart"/>
      <w:r w:rsidRPr="00B80D35">
        <w:rPr>
          <w:rFonts w:ascii="Times New Roman" w:hAnsi="Times New Roman"/>
          <w:sz w:val="16"/>
          <w:szCs w:val="16"/>
          <w:lang w:val="en-IN" w:eastAsia="en-IN"/>
        </w:rPr>
        <w:t>gc_bias_correct</w:t>
      </w:r>
      <w:proofErr w:type="spellEnd"/>
      <w:r w:rsidRPr="00B80D35">
        <w:rPr>
          <w:rFonts w:ascii="Times New Roman" w:hAnsi="Times New Roman"/>
          <w:sz w:val="16"/>
          <w:szCs w:val="16"/>
          <w:lang w:val="en-IN" w:eastAsia="en-IN"/>
        </w:rPr>
        <w:t>” property in “</w:t>
      </w:r>
      <w:proofErr w:type="spellStart"/>
      <w:r w:rsidRPr="00B80D35">
        <w:rPr>
          <w:rFonts w:ascii="Times New Roman" w:hAnsi="Times New Roman"/>
          <w:sz w:val="16"/>
          <w:szCs w:val="16"/>
          <w:lang w:val="en-IN" w:eastAsia="en-IN"/>
        </w:rPr>
        <w:t>meta_</w:t>
      </w:r>
      <w:proofErr w:type="gramStart"/>
      <w:r w:rsidRPr="00B80D35">
        <w:rPr>
          <w:rFonts w:ascii="Times New Roman" w:hAnsi="Times New Roman"/>
          <w:sz w:val="16"/>
          <w:szCs w:val="16"/>
          <w:lang w:val="en-IN" w:eastAsia="en-IN"/>
        </w:rPr>
        <w:t>info.json</w:t>
      </w:r>
      <w:proofErr w:type="spellEnd"/>
      <w:proofErr w:type="gramEnd"/>
      <w:r w:rsidRPr="00B80D35">
        <w:rPr>
          <w:rFonts w:ascii="Times New Roman" w:hAnsi="Times New Roman"/>
          <w:sz w:val="16"/>
          <w:szCs w:val="16"/>
          <w:lang w:val="en-IN" w:eastAsia="en-IN"/>
        </w:rPr>
        <w:t>” file</w:t>
      </w:r>
    </w:p>
    <w:p w:rsidR="00B80D35" w:rsidRPr="00B80D35" w:rsidRDefault="00B80D35" w:rsidP="00B80D35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  <w:r w:rsidRPr="00B80D35">
        <w:rPr>
          <w:rFonts w:ascii="Times New Roman" w:hAnsi="Times New Roman"/>
          <w:sz w:val="16"/>
          <w:szCs w:val="16"/>
          <w:lang w:val="en-IN" w:eastAsia="en-IN"/>
        </w:rPr>
        <w:t xml:space="preserve">If this flag is set to true, program </w:t>
      </w:r>
      <w:proofErr w:type="gramStart"/>
      <w:r w:rsidRPr="00B80D35">
        <w:rPr>
          <w:rFonts w:ascii="Times New Roman" w:hAnsi="Times New Roman"/>
          <w:sz w:val="16"/>
          <w:szCs w:val="16"/>
          <w:lang w:val="en-IN" w:eastAsia="en-IN"/>
        </w:rPr>
        <w:t>parses  ‘</w:t>
      </w:r>
      <w:proofErr w:type="gramEnd"/>
      <w:r w:rsidRPr="00B80D35">
        <w:rPr>
          <w:rFonts w:ascii="Times New Roman" w:hAnsi="Times New Roman"/>
          <w:sz w:val="16"/>
          <w:szCs w:val="16"/>
          <w:lang w:val="en-IN" w:eastAsia="en-IN"/>
        </w:rPr>
        <w:t xml:space="preserve">observed_bias.gz’  and ‘expected_bias.gz’  using parser helper function provided in GCModel.py to get observed and expected </w:t>
      </w:r>
      <w:proofErr w:type="spellStart"/>
      <w:r w:rsidRPr="00B80D35">
        <w:rPr>
          <w:rFonts w:ascii="Times New Roman" w:hAnsi="Times New Roman"/>
          <w:sz w:val="16"/>
          <w:szCs w:val="16"/>
          <w:lang w:val="en-IN" w:eastAsia="en-IN"/>
        </w:rPr>
        <w:t>gc</w:t>
      </w:r>
      <w:proofErr w:type="spellEnd"/>
      <w:r w:rsidRPr="00B80D35">
        <w:rPr>
          <w:rFonts w:ascii="Times New Roman" w:hAnsi="Times New Roman"/>
          <w:sz w:val="16"/>
          <w:szCs w:val="16"/>
          <w:lang w:val="en-IN" w:eastAsia="en-IN"/>
        </w:rPr>
        <w:t>-bias values and corresponding weights.</w:t>
      </w:r>
    </w:p>
    <w:p w:rsidR="00B80D35" w:rsidRDefault="00B80D35" w:rsidP="00B80D3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</w:p>
    <w:p w:rsidR="00B80D35" w:rsidRPr="00B80D35" w:rsidRDefault="00B80D35" w:rsidP="0027462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  <w:r w:rsidRPr="00B80D35">
        <w:rPr>
          <w:rFonts w:ascii="Times New Roman" w:hAnsi="Times New Roman"/>
          <w:sz w:val="16"/>
          <w:szCs w:val="16"/>
          <w:lang w:val="en-IN" w:eastAsia="en-IN"/>
        </w:rPr>
        <w:t>We now calculate weighted sum of 3 observed weights and weighted sum of 3 expected weights for each of low, medium and high bias type.</w:t>
      </w:r>
    </w:p>
    <w:p w:rsidR="00B80D35" w:rsidRDefault="00B80D35" w:rsidP="0027462E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  <w:r w:rsidRPr="00B80D35">
        <w:rPr>
          <w:rFonts w:ascii="Times New Roman" w:hAnsi="Times New Roman"/>
          <w:sz w:val="16"/>
          <w:szCs w:val="16"/>
          <w:lang w:val="en-IN" w:eastAsia="en-IN"/>
        </w:rPr>
        <w:t xml:space="preserve">We have taken ratio of the corresponding </w:t>
      </w:r>
      <w:r>
        <w:rPr>
          <w:rFonts w:ascii="Times New Roman" w:hAnsi="Times New Roman"/>
          <w:sz w:val="16"/>
          <w:szCs w:val="16"/>
          <w:lang w:val="en-IN" w:eastAsia="en-IN"/>
        </w:rPr>
        <w:t xml:space="preserve">weighted </w:t>
      </w:r>
      <w:r w:rsidRPr="00B80D35">
        <w:rPr>
          <w:rFonts w:ascii="Times New Roman" w:hAnsi="Times New Roman"/>
          <w:sz w:val="16"/>
          <w:szCs w:val="16"/>
          <w:lang w:val="en-IN" w:eastAsia="en-IN"/>
        </w:rPr>
        <w:t xml:space="preserve">values </w:t>
      </w:r>
      <w:r>
        <w:rPr>
          <w:rFonts w:ascii="Times New Roman" w:hAnsi="Times New Roman"/>
          <w:sz w:val="16"/>
          <w:szCs w:val="16"/>
          <w:lang w:val="en-IN" w:eastAsia="en-IN"/>
        </w:rPr>
        <w:t>for each sample.</w:t>
      </w:r>
    </w:p>
    <w:p w:rsidR="00B80D35" w:rsidRPr="00E716F8" w:rsidRDefault="00E716F8" w:rsidP="00CA6BF3">
      <w:pPr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Times New Roman" w:hAnsi="Times New Roman"/>
          <w:sz w:val="16"/>
          <w:szCs w:val="16"/>
          <w:lang w:val="en-IN" w:eastAsia="en-IN"/>
        </w:rPr>
      </w:pPr>
      <w:r w:rsidRPr="00E716F8">
        <w:rPr>
          <w:rFonts w:ascii="Times New Roman" w:hAnsi="Times New Roman"/>
          <w:sz w:val="16"/>
          <w:szCs w:val="16"/>
          <w:lang w:val="en-IN" w:eastAsia="en-IN"/>
        </w:rPr>
        <w:t xml:space="preserve">We have taken the average of all </w:t>
      </w:r>
      <w:proofErr w:type="gramStart"/>
      <w:r w:rsidRPr="00E716F8">
        <w:rPr>
          <w:rFonts w:ascii="Times New Roman" w:hAnsi="Times New Roman"/>
          <w:sz w:val="16"/>
          <w:szCs w:val="16"/>
          <w:lang w:val="en-IN" w:eastAsia="en-IN"/>
        </w:rPr>
        <w:t>3 bias</w:t>
      </w:r>
      <w:proofErr w:type="gramEnd"/>
      <w:r w:rsidRPr="00E716F8">
        <w:rPr>
          <w:rFonts w:ascii="Times New Roman" w:hAnsi="Times New Roman"/>
          <w:sz w:val="16"/>
          <w:szCs w:val="16"/>
          <w:lang w:val="en-IN" w:eastAsia="en-IN"/>
        </w:rPr>
        <w:t xml:space="preserve"> type of a sample</w:t>
      </w:r>
      <w:r>
        <w:rPr>
          <w:rFonts w:ascii="Times New Roman" w:hAnsi="Times New Roman"/>
          <w:sz w:val="16"/>
          <w:szCs w:val="16"/>
          <w:lang w:val="en-IN" w:eastAsia="en-IN"/>
        </w:rPr>
        <w:t xml:space="preserve">. </w:t>
      </w:r>
      <w:r w:rsidR="00B80D35" w:rsidRPr="00E716F8">
        <w:rPr>
          <w:rFonts w:ascii="Times New Roman" w:hAnsi="Times New Roman"/>
          <w:sz w:val="16"/>
          <w:szCs w:val="16"/>
          <w:lang w:val="en-IN" w:eastAsia="en-IN"/>
        </w:rPr>
        <w:t>The result obtained for al</w:t>
      </w:r>
      <w:r>
        <w:rPr>
          <w:rFonts w:ascii="Times New Roman" w:hAnsi="Times New Roman"/>
          <w:sz w:val="16"/>
          <w:szCs w:val="16"/>
          <w:lang w:val="en-IN" w:eastAsia="en-IN"/>
        </w:rPr>
        <w:t>l bias types and the average</w:t>
      </w:r>
      <w:r w:rsidR="00B80D35" w:rsidRPr="00E716F8">
        <w:rPr>
          <w:rFonts w:ascii="Times New Roman" w:hAnsi="Times New Roman"/>
          <w:sz w:val="16"/>
          <w:szCs w:val="16"/>
          <w:lang w:val="en-IN" w:eastAsia="en-IN"/>
        </w:rPr>
        <w:t xml:space="preserve"> is plotted on line graphs corresponding to each index value. X- axis has been scaled up to 100.</w:t>
      </w:r>
    </w:p>
    <w:p w:rsidR="00D83B8A" w:rsidRDefault="00DE1147" w:rsidP="0027462E">
      <w:pPr>
        <w:pStyle w:val="para1"/>
        <w:ind w:firstLine="0"/>
      </w:pPr>
      <w:r>
        <w:t xml:space="preserve">We can infer that </w:t>
      </w:r>
      <w:r w:rsidRPr="00DE1147">
        <w:t>the length of the coding sequence is directly proportional to higher G+C content</w:t>
      </w:r>
      <w:r>
        <w:t>.</w:t>
      </w:r>
    </w:p>
    <w:p w:rsidR="0027462E" w:rsidRDefault="0027462E" w:rsidP="0027462E">
      <w:pPr>
        <w:pStyle w:val="para1"/>
        <w:ind w:firstLine="0"/>
      </w:pPr>
    </w:p>
    <w:p w:rsidR="0027462E" w:rsidRDefault="0027462E" w:rsidP="0027462E">
      <w:pPr>
        <w:pStyle w:val="para1"/>
        <w:ind w:firstLine="0"/>
        <w:rPr>
          <w:sz w:val="18"/>
          <w:szCs w:val="18"/>
        </w:rPr>
      </w:pPr>
      <w:r w:rsidRPr="0027462E">
        <w:rPr>
          <w:sz w:val="18"/>
          <w:szCs w:val="18"/>
        </w:rPr>
        <w:t>2.2 Sequencing Bias</w:t>
      </w:r>
    </w:p>
    <w:p w:rsidR="0027462E" w:rsidRDefault="0027462E" w:rsidP="0027462E">
      <w:pPr>
        <w:pStyle w:val="para1"/>
        <w:ind w:firstLine="0"/>
        <w:rPr>
          <w:sz w:val="18"/>
          <w:szCs w:val="18"/>
        </w:rPr>
      </w:pPr>
    </w:p>
    <w:p w:rsidR="0027462E" w:rsidRPr="0027462E" w:rsidRDefault="0027462E" w:rsidP="0027462E">
      <w:pPr>
        <w:pStyle w:val="para1"/>
        <w:ind w:firstLine="0"/>
        <w:rPr>
          <w:lang w:val="en-IN"/>
        </w:rPr>
      </w:pPr>
      <w:r w:rsidRPr="0027462E">
        <w:t xml:space="preserve">In this method, we </w:t>
      </w:r>
      <w:r>
        <w:t xml:space="preserve">read following 4 input.gz files namely </w:t>
      </w:r>
      <w:r w:rsidRPr="0027462E">
        <w:rPr>
          <w:lang w:val="en-IN"/>
        </w:rPr>
        <w:t>obs3_seq.gz,</w:t>
      </w:r>
      <w:r>
        <w:rPr>
          <w:lang w:val="en-IN"/>
        </w:rPr>
        <w:t xml:space="preserve"> </w:t>
      </w:r>
      <w:r w:rsidRPr="0027462E">
        <w:rPr>
          <w:lang w:val="en-IN"/>
        </w:rPr>
        <w:t>obs5_seq.gz, exp3_seq.gz, exp5_seq.gz respectively. each corresponding</w:t>
      </w:r>
      <w:r>
        <w:rPr>
          <w:lang w:val="en-IN"/>
        </w:rPr>
        <w:t xml:space="preserve"> </w:t>
      </w:r>
      <w:r w:rsidRPr="0027462E">
        <w:rPr>
          <w:lang w:val="en-IN"/>
        </w:rPr>
        <w:t>to</w:t>
      </w:r>
      <w:r w:rsidR="009D11C9">
        <w:rPr>
          <w:lang w:val="en-IN"/>
        </w:rPr>
        <w:t xml:space="preserve"> </w:t>
      </w:r>
      <w:r w:rsidRPr="0027462E">
        <w:rPr>
          <w:lang w:val="en-IN"/>
        </w:rPr>
        <w:t>3 prime and 5 prime observed and expected data.</w:t>
      </w:r>
      <w:r>
        <w:rPr>
          <w:lang w:val="en-IN"/>
        </w:rPr>
        <w:t xml:space="preserve"> </w:t>
      </w:r>
    </w:p>
    <w:p w:rsidR="0027462E" w:rsidRDefault="00D31777" w:rsidP="00D31777">
      <w:pPr>
        <w:pStyle w:val="para1"/>
        <w:ind w:firstLine="0"/>
        <w:rPr>
          <w:lang w:val="en-IN"/>
        </w:rPr>
      </w:pPr>
      <w:r>
        <w:t xml:space="preserve">      </w:t>
      </w:r>
      <w:r w:rsidR="0027462E">
        <w:t>We give 4 lists</w:t>
      </w:r>
      <w:r w:rsidR="009D11C9">
        <w:t xml:space="preserve"> </w:t>
      </w:r>
      <w:r w:rsidR="0027462E">
        <w:t>(one for each nucleotide) for each of obs</w:t>
      </w:r>
      <w:r w:rsidR="009D11C9">
        <w:t>erved</w:t>
      </w:r>
      <w:r w:rsidR="0027462E">
        <w:t xml:space="preserve"> 3’, </w:t>
      </w:r>
      <w:r w:rsidR="0027462E" w:rsidRPr="0027462E">
        <w:rPr>
          <w:lang w:val="en-IN"/>
        </w:rPr>
        <w:t>obs</w:t>
      </w:r>
      <w:r w:rsidR="009D11C9">
        <w:rPr>
          <w:lang w:val="en-IN"/>
        </w:rPr>
        <w:t xml:space="preserve">erved </w:t>
      </w:r>
      <w:r w:rsidR="0027462E" w:rsidRPr="0027462E">
        <w:rPr>
          <w:lang w:val="en-IN"/>
        </w:rPr>
        <w:t>5’, exp</w:t>
      </w:r>
      <w:r w:rsidR="009D11C9">
        <w:rPr>
          <w:lang w:val="en-IN"/>
        </w:rPr>
        <w:t xml:space="preserve">ected </w:t>
      </w:r>
      <w:r w:rsidR="0027462E" w:rsidRPr="0027462E">
        <w:rPr>
          <w:lang w:val="en-IN"/>
        </w:rPr>
        <w:t>3’, exp</w:t>
      </w:r>
      <w:r w:rsidR="009D11C9">
        <w:rPr>
          <w:lang w:val="en-IN"/>
        </w:rPr>
        <w:t xml:space="preserve">ected </w:t>
      </w:r>
      <w:r w:rsidR="0027462E" w:rsidRPr="0027462E">
        <w:rPr>
          <w:lang w:val="en-IN"/>
        </w:rPr>
        <w:t>5’</w:t>
      </w:r>
      <w:r w:rsidR="009D11C9">
        <w:rPr>
          <w:lang w:val="en-IN"/>
        </w:rPr>
        <w:t xml:space="preserve"> as input</w:t>
      </w:r>
    </w:p>
    <w:p w:rsidR="0027462E" w:rsidRDefault="00D31777" w:rsidP="0027462E">
      <w:pPr>
        <w:pStyle w:val="para1"/>
        <w:ind w:firstLine="0"/>
        <w:rPr>
          <w:lang w:val="en-IN"/>
        </w:rPr>
      </w:pPr>
      <w:r>
        <w:rPr>
          <w:lang w:val="en-IN"/>
        </w:rPr>
        <w:t xml:space="preserve">      </w:t>
      </w:r>
      <w:r w:rsidR="009D11C9">
        <w:rPr>
          <w:lang w:val="en-IN"/>
        </w:rPr>
        <w:t>The input files are parsed to get 2-D matrix of size 4 X context length</w:t>
      </w:r>
      <w:r>
        <w:rPr>
          <w:lang w:val="en-IN"/>
        </w:rPr>
        <w:t xml:space="preserve">. Each of the row in this matrix </w:t>
      </w:r>
      <w:r w:rsidR="005336CE">
        <w:t>contain</w:t>
      </w:r>
      <w:r>
        <w:t xml:space="preserve"> probability of each nucleotide at each position in the context known as marginalized probabilities.</w:t>
      </w:r>
    </w:p>
    <w:p w:rsidR="0027462E" w:rsidRPr="0027462E" w:rsidRDefault="00D31777" w:rsidP="00D31777">
      <w:pPr>
        <w:pStyle w:val="para1"/>
        <w:ind w:firstLine="0"/>
        <w:rPr>
          <w:lang w:val="en-IN"/>
        </w:rPr>
      </w:pPr>
      <w:r>
        <w:rPr>
          <w:lang w:val="en-IN"/>
        </w:rPr>
        <w:t xml:space="preserve">       For each </w:t>
      </w:r>
      <w:r w:rsidR="005336CE">
        <w:rPr>
          <w:lang w:val="en-IN"/>
        </w:rPr>
        <w:t>nucleotide (A, C</w:t>
      </w:r>
      <w:r>
        <w:rPr>
          <w:lang w:val="en-IN"/>
        </w:rPr>
        <w:t>,</w:t>
      </w:r>
      <w:r w:rsidR="005336CE">
        <w:rPr>
          <w:lang w:val="en-IN"/>
        </w:rPr>
        <w:t xml:space="preserve"> </w:t>
      </w:r>
      <w:r>
        <w:rPr>
          <w:lang w:val="en-IN"/>
        </w:rPr>
        <w:t>T,</w:t>
      </w:r>
      <w:r w:rsidR="005336CE">
        <w:rPr>
          <w:lang w:val="en-IN"/>
        </w:rPr>
        <w:t xml:space="preserve"> </w:t>
      </w:r>
      <w:r>
        <w:rPr>
          <w:lang w:val="en-IN"/>
        </w:rPr>
        <w:t xml:space="preserve">G) we calculate the ration of </w:t>
      </w:r>
      <w:r w:rsidR="0027462E" w:rsidRPr="0027462E">
        <w:rPr>
          <w:lang w:val="en-IN"/>
        </w:rPr>
        <w:t>observed</w:t>
      </w:r>
      <w:r>
        <w:rPr>
          <w:lang w:val="en-IN"/>
        </w:rPr>
        <w:t xml:space="preserve"> </w:t>
      </w:r>
      <w:r w:rsidR="0027462E" w:rsidRPr="0027462E">
        <w:rPr>
          <w:lang w:val="en-IN"/>
        </w:rPr>
        <w:t>and expected marginal</w:t>
      </w:r>
      <w:r w:rsidR="0027462E">
        <w:rPr>
          <w:lang w:val="en-IN"/>
        </w:rPr>
        <w:t xml:space="preserve"> </w:t>
      </w:r>
      <w:r w:rsidR="0027462E" w:rsidRPr="0027462E">
        <w:rPr>
          <w:lang w:val="en-IN"/>
        </w:rPr>
        <w:t>probability for both 3’ and 5’ respectively.</w:t>
      </w:r>
    </w:p>
    <w:p w:rsidR="0027462E" w:rsidRPr="0027462E" w:rsidRDefault="00D31777" w:rsidP="00D31777">
      <w:pPr>
        <w:pStyle w:val="para1"/>
        <w:ind w:firstLine="0"/>
        <w:rPr>
          <w:lang w:val="en-IN"/>
        </w:rPr>
      </w:pPr>
      <w:r>
        <w:rPr>
          <w:lang w:val="en-IN"/>
        </w:rPr>
        <w:t xml:space="preserve">       To show the result we plotted </w:t>
      </w:r>
      <w:r w:rsidR="005336CE">
        <w:rPr>
          <w:lang w:val="en-IN"/>
        </w:rPr>
        <w:t>2-line graphs</w:t>
      </w:r>
      <w:r>
        <w:rPr>
          <w:lang w:val="en-IN"/>
        </w:rPr>
        <w:t xml:space="preserve"> – 3’ and 5’ for each nucleotide showing </w:t>
      </w:r>
      <w:r w:rsidR="005336CE">
        <w:rPr>
          <w:lang w:val="en-IN"/>
        </w:rPr>
        <w:t>comparison</w:t>
      </w:r>
      <w:r>
        <w:rPr>
          <w:lang w:val="en-IN"/>
        </w:rPr>
        <w:t xml:space="preserve"> between observed and expected ration for each of the nucleotides</w:t>
      </w:r>
    </w:p>
    <w:p w:rsidR="005336CE" w:rsidRDefault="005336CE" w:rsidP="005336CE">
      <w:pPr>
        <w:pStyle w:val="para1"/>
        <w:ind w:firstLine="0"/>
      </w:pPr>
    </w:p>
    <w:p w:rsidR="005336CE" w:rsidRDefault="005336CE" w:rsidP="005336CE">
      <w:pPr>
        <w:pStyle w:val="para1"/>
        <w:ind w:firstLine="0"/>
        <w:rPr>
          <w:sz w:val="18"/>
          <w:szCs w:val="18"/>
        </w:rPr>
      </w:pPr>
      <w:r w:rsidRPr="0027462E">
        <w:rPr>
          <w:sz w:val="18"/>
          <w:szCs w:val="18"/>
        </w:rPr>
        <w:t>2.</w:t>
      </w:r>
      <w:r>
        <w:rPr>
          <w:sz w:val="18"/>
          <w:szCs w:val="18"/>
        </w:rPr>
        <w:t>3</w:t>
      </w:r>
      <w:r w:rsidRPr="0027462E">
        <w:rPr>
          <w:sz w:val="18"/>
          <w:szCs w:val="18"/>
        </w:rPr>
        <w:t xml:space="preserve"> </w:t>
      </w:r>
      <w:r w:rsidR="009304BA">
        <w:rPr>
          <w:sz w:val="18"/>
          <w:szCs w:val="18"/>
        </w:rPr>
        <w:t>Heatmap</w:t>
      </w:r>
    </w:p>
    <w:p w:rsidR="005336CE" w:rsidRDefault="005336CE" w:rsidP="005336CE">
      <w:pPr>
        <w:pStyle w:val="para1"/>
        <w:ind w:firstLine="0"/>
      </w:pPr>
    </w:p>
    <w:p w:rsidR="009304BA" w:rsidRDefault="009304BA" w:rsidP="005336CE">
      <w:pPr>
        <w:pStyle w:val="para1"/>
        <w:rPr>
          <w:lang w:val="en-IN"/>
        </w:rPr>
      </w:pPr>
      <w:r>
        <w:t xml:space="preserve">In this method, we aim to </w:t>
      </w:r>
      <w:r w:rsidRPr="009304BA">
        <w:t>show the correlation of the average GC and sequencing bias between the samples</w:t>
      </w:r>
      <w:r>
        <w:t xml:space="preserve"> by plotting heatmap</w:t>
      </w:r>
      <w:r w:rsidRPr="009304BA">
        <w:t xml:space="preserve">. </w:t>
      </w:r>
      <w:r>
        <w:t xml:space="preserve">We will be creating </w:t>
      </w:r>
      <w:r w:rsidRPr="009304BA">
        <w:t xml:space="preserve">3 heat maps (GC, 5', 3') of size </w:t>
      </w:r>
      <w:proofErr w:type="spellStart"/>
      <w:r w:rsidRPr="009304BA">
        <w:t>nxn</w:t>
      </w:r>
      <w:proofErr w:type="spellEnd"/>
      <w:r w:rsidRPr="009304BA">
        <w:t>, where n is the number of total samples.</w:t>
      </w:r>
    </w:p>
    <w:p w:rsidR="005336CE" w:rsidRPr="005336CE" w:rsidRDefault="009304BA" w:rsidP="005336CE">
      <w:pPr>
        <w:pStyle w:val="para1"/>
        <w:rPr>
          <w:lang w:val="en-IN"/>
        </w:rPr>
      </w:pPr>
      <w:r>
        <w:rPr>
          <w:lang w:val="en-IN"/>
        </w:rPr>
        <w:t xml:space="preserve">Basically, we want to show </w:t>
      </w:r>
      <w:r w:rsidR="005336CE" w:rsidRPr="005336CE">
        <w:rPr>
          <w:lang w:val="en-IN"/>
        </w:rPr>
        <w:t>a graphical representation of data where</w:t>
      </w:r>
    </w:p>
    <w:p w:rsidR="006006E9" w:rsidRPr="005336CE" w:rsidRDefault="005336CE" w:rsidP="006006E9">
      <w:pPr>
        <w:pStyle w:val="para1"/>
        <w:ind w:firstLine="0"/>
        <w:rPr>
          <w:lang w:val="en-IN"/>
        </w:rPr>
      </w:pPr>
      <w:r w:rsidRPr="005336CE">
        <w:rPr>
          <w:lang w:val="en-IN"/>
        </w:rPr>
        <w:lastRenderedPageBreak/>
        <w:t xml:space="preserve">the individual values contained in a matrix are represented as </w:t>
      </w:r>
      <w:proofErr w:type="spellStart"/>
      <w:r w:rsidRPr="005336CE">
        <w:rPr>
          <w:lang w:val="en-IN"/>
        </w:rPr>
        <w:t>colors</w:t>
      </w:r>
      <w:proofErr w:type="spellEnd"/>
      <w:r w:rsidRPr="005336CE">
        <w:rPr>
          <w:lang w:val="en-IN"/>
        </w:rPr>
        <w:t>.</w:t>
      </w:r>
      <w:r w:rsidR="009304BA">
        <w:rPr>
          <w:lang w:val="en-IN"/>
        </w:rPr>
        <w:t xml:space="preserve"> This can be achieved using a heatmap.</w:t>
      </w:r>
      <w:r w:rsidR="006006E9">
        <w:rPr>
          <w:lang w:val="en-IN"/>
        </w:rPr>
        <w:t xml:space="preserve"> We represent </w:t>
      </w:r>
      <w:r w:rsidRPr="005336CE">
        <w:rPr>
          <w:lang w:val="en-IN"/>
        </w:rPr>
        <w:t>the degree of similarity by comparing GC bias and Sequence bias (3’ and 5’) between an</w:t>
      </w:r>
      <w:r w:rsidR="006006E9">
        <w:rPr>
          <w:lang w:val="en-IN"/>
        </w:rPr>
        <w:t xml:space="preserve">y two </w:t>
      </w:r>
      <w:r w:rsidRPr="005336CE">
        <w:rPr>
          <w:lang w:val="en-IN"/>
        </w:rPr>
        <w:t xml:space="preserve">samples. </w:t>
      </w:r>
      <w:r w:rsidR="006006E9">
        <w:rPr>
          <w:lang w:val="en-IN"/>
        </w:rPr>
        <w:t xml:space="preserve">If the score is close to zero (blue </w:t>
      </w:r>
      <w:proofErr w:type="spellStart"/>
      <w:r w:rsidR="006006E9">
        <w:rPr>
          <w:lang w:val="en-IN"/>
        </w:rPr>
        <w:t>color</w:t>
      </w:r>
      <w:proofErr w:type="spellEnd"/>
      <w:r w:rsidR="006006E9">
        <w:rPr>
          <w:lang w:val="en-IN"/>
        </w:rPr>
        <w:t xml:space="preserve"> area in heatmap), then two samples are similar. In cases of dissimilar samples, the score will be higher (represented by red </w:t>
      </w:r>
      <w:proofErr w:type="spellStart"/>
      <w:r w:rsidR="006006E9">
        <w:rPr>
          <w:lang w:val="en-IN"/>
        </w:rPr>
        <w:t>color</w:t>
      </w:r>
      <w:proofErr w:type="spellEnd"/>
      <w:r w:rsidR="006006E9">
        <w:rPr>
          <w:lang w:val="en-IN"/>
        </w:rPr>
        <w:t xml:space="preserve"> in heatmap).</w:t>
      </w:r>
    </w:p>
    <w:p w:rsidR="006006E9" w:rsidRPr="00E1772A" w:rsidRDefault="006006E9" w:rsidP="006006E9">
      <w:pPr>
        <w:pStyle w:val="para1"/>
        <w:rPr>
          <w:lang w:val="en-IN"/>
        </w:rPr>
      </w:pPr>
    </w:p>
    <w:p w:rsidR="006006E9" w:rsidRDefault="006006E9" w:rsidP="006006E9">
      <w:pPr>
        <w:pStyle w:val="para1"/>
        <w:rPr>
          <w:lang w:val="en-IN"/>
        </w:rPr>
      </w:pPr>
      <w:r>
        <w:rPr>
          <w:lang w:val="en-IN"/>
        </w:rPr>
        <w:t>To determine similarity between any two samples, w</w:t>
      </w:r>
      <w:r w:rsidRPr="005336CE">
        <w:rPr>
          <w:lang w:val="en-IN"/>
        </w:rPr>
        <w:t>e</w:t>
      </w:r>
      <w:r>
        <w:rPr>
          <w:lang w:val="en-IN"/>
        </w:rPr>
        <w:t xml:space="preserve"> </w:t>
      </w:r>
      <w:r w:rsidRPr="005336CE">
        <w:rPr>
          <w:lang w:val="en-IN"/>
        </w:rPr>
        <w:t>used Jensen Shannon Divergence</w:t>
      </w:r>
      <w:r>
        <w:rPr>
          <w:lang w:val="en-IN"/>
        </w:rPr>
        <w:t xml:space="preserve"> </w:t>
      </w:r>
      <w:r w:rsidRPr="005336CE">
        <w:rPr>
          <w:lang w:val="en-IN"/>
        </w:rPr>
        <w:t>as a metric</w:t>
      </w:r>
      <w:r>
        <w:rPr>
          <w:lang w:val="en-IN"/>
        </w:rPr>
        <w:t>.</w:t>
      </w:r>
    </w:p>
    <w:p w:rsidR="005336CE" w:rsidRPr="005336CE" w:rsidRDefault="006006E9" w:rsidP="006006E9">
      <w:pPr>
        <w:pStyle w:val="para1"/>
        <w:ind w:firstLine="0"/>
        <w:rPr>
          <w:lang w:val="en-IN"/>
        </w:rPr>
      </w:pPr>
      <w:r>
        <w:rPr>
          <w:lang w:val="en-IN"/>
        </w:rPr>
        <w:t>[</w:t>
      </w:r>
      <w:proofErr w:type="gramStart"/>
      <w:r>
        <w:rPr>
          <w:lang w:val="en-IN"/>
        </w:rPr>
        <w:t>Note:</w:t>
      </w:r>
      <w:r>
        <w:t>T</w:t>
      </w:r>
      <w:r w:rsidRPr="006006E9">
        <w:t>he</w:t>
      </w:r>
      <w:proofErr w:type="gramEnd"/>
      <w:r w:rsidRPr="006006E9">
        <w:t> </w:t>
      </w:r>
      <w:r w:rsidRPr="006006E9">
        <w:rPr>
          <w:bCs/>
        </w:rPr>
        <w:t>Jensen–Shannon divergence</w:t>
      </w:r>
      <w:r w:rsidRPr="006006E9">
        <w:t> is a method of measuring the similarity between two probability distributions.</w:t>
      </w:r>
      <w:r>
        <w:rPr>
          <w:lang w:val="en-IN"/>
        </w:rPr>
        <w:t>]</w:t>
      </w:r>
    </w:p>
    <w:p w:rsidR="006006E9" w:rsidRDefault="006006E9" w:rsidP="006006E9">
      <w:pPr>
        <w:pStyle w:val="para1"/>
        <w:ind w:firstLine="0"/>
        <w:rPr>
          <w:lang w:val="en-IN"/>
        </w:rPr>
      </w:pPr>
    </w:p>
    <w:p w:rsidR="006006E9" w:rsidRPr="006006E9" w:rsidRDefault="006006E9" w:rsidP="006006E9">
      <w:pPr>
        <w:pStyle w:val="para1"/>
        <w:ind w:firstLine="0"/>
        <w:rPr>
          <w:b/>
          <w:lang w:val="en-IN"/>
        </w:rPr>
      </w:pPr>
      <w:r w:rsidRPr="006006E9">
        <w:rPr>
          <w:b/>
          <w:lang w:val="en-IN"/>
        </w:rPr>
        <w:t xml:space="preserve">&lt; </w:t>
      </w:r>
      <w:r>
        <w:rPr>
          <w:b/>
          <w:lang w:val="en-IN"/>
        </w:rPr>
        <w:t xml:space="preserve">Modify this: </w:t>
      </w:r>
      <w:r w:rsidR="005336CE" w:rsidRPr="006006E9">
        <w:rPr>
          <w:b/>
          <w:lang w:val="en-IN"/>
        </w:rPr>
        <w:t>explain that we actually see what is prese</w:t>
      </w:r>
      <w:bookmarkStart w:id="0" w:name="_GoBack"/>
      <w:bookmarkEnd w:id="0"/>
      <w:r w:rsidR="005336CE" w:rsidRPr="006006E9">
        <w:rPr>
          <w:b/>
          <w:lang w:val="en-IN"/>
        </w:rPr>
        <w:t>nt in 10 samples</w:t>
      </w:r>
    </w:p>
    <w:p w:rsidR="005336CE" w:rsidRPr="006006E9" w:rsidRDefault="005336CE" w:rsidP="006006E9">
      <w:pPr>
        <w:pStyle w:val="para1"/>
        <w:ind w:firstLine="0"/>
        <w:rPr>
          <w:b/>
          <w:lang w:val="en-IN"/>
        </w:rPr>
      </w:pPr>
      <w:r w:rsidRPr="006006E9">
        <w:rPr>
          <w:b/>
          <w:lang w:val="en-IN"/>
        </w:rPr>
        <w:t>In case, if any feature is missing in any sample, we do not consider it</w:t>
      </w:r>
    </w:p>
    <w:p w:rsidR="006006E9" w:rsidRPr="006006E9" w:rsidRDefault="005336CE" w:rsidP="005336CE">
      <w:pPr>
        <w:pStyle w:val="para1"/>
        <w:ind w:firstLine="0"/>
        <w:rPr>
          <w:b/>
          <w:lang w:val="en-IN"/>
        </w:rPr>
      </w:pPr>
      <w:r w:rsidRPr="006006E9">
        <w:rPr>
          <w:b/>
          <w:lang w:val="en-IN"/>
        </w:rPr>
        <w:t>for comparison. We just output it in missing feature table as in Figure 11.</w:t>
      </w:r>
    </w:p>
    <w:p w:rsidR="005336CE" w:rsidRPr="006006E9" w:rsidRDefault="005336CE" w:rsidP="005336CE">
      <w:pPr>
        <w:pStyle w:val="para1"/>
        <w:ind w:firstLine="0"/>
        <w:rPr>
          <w:b/>
        </w:rPr>
      </w:pPr>
      <w:r w:rsidRPr="006006E9">
        <w:rPr>
          <w:b/>
          <w:lang w:val="en-IN"/>
        </w:rPr>
        <w:t>command for running tool</w:t>
      </w:r>
      <w:r w:rsidR="006006E9" w:rsidRPr="006006E9">
        <w:rPr>
          <w:b/>
          <w:lang w:val="en-IN"/>
        </w:rPr>
        <w:t xml:space="preserve"> &gt;</w:t>
      </w:r>
    </w:p>
    <w:p w:rsidR="0027462E" w:rsidRPr="004E13A5" w:rsidRDefault="0027462E" w:rsidP="0027462E">
      <w:pPr>
        <w:pStyle w:val="para1"/>
        <w:ind w:left="170" w:firstLine="0"/>
      </w:pP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D83B8A" w:rsidRPr="004E13A5" w:rsidRDefault="00D83B8A" w:rsidP="004E0596">
      <w:pPr>
        <w:pStyle w:val="para-first"/>
      </w:pPr>
      <w:r w:rsidRPr="004E13A5">
        <w:t>The quick brown fox jumps over the lazy dog. The quick brown fox jumps over the lazy dog.</w:t>
      </w:r>
    </w:p>
    <w:p w:rsidR="00D83B8A" w:rsidRPr="00584A70" w:rsidRDefault="00D83B8A" w:rsidP="00A7074F">
      <w:pPr>
        <w:pStyle w:val="Heading2"/>
      </w:pPr>
      <w:r w:rsidRPr="00584A70">
        <w:t xml:space="preserve">Data </w:t>
      </w:r>
      <w:r w:rsidRPr="00405022">
        <w:t>Structure</w:t>
      </w:r>
      <w:r w:rsidRPr="00584A70">
        <w:t xml:space="preserve"> This is Heading 2 style this is heading 2 </w:t>
      </w:r>
      <w:proofErr w:type="gramStart"/>
      <w:r w:rsidRPr="00584A70">
        <w:t>style</w:t>
      </w:r>
      <w:proofErr w:type="gramEnd"/>
    </w:p>
    <w:p w:rsidR="00D83B8A" w:rsidRPr="00473EDA" w:rsidRDefault="00D83B8A" w:rsidP="004E0596">
      <w:pPr>
        <w:pStyle w:val="para-first"/>
      </w:pPr>
      <w:r w:rsidRPr="00473EDA">
        <w:t xml:space="preserve">The quick brown fox jumps over the lazy dog. The quick brown fox jumps over the lazy dog. </w:t>
      </w:r>
    </w:p>
    <w:p w:rsidR="008A13D5" w:rsidRPr="009D0B6E" w:rsidRDefault="00D83B8A" w:rsidP="002D3B6B">
      <w:pPr>
        <w:pStyle w:val="Heading3"/>
      </w:pPr>
      <w:r w:rsidRPr="009D0B6E">
        <w:t>3.</w:t>
      </w:r>
      <w:r w:rsidR="002D5837" w:rsidRPr="009D0B6E">
        <w:t>1</w:t>
      </w:r>
      <w:r w:rsidRPr="009D0B6E">
        <w:t>.</w:t>
      </w:r>
      <w:r w:rsidR="00AB08E4" w:rsidRPr="009D0B6E">
        <w:t>1</w:t>
      </w:r>
      <w:r w:rsidRPr="009D0B6E">
        <w:t> </w:t>
      </w:r>
      <w:r w:rsidRPr="009D0B6E">
        <w:t xml:space="preserve">This is heading 3 </w:t>
      </w:r>
      <w:proofErr w:type="gramStart"/>
      <w:r w:rsidRPr="009D0B6E">
        <w:t>style</w:t>
      </w:r>
      <w:proofErr w:type="gramEnd"/>
    </w:p>
    <w:p w:rsidR="00D83B8A" w:rsidRPr="00473EDA" w:rsidRDefault="00D83B8A" w:rsidP="006006E9">
      <w:pPr>
        <w:pStyle w:val="para-first"/>
      </w:pPr>
      <w:r w:rsidRPr="00473EDA">
        <w:t>The quick brown fox jumps over the lazy dog. Unnumbered list style</w:t>
      </w:r>
    </w:p>
    <w:p w:rsidR="00D83B8A" w:rsidRPr="00473EDA" w:rsidRDefault="00D83B8A">
      <w:pPr>
        <w:pStyle w:val="ParaNoInd"/>
        <w:rPr>
          <w:sz w:val="16"/>
          <w:szCs w:val="16"/>
        </w:rPr>
      </w:pPr>
      <w:r w:rsidRPr="00473EDA">
        <w:rPr>
          <w:sz w:val="16"/>
          <w:szCs w:val="16"/>
        </w:rPr>
        <w:t>The quick brown fox jumps over the lazy dog.</w:t>
      </w:r>
    </w:p>
    <w:p w:rsidR="00D83B8A" w:rsidRPr="00473EDA" w:rsidRDefault="00D83B8A" w:rsidP="006006E9">
      <w:pPr>
        <w:pStyle w:val="UnnumberedListfirst"/>
        <w:spacing w:before="240"/>
        <w:ind w:left="403" w:hanging="403"/>
        <w:rPr>
          <w:sz w:val="16"/>
          <w:szCs w:val="16"/>
        </w:rPr>
      </w:pPr>
      <w:r w:rsidRPr="00473EDA">
        <w:rPr>
          <w:sz w:val="16"/>
          <w:szCs w:val="16"/>
        </w:rPr>
        <w:t>The quick brown fox jumps over the lazy dog. The quick brown fox jumps over the lazy dog.</w:t>
      </w:r>
    </w:p>
    <w:p w:rsidR="00D83B8A" w:rsidRDefault="00D83B8A">
      <w:pPr>
        <w:pStyle w:val="EquationDisplay"/>
        <w:spacing w:before="140" w:after="140"/>
      </w:pPr>
      <w:r>
        <w:tab/>
      </w:r>
      <w:r w:rsidRPr="00EC5ED4">
        <w:rPr>
          <w:position w:val="-24"/>
        </w:rPr>
        <w:object w:dxaOrig="138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75pt;height:27.7pt" o:ole="">
            <v:imagedata r:id="rId10" o:title=""/>
          </v:shape>
          <o:OLEObject Type="Embed" ProgID="Equation.DSMT4" ShapeID="_x0000_i1025" DrawAspect="Content" ObjectID="_1574707713" r:id="rId11"/>
        </w:object>
      </w:r>
      <w:r>
        <w:tab/>
        <w:t>(1)</w:t>
      </w:r>
    </w:p>
    <w:p w:rsidR="00D83B8A" w:rsidRPr="00473EDA" w:rsidRDefault="00D83B8A">
      <w:pPr>
        <w:pStyle w:val="ParaNoInd"/>
        <w:rPr>
          <w:sz w:val="16"/>
          <w:szCs w:val="16"/>
        </w:rPr>
      </w:pPr>
      <w:r w:rsidRPr="00473EDA">
        <w:rPr>
          <w:sz w:val="16"/>
          <w:szCs w:val="16"/>
        </w:rPr>
        <w:t>The quick brown fox jumps over the lazy dog. The quick brown fox jumps over the lazy dog.</w:t>
      </w:r>
    </w:p>
    <w:p w:rsidR="00D83B8A" w:rsidRPr="00BE5EE2" w:rsidRDefault="00D83B8A" w:rsidP="00341B9C">
      <w:pPr>
        <w:pStyle w:val="FigureCaption"/>
        <w:spacing w:after="360"/>
        <w:rPr>
          <w:sz w:val="13"/>
          <w:szCs w:val="13"/>
        </w:rPr>
      </w:pPr>
      <w:r w:rsidRPr="00BE5EE2">
        <w:rPr>
          <w:b/>
          <w:bCs/>
          <w:sz w:val="13"/>
          <w:szCs w:val="13"/>
        </w:rPr>
        <w:t>Fig. 1.</w:t>
      </w:r>
      <w:r w:rsidRPr="00BE5EE2">
        <w:rPr>
          <w:b/>
          <w:bCs/>
          <w:sz w:val="13"/>
          <w:szCs w:val="13"/>
        </w:rPr>
        <w:t> </w:t>
      </w:r>
      <w:r w:rsidRPr="005F50A7">
        <w:rPr>
          <w:b/>
          <w:sz w:val="13"/>
          <w:szCs w:val="13"/>
        </w:rPr>
        <w:t xml:space="preserve">Relation between τ and </w:t>
      </w:r>
      <w:r w:rsidRPr="005F50A7">
        <w:rPr>
          <w:b/>
          <w:i/>
          <w:iCs/>
          <w:sz w:val="13"/>
          <w:szCs w:val="13"/>
        </w:rPr>
        <w:t>t</w:t>
      </w:r>
      <w:r w:rsidRPr="005F50A7">
        <w:rPr>
          <w:b/>
          <w:sz w:val="13"/>
          <w:szCs w:val="13"/>
        </w:rPr>
        <w:t>.</w:t>
      </w:r>
      <w:r w:rsidRPr="00BE5EE2">
        <w:rPr>
          <w:sz w:val="13"/>
          <w:szCs w:val="13"/>
        </w:rPr>
        <w:t xml:space="preserve"> This example has only two continuous Steppers, S</w:t>
      </w:r>
      <w:r w:rsidRPr="00BE5EE2">
        <w:rPr>
          <w:sz w:val="13"/>
          <w:szCs w:val="13"/>
          <w:vertAlign w:val="subscript"/>
        </w:rPr>
        <w:t>1</w:t>
      </w:r>
      <w:r w:rsidRPr="00BE5EE2">
        <w:rPr>
          <w:sz w:val="13"/>
          <w:szCs w:val="13"/>
        </w:rPr>
        <w:t xml:space="preserve"> and S</w:t>
      </w:r>
      <w:r w:rsidRPr="00BE5EE2">
        <w:rPr>
          <w:sz w:val="13"/>
          <w:szCs w:val="13"/>
          <w:vertAlign w:val="subscript"/>
        </w:rPr>
        <w:t>2</w:t>
      </w:r>
      <w:r w:rsidRPr="00BE5EE2">
        <w:rPr>
          <w:sz w:val="13"/>
          <w:szCs w:val="13"/>
        </w:rPr>
        <w:t>.</w:t>
      </w:r>
    </w:p>
    <w:p w:rsidR="0001213C" w:rsidRPr="00366351" w:rsidRDefault="00D83B8A" w:rsidP="0001213C">
      <w:pPr>
        <w:pStyle w:val="ParaNoInd"/>
        <w:rPr>
          <w:sz w:val="16"/>
          <w:szCs w:val="16"/>
        </w:rPr>
      </w:pPr>
      <w:r w:rsidRPr="00366351">
        <w:rPr>
          <w:sz w:val="16"/>
          <w:szCs w:val="16"/>
        </w:rPr>
        <w:t>The quick brown fox jumps over the lazy dog.</w:t>
      </w:r>
      <w:r w:rsidR="001A5509" w:rsidRPr="00366351">
        <w:rPr>
          <w:sz w:val="16"/>
          <w:szCs w:val="16"/>
        </w:rPr>
        <w:t xml:space="preserve"> The quick brown fox jumps over the lazy dog. The quick brown fox jumps over the lazy dog. The quick brown fox jumps over the lazy dog. </w:t>
      </w:r>
    </w:p>
    <w:p w:rsidR="00CD1067" w:rsidRPr="00366351" w:rsidRDefault="00CD1067" w:rsidP="00CD1067">
      <w:pPr>
        <w:pStyle w:val="ParaNoInd"/>
        <w:rPr>
          <w:sz w:val="16"/>
          <w:szCs w:val="16"/>
        </w:rPr>
      </w:pPr>
      <w:r w:rsidRPr="00366351">
        <w:rPr>
          <w:sz w:val="16"/>
          <w:szCs w:val="16"/>
        </w:rPr>
        <w:t xml:space="preserve">The quick brown fox jumps over the lazy dog. The quick brown fox jumps over the lazy dog. </w:t>
      </w:r>
    </w:p>
    <w:p w:rsidR="00D27DAF" w:rsidRDefault="00D27DAF" w:rsidP="00CD1067">
      <w:pPr>
        <w:pStyle w:val="ParaNoInd"/>
        <w:rPr>
          <w:sz w:val="16"/>
          <w:szCs w:val="16"/>
        </w:rPr>
      </w:pPr>
    </w:p>
    <w:p w:rsidR="00CD1067" w:rsidRPr="00366351" w:rsidRDefault="00CD1067" w:rsidP="00CD1067">
      <w:pPr>
        <w:pStyle w:val="ParaNoInd"/>
        <w:rPr>
          <w:sz w:val="16"/>
          <w:szCs w:val="16"/>
        </w:rPr>
      </w:pPr>
      <w:r w:rsidRPr="00366351">
        <w:rPr>
          <w:sz w:val="16"/>
          <w:szCs w:val="16"/>
        </w:rPr>
        <w:t xml:space="preserve">The quick brown fox jumps over the lazy dog. </w:t>
      </w:r>
    </w:p>
    <w:p w:rsidR="00D27DAF" w:rsidRDefault="00D27DAF" w:rsidP="00341B9C">
      <w:pPr>
        <w:pStyle w:val="Tablecaption"/>
        <w:spacing w:before="360"/>
        <w:rPr>
          <w:b/>
          <w:bCs/>
        </w:rPr>
      </w:pPr>
    </w:p>
    <w:p w:rsidR="00D27DAF" w:rsidRDefault="00D27DAF" w:rsidP="00341B9C">
      <w:pPr>
        <w:pStyle w:val="Tablecaption"/>
        <w:spacing w:before="360"/>
        <w:rPr>
          <w:b/>
          <w:bCs/>
        </w:rPr>
      </w:pPr>
    </w:p>
    <w:p w:rsidR="00D83B8A" w:rsidRDefault="00D83B8A" w:rsidP="00341B9C">
      <w:pPr>
        <w:pStyle w:val="Tablecaption"/>
        <w:spacing w:before="360"/>
      </w:pPr>
      <w:r>
        <w:rPr>
          <w:b/>
          <w:bCs/>
        </w:rPr>
        <w:t xml:space="preserve">Table </w:t>
      </w:r>
      <w:r w:rsidR="00452614">
        <w:rPr>
          <w:b/>
          <w:bCs/>
        </w:rPr>
        <w:t>1</w:t>
      </w:r>
      <w:r>
        <w:rPr>
          <w:b/>
          <w:bCs/>
        </w:rPr>
        <w:t>.</w:t>
      </w:r>
      <w:r>
        <w:rPr>
          <w:b/>
          <w:bCs/>
        </w:rPr>
        <w:t> </w:t>
      </w:r>
      <w:r>
        <w:t>Benchmark results of the cascade oscillators model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3"/>
        <w:gridCol w:w="1666"/>
        <w:gridCol w:w="788"/>
        <w:gridCol w:w="1141"/>
        <w:gridCol w:w="414"/>
      </w:tblGrid>
      <w:tr w:rsidR="00D83B8A">
        <w:tc>
          <w:tcPr>
            <w:tcW w:w="740" w:type="dxa"/>
            <w:tcBorders>
              <w:top w:val="single" w:sz="4" w:space="0" w:color="auto"/>
              <w:bottom w:val="single" w:sz="4" w:space="0" w:color="auto"/>
            </w:tcBorders>
          </w:tcPr>
          <w:p w:rsidR="00D83B8A" w:rsidRDefault="00D83B8A">
            <w:pPr>
              <w:pStyle w:val="TableColumnhead"/>
            </w:pPr>
            <w:r>
              <w:t>|S|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D83B8A" w:rsidRDefault="00D83B8A">
            <w:pPr>
              <w:pStyle w:val="TableColumnhead"/>
            </w:pPr>
            <w:r>
              <w:t>Predicted cost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</w:tcPr>
          <w:p w:rsidR="00D83B8A" w:rsidRDefault="00D83B8A">
            <w:pPr>
              <w:pStyle w:val="TableColumnhead"/>
            </w:pPr>
            <w:r>
              <w:t>Timing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</w:tcPr>
          <w:p w:rsidR="00D83B8A" w:rsidRDefault="00D83B8A">
            <w:pPr>
              <w:pStyle w:val="TableColumnhead"/>
            </w:pPr>
            <w:r>
              <w:t>Predicted speed</w:t>
            </w:r>
          </w:p>
        </w:tc>
        <w:tc>
          <w:tcPr>
            <w:tcW w:w="416" w:type="dxa"/>
            <w:tcBorders>
              <w:top w:val="single" w:sz="4" w:space="0" w:color="auto"/>
              <w:bottom w:val="single" w:sz="4" w:space="0" w:color="auto"/>
            </w:tcBorders>
          </w:tcPr>
          <w:p w:rsidR="00D83B8A" w:rsidRDefault="00D83B8A">
            <w:pPr>
              <w:pStyle w:val="TableColumnhead"/>
            </w:pPr>
            <w:r>
              <w:t>Speed</w:t>
            </w:r>
          </w:p>
        </w:tc>
      </w:tr>
      <w:tr w:rsidR="00D83B8A">
        <w:tc>
          <w:tcPr>
            <w:tcW w:w="740" w:type="dxa"/>
            <w:tcBorders>
              <w:top w:val="single" w:sz="4" w:space="0" w:color="auto"/>
            </w:tcBorders>
          </w:tcPr>
          <w:p w:rsidR="00D83B8A" w:rsidRDefault="00D83B8A">
            <w:pPr>
              <w:pStyle w:val="Tablebodyfirst"/>
            </w:pPr>
            <w:r>
              <w:t xml:space="preserve">  1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D83B8A" w:rsidRDefault="00D83B8A">
            <w:pPr>
              <w:pStyle w:val="Tablebodyfirst"/>
            </w:pPr>
            <w:r>
              <w:t>S219.20(100%)</w:t>
            </w:r>
          </w:p>
        </w:tc>
        <w:tc>
          <w:tcPr>
            <w:tcW w:w="816" w:type="dxa"/>
            <w:tcBorders>
              <w:top w:val="single" w:sz="4" w:space="0" w:color="auto"/>
            </w:tcBorders>
          </w:tcPr>
          <w:p w:rsidR="00D83B8A" w:rsidRDefault="00D83B8A">
            <w:pPr>
              <w:pStyle w:val="Tablebodyfirst"/>
            </w:pPr>
            <w:r>
              <w:t>68m43s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D83B8A" w:rsidRDefault="00D83B8A">
            <w:pPr>
              <w:pStyle w:val="Tablebodyfirst"/>
            </w:pPr>
            <w:r>
              <w:t>1.00</w:t>
            </w:r>
          </w:p>
        </w:tc>
        <w:tc>
          <w:tcPr>
            <w:tcW w:w="416" w:type="dxa"/>
            <w:tcBorders>
              <w:top w:val="single" w:sz="4" w:space="0" w:color="auto"/>
            </w:tcBorders>
          </w:tcPr>
          <w:p w:rsidR="00D83B8A" w:rsidRDefault="00D83B8A">
            <w:pPr>
              <w:pStyle w:val="Tablebodyfirst"/>
            </w:pPr>
            <w:r>
              <w:t>1.00</w:t>
            </w:r>
          </w:p>
        </w:tc>
      </w:tr>
      <w:tr w:rsidR="00D83B8A">
        <w:tc>
          <w:tcPr>
            <w:tcW w:w="740" w:type="dxa"/>
          </w:tcPr>
          <w:p w:rsidR="00D83B8A" w:rsidRDefault="00D83B8A">
            <w:pPr>
              <w:pStyle w:val="Tablebody"/>
            </w:pPr>
            <w:r>
              <w:t xml:space="preserve">  2</w:t>
            </w:r>
          </w:p>
        </w:tc>
        <w:tc>
          <w:tcPr>
            <w:tcW w:w="1704" w:type="dxa"/>
          </w:tcPr>
          <w:p w:rsidR="00D83B8A" w:rsidRDefault="00D83B8A">
            <w:pPr>
              <w:pStyle w:val="Tablebody"/>
            </w:pPr>
            <w:r>
              <w:t>2</w:t>
            </w:r>
            <w:r>
              <w:rPr>
                <w:vertAlign w:val="superscript"/>
              </w:rPr>
              <w:t>9</w:t>
            </w:r>
            <w:r>
              <w:t>.10+2</w:t>
            </w:r>
            <w:r>
              <w:rPr>
                <w:vertAlign w:val="superscript"/>
              </w:rPr>
              <w:t>19</w:t>
            </w:r>
            <w:r>
              <w:t>.10(~50%)</w:t>
            </w:r>
          </w:p>
        </w:tc>
        <w:tc>
          <w:tcPr>
            <w:tcW w:w="816" w:type="dxa"/>
          </w:tcPr>
          <w:p w:rsidR="00D83B8A" w:rsidRDefault="00D83B8A">
            <w:pPr>
              <w:pStyle w:val="Tablebody"/>
            </w:pPr>
            <w:r>
              <w:t>35m13s</w:t>
            </w:r>
          </w:p>
        </w:tc>
        <w:tc>
          <w:tcPr>
            <w:tcW w:w="1200" w:type="dxa"/>
          </w:tcPr>
          <w:p w:rsidR="00D83B8A" w:rsidRDefault="00D83B8A">
            <w:pPr>
              <w:pStyle w:val="Tablebody"/>
            </w:pPr>
            <w:r>
              <w:t>2.00</w:t>
            </w:r>
          </w:p>
        </w:tc>
        <w:tc>
          <w:tcPr>
            <w:tcW w:w="416" w:type="dxa"/>
          </w:tcPr>
          <w:p w:rsidR="00D83B8A" w:rsidRDefault="00D83B8A">
            <w:pPr>
              <w:pStyle w:val="Tablebody"/>
            </w:pPr>
            <w:r>
              <w:t>1.95</w:t>
            </w:r>
          </w:p>
        </w:tc>
      </w:tr>
      <w:tr w:rsidR="00D83B8A">
        <w:tc>
          <w:tcPr>
            <w:tcW w:w="740" w:type="dxa"/>
          </w:tcPr>
          <w:p w:rsidR="00D83B8A" w:rsidRDefault="00D83B8A">
            <w:pPr>
              <w:pStyle w:val="Tablebody"/>
            </w:pPr>
            <w:r>
              <w:t xml:space="preserve">  4</w:t>
            </w:r>
          </w:p>
        </w:tc>
        <w:tc>
          <w:tcPr>
            <w:tcW w:w="1704" w:type="dxa"/>
          </w:tcPr>
          <w:p w:rsidR="00D83B8A" w:rsidRDefault="00D83B8A">
            <w:pPr>
              <w:pStyle w:val="Tablebody"/>
            </w:pPr>
            <w:r>
              <w:t>2</w:t>
            </w:r>
            <w:r>
              <w:rPr>
                <w:vertAlign w:val="superscript"/>
              </w:rPr>
              <w:t>19</w:t>
            </w:r>
            <w:r>
              <w:t>.20(100%)</w:t>
            </w:r>
          </w:p>
        </w:tc>
        <w:tc>
          <w:tcPr>
            <w:tcW w:w="816" w:type="dxa"/>
          </w:tcPr>
          <w:p w:rsidR="00D83B8A" w:rsidRDefault="00D83B8A">
            <w:pPr>
              <w:pStyle w:val="Tablebody"/>
            </w:pPr>
            <w:r>
              <w:t>68m43s</w:t>
            </w:r>
          </w:p>
        </w:tc>
        <w:tc>
          <w:tcPr>
            <w:tcW w:w="1200" w:type="dxa"/>
          </w:tcPr>
          <w:p w:rsidR="00D83B8A" w:rsidRDefault="00D83B8A">
            <w:pPr>
              <w:pStyle w:val="Tablebody"/>
            </w:pPr>
            <w:r>
              <w:t>1.00</w:t>
            </w:r>
          </w:p>
        </w:tc>
        <w:tc>
          <w:tcPr>
            <w:tcW w:w="416" w:type="dxa"/>
          </w:tcPr>
          <w:p w:rsidR="00D83B8A" w:rsidRDefault="00D83B8A">
            <w:pPr>
              <w:pStyle w:val="Tablebody"/>
            </w:pPr>
            <w:r>
              <w:t>1.00</w:t>
            </w:r>
          </w:p>
        </w:tc>
      </w:tr>
      <w:tr w:rsidR="00D83B8A">
        <w:tc>
          <w:tcPr>
            <w:tcW w:w="740" w:type="dxa"/>
          </w:tcPr>
          <w:p w:rsidR="00D83B8A" w:rsidRDefault="00D83B8A">
            <w:pPr>
              <w:pStyle w:val="Tablebody"/>
            </w:pPr>
            <w:r>
              <w:t>10</w:t>
            </w:r>
          </w:p>
        </w:tc>
        <w:tc>
          <w:tcPr>
            <w:tcW w:w="1704" w:type="dxa"/>
          </w:tcPr>
          <w:p w:rsidR="00D83B8A" w:rsidRDefault="00D83B8A">
            <w:pPr>
              <w:pStyle w:val="Tablebody"/>
            </w:pPr>
            <w:r>
              <w:t>2</w:t>
            </w:r>
            <w:r>
              <w:rPr>
                <w:vertAlign w:val="superscript"/>
              </w:rPr>
              <w:t>9</w:t>
            </w:r>
            <w:r>
              <w:t>.10+2</w:t>
            </w:r>
            <w:r>
              <w:rPr>
                <w:vertAlign w:val="superscript"/>
              </w:rPr>
              <w:t>19</w:t>
            </w:r>
            <w:r>
              <w:t>.10(~50%)</w:t>
            </w:r>
          </w:p>
        </w:tc>
        <w:tc>
          <w:tcPr>
            <w:tcW w:w="816" w:type="dxa"/>
          </w:tcPr>
          <w:p w:rsidR="00D83B8A" w:rsidRDefault="00D83B8A">
            <w:pPr>
              <w:pStyle w:val="Tablebody"/>
            </w:pPr>
            <w:r>
              <w:t>35m13s</w:t>
            </w:r>
          </w:p>
        </w:tc>
        <w:tc>
          <w:tcPr>
            <w:tcW w:w="1200" w:type="dxa"/>
          </w:tcPr>
          <w:p w:rsidR="00D83B8A" w:rsidRDefault="00D83B8A">
            <w:pPr>
              <w:pStyle w:val="Tablebody"/>
            </w:pPr>
            <w:r>
              <w:t>2.00</w:t>
            </w:r>
          </w:p>
        </w:tc>
        <w:tc>
          <w:tcPr>
            <w:tcW w:w="416" w:type="dxa"/>
          </w:tcPr>
          <w:p w:rsidR="00D83B8A" w:rsidRDefault="00D83B8A">
            <w:pPr>
              <w:pStyle w:val="Tablebody"/>
            </w:pPr>
            <w:r>
              <w:t>1.95</w:t>
            </w:r>
          </w:p>
        </w:tc>
      </w:tr>
      <w:tr w:rsidR="00D83B8A">
        <w:tc>
          <w:tcPr>
            <w:tcW w:w="740" w:type="dxa"/>
            <w:tcBorders>
              <w:bottom w:val="single" w:sz="4" w:space="0" w:color="auto"/>
            </w:tcBorders>
          </w:tcPr>
          <w:p w:rsidR="00D83B8A" w:rsidRDefault="00D83B8A">
            <w:pPr>
              <w:pStyle w:val="Tablebodylast"/>
            </w:pPr>
            <w:r>
              <w:t>20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:rsidR="00D83B8A" w:rsidRDefault="00D83B8A">
            <w:pPr>
              <w:pStyle w:val="Tablebodylast"/>
            </w:pPr>
            <w:r>
              <w:t>2</w:t>
            </w:r>
            <w:r>
              <w:rPr>
                <w:vertAlign w:val="superscript"/>
              </w:rPr>
              <w:t>19</w:t>
            </w:r>
            <w:r>
              <w:t>.20(100%)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D83B8A" w:rsidRDefault="00D83B8A">
            <w:pPr>
              <w:pStyle w:val="Tablebodylast"/>
            </w:pPr>
            <w:r>
              <w:t>68m43s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D83B8A" w:rsidRDefault="00D83B8A">
            <w:pPr>
              <w:pStyle w:val="Tablebodylast"/>
            </w:pPr>
            <w:r>
              <w:t>1.00</w:t>
            </w:r>
          </w:p>
        </w:tc>
        <w:tc>
          <w:tcPr>
            <w:tcW w:w="416" w:type="dxa"/>
            <w:tcBorders>
              <w:bottom w:val="single" w:sz="4" w:space="0" w:color="auto"/>
            </w:tcBorders>
          </w:tcPr>
          <w:p w:rsidR="00D83B8A" w:rsidRDefault="00D83B8A">
            <w:pPr>
              <w:pStyle w:val="Tablebodylast"/>
            </w:pPr>
            <w:r>
              <w:t>9.5</w:t>
            </w:r>
          </w:p>
        </w:tc>
      </w:tr>
    </w:tbl>
    <w:p w:rsidR="00D83B8A" w:rsidRDefault="00D83B8A">
      <w:pPr>
        <w:pStyle w:val="Tablefootnote"/>
        <w:spacing w:after="140"/>
      </w:pPr>
      <w:r>
        <w:t>This is table foot note sample text This is table foot note sample text This is table foot note sample text</w:t>
      </w:r>
    </w:p>
    <w:p w:rsidR="00D83B8A" w:rsidRPr="00366351" w:rsidRDefault="00D83B8A">
      <w:pPr>
        <w:pStyle w:val="ParaNoInd"/>
        <w:rPr>
          <w:sz w:val="16"/>
          <w:szCs w:val="16"/>
        </w:rPr>
      </w:pPr>
      <w:r w:rsidRPr="00366351">
        <w:rPr>
          <w:sz w:val="16"/>
          <w:szCs w:val="16"/>
        </w:rPr>
        <w:t>The quick brown fox jumps over the lazy dog.</w:t>
      </w:r>
    </w:p>
    <w:p w:rsidR="001A5509" w:rsidRDefault="00643190" w:rsidP="001A0125">
      <w:pPr>
        <w:pStyle w:val="AckHead"/>
      </w:pPr>
      <w:r>
        <w:t>A</w:t>
      </w:r>
      <w:r w:rsidR="001A5509">
        <w:t>cknowledgements</w:t>
      </w:r>
    </w:p>
    <w:p w:rsidR="00D83B8A" w:rsidRPr="006006E9" w:rsidRDefault="00CF3701">
      <w:pPr>
        <w:pStyle w:val="AckText"/>
        <w:rPr>
          <w:sz w:val="16"/>
          <w:szCs w:val="16"/>
        </w:rPr>
      </w:pPr>
      <w:r w:rsidRPr="006006E9">
        <w:rPr>
          <w:sz w:val="16"/>
          <w:szCs w:val="16"/>
        </w:rPr>
        <w:t xml:space="preserve">We would like to thank Professor </w:t>
      </w:r>
      <w:r w:rsidRPr="006006E9">
        <w:rPr>
          <w:sz w:val="16"/>
          <w:szCs w:val="16"/>
          <w:lang w:val="en-IN"/>
        </w:rPr>
        <w:t>Robert Patro (</w:t>
      </w:r>
      <w:r w:rsidRPr="006006E9">
        <w:rPr>
          <w:sz w:val="16"/>
          <w:szCs w:val="16"/>
        </w:rPr>
        <w:t>Department of Computer Science)</w:t>
      </w:r>
      <w:r w:rsidRPr="006006E9">
        <w:rPr>
          <w:sz w:val="16"/>
          <w:szCs w:val="16"/>
          <w:lang w:val="en-IN"/>
        </w:rPr>
        <w:t>, Fatemeh Almodaresi and Laraib Malik for their continuous support and guidance.</w:t>
      </w:r>
    </w:p>
    <w:p w:rsidR="00D83B8A" w:rsidRPr="00366351" w:rsidRDefault="00366351" w:rsidP="001A0125">
      <w:pPr>
        <w:pStyle w:val="RefHead"/>
      </w:pPr>
      <w:r w:rsidRPr="00366351">
        <w:t>References</w:t>
      </w:r>
    </w:p>
    <w:p w:rsidR="00D83B8A" w:rsidRPr="00366351" w:rsidRDefault="00D83B8A">
      <w:pPr>
        <w:pStyle w:val="RefText"/>
        <w:rPr>
          <w:szCs w:val="14"/>
        </w:rPr>
      </w:pPr>
      <w:r w:rsidRPr="00366351">
        <w:rPr>
          <w:szCs w:val="14"/>
        </w:rPr>
        <w:t>Alexandrescu,A. (2001) Modern C++ Design: Generic Programming and Design Patterens Applied. Addision Wesley Professional, Boston.</w:t>
      </w:r>
    </w:p>
    <w:p w:rsidR="00D83B8A" w:rsidRPr="00366351" w:rsidRDefault="00D83B8A">
      <w:pPr>
        <w:pStyle w:val="RefText"/>
        <w:rPr>
          <w:szCs w:val="14"/>
        </w:rPr>
      </w:pPr>
      <w:r w:rsidRPr="00366351">
        <w:rPr>
          <w:szCs w:val="14"/>
        </w:rPr>
        <w:t xml:space="preserve">Dormand,J.R. and Prince,P.J. (1980) A family of embedded Runge–Kutta formulae. </w:t>
      </w:r>
      <w:r w:rsidRPr="00366351">
        <w:rPr>
          <w:i/>
          <w:iCs/>
          <w:szCs w:val="14"/>
        </w:rPr>
        <w:t>J. Comp. Appl. Math.</w:t>
      </w:r>
      <w:r w:rsidRPr="00366351">
        <w:rPr>
          <w:szCs w:val="14"/>
        </w:rPr>
        <w:t xml:space="preserve">, </w:t>
      </w:r>
      <w:r w:rsidRPr="00366351">
        <w:rPr>
          <w:b/>
          <w:bCs/>
          <w:szCs w:val="14"/>
        </w:rPr>
        <w:t>6</w:t>
      </w:r>
      <w:r w:rsidRPr="00366351">
        <w:rPr>
          <w:szCs w:val="14"/>
        </w:rPr>
        <w:t>, 19–26.</w:t>
      </w:r>
    </w:p>
    <w:p w:rsidR="00D83B8A" w:rsidRPr="00366351" w:rsidRDefault="00D83B8A">
      <w:pPr>
        <w:pStyle w:val="RefText"/>
        <w:rPr>
          <w:szCs w:val="14"/>
        </w:rPr>
      </w:pPr>
      <w:r w:rsidRPr="00366351">
        <w:rPr>
          <w:szCs w:val="14"/>
        </w:rPr>
        <w:t xml:space="preserve">Alexandrescu,A. (2001) </w:t>
      </w:r>
      <w:r w:rsidRPr="00366351">
        <w:rPr>
          <w:i/>
          <w:iCs/>
          <w:szCs w:val="14"/>
        </w:rPr>
        <w:t>Modern C++ Design: Generic Programming and Design Patterens Applied.</w:t>
      </w:r>
      <w:r w:rsidRPr="00366351">
        <w:rPr>
          <w:szCs w:val="14"/>
        </w:rPr>
        <w:t xml:space="preserve"> Addision Wesley Professional, Boston.</w:t>
      </w:r>
    </w:p>
    <w:p w:rsidR="00CA17B7" w:rsidRDefault="00D83B8A" w:rsidP="00CA17B7">
      <w:pPr>
        <w:pStyle w:val="RefText"/>
      </w:pPr>
      <w:r w:rsidRPr="00366351">
        <w:rPr>
          <w:szCs w:val="14"/>
        </w:rPr>
        <w:t xml:space="preserve">Dormand,J.R. and Prince,P.J. (1980) A family of embedded Runge–Kutta formulae. </w:t>
      </w:r>
      <w:r w:rsidRPr="00366351">
        <w:rPr>
          <w:i/>
          <w:iCs/>
          <w:szCs w:val="14"/>
        </w:rPr>
        <w:t>J. Comp. Appl. Math.</w:t>
      </w:r>
      <w:r w:rsidRPr="00366351">
        <w:rPr>
          <w:szCs w:val="14"/>
        </w:rPr>
        <w:t xml:space="preserve">, </w:t>
      </w:r>
      <w:r w:rsidRPr="00366351">
        <w:rPr>
          <w:b/>
          <w:bCs/>
          <w:szCs w:val="14"/>
        </w:rPr>
        <w:t>6</w:t>
      </w:r>
      <w:r w:rsidRPr="00366351">
        <w:rPr>
          <w:szCs w:val="14"/>
        </w:rPr>
        <w:t>, 19–26.</w:t>
      </w:r>
    </w:p>
    <w:p w:rsidR="00B7282B" w:rsidRDefault="00E1772A" w:rsidP="004D7F41">
      <w:pPr>
        <w:pStyle w:val="RefText"/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posOffset>73660</wp:posOffset>
                </wp:positionH>
                <wp:positionV relativeFrom="margin">
                  <wp:posOffset>3794125</wp:posOffset>
                </wp:positionV>
                <wp:extent cx="2906395" cy="1949450"/>
                <wp:effectExtent l="12700" t="7620" r="5080" b="508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1949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D38F7" w:rsidRDefault="00DD38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8pt;margin-top:298.75pt;width:228.85pt;height:1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jHegIAAAAFAAAOAAAAZHJzL2Uyb0RvYy54bWysVF1vmzAUfZ+0/2D5PQVSmiWopOpCMk3q&#10;PqR2P8CxTbBmbM92Al21/75rE9J0fZmm8QAXfH18zr3ncn3TtxIduHVCqxJnFylGXFHNhNqV+NvD&#10;ZjLHyHmiGJFa8RI/codvlm/fXHem4FPdaMm4RQCiXNGZEjfemyJJHG14S9yFNlzBYq1tSzy82l3C&#10;LOkAvZXJNE1nSactM1ZT7hx8rYZFvIz4dc2p/1LXjnskSwzcfLzbeN+Ge7K8JsXOEtMIeqRB/oFF&#10;S4SCQ09QFfEE7a14BdUKarXTtb+guk10XQvKowZQk6V/qLlviOFRCxTHmVOZ3P+DpZ8PXy0SrMRT&#10;jBRpoUUPvPfove7RNFSnM66ApHsDab6Hz9DlqNSZO02/O6T0qiFqx2+t1V3DCQN2WdiZnG0dcFwA&#10;2XafNINjyN7rCNTXtg2lg2IgQIcuPZ46E6hQ+DhdpLPLxRVGFNayRb7Ir2LvElKM2411/gPXLQpB&#10;iS20PsKTw53zgQ4pxpRwmtIbIWVsv1SoK/Fl9u5qEKalYGExpDm7266kRQcSDBSvqA1WztNa4cHG&#10;UrQlnp+SSBHKsVYsnuKJkEMMTKQK4KAOuB2jwS5Pi3Sxnq/n+SSfztaTPK2qye1mlU9mG+BXXVar&#10;VZX9CjyzvGgEY1wFqqN1s/zvrHEcosF0J/O+kPRC+SZer5UnL2nEKoOq8RnVRR+E1g8m8P22h4IE&#10;c2w1ewRHWD2MJfxGIGi0/YlRByNZYvdjTyzHSH5U4Kowv2Ngx2A7BkRR2Fpij9EQrvww53tjxa4B&#10;5MG3St+C82oRPfHM4uhXGLNI/vhLCHN8/h6znn9cy98AAAD//wMAUEsDBBQABgAIAAAAIQCJ/etB&#10;3QAAAAoBAAAPAAAAZHJzL2Rvd25yZXYueG1sTI9BTsMwEEX3SNzBGiR21ClNAglxKqiAbdTCAaax&#10;m0TE48h22nB7hhUsv+bp/zfVdrGjOBsfBkcK1qsEhKHW6YE6BZ8fb3ePIEJE0jg6Mgq+TYBtfX1V&#10;YandhfbmfIid4BIKJSroY5xKKUPbG4th5SZDfDs5bzFy9J3UHi9cbkd5nyS5tDgQL/Q4mV1v2q/D&#10;bBXsdJP7WfrXrnk5pY3bv2O+sUrd3izPTyCiWeIfDL/6rA41Ox3dTDqIkfM6Z1JBVjxkIBhI82ID&#10;4qigSNIMZF3J/y/UPwAAAP//AwBQSwECLQAUAAYACAAAACEAtoM4kv4AAADhAQAAEwAAAAAAAAAA&#10;AAAAAAAAAAAAW0NvbnRlbnRfVHlwZXNdLnhtbFBLAQItABQABgAIAAAAIQA4/SH/1gAAAJQBAAAL&#10;AAAAAAAAAAAAAAAAAC8BAABfcmVscy8ucmVsc1BLAQItABQABgAIAAAAIQAVvJjHegIAAAAFAAAO&#10;AAAAAAAAAAAAAAAAAC4CAABkcnMvZTJvRG9jLnhtbFBLAQItABQABgAIAAAAIQCJ/etB3QAAAAoB&#10;AAAPAAAAAAAAAAAAAAAAANQEAABkcnMvZG93bnJldi54bWxQSwUGAAAAAAQABADzAAAA3gUAAAAA&#10;" o:allowoverlap="f" filled="f" strokeweight=".25pt">
                <v:textbox inset="0,0,0,0">
                  <w:txbxContent>
                    <w:p w:rsidR="00DD38F7" w:rsidRDefault="00DD38F7"/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B7282B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C60" w:rsidRDefault="00552C60">
      <w:r>
        <w:separator/>
      </w:r>
    </w:p>
  </w:endnote>
  <w:endnote w:type="continuationSeparator" w:id="0">
    <w:p w:rsidR="00552C60" w:rsidRDefault="00552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C60" w:rsidRDefault="00552C6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552C60" w:rsidRDefault="00552C6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552C60" w:rsidRDefault="00552C60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E1772A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0FCB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proofErr w:type="gramStart"/>
    <w:r w:rsidR="00DD38F7">
      <w:t>K.Takahashi</w:t>
    </w:r>
    <w:proofErr w:type="spellEnd"/>
    <w:proofErr w:type="gramEnd"/>
    <w:r w:rsidR="00DD38F7">
      <w:t xml:space="preserve"> et al.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806D7"/>
    <w:multiLevelType w:val="hybridMultilevel"/>
    <w:tmpl w:val="2A241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A5F99"/>
    <w:multiLevelType w:val="hybridMultilevel"/>
    <w:tmpl w:val="7AAA4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3801109"/>
    <w:multiLevelType w:val="multilevel"/>
    <w:tmpl w:val="962E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9"/>
  </w:num>
  <w:num w:numId="7">
    <w:abstractNumId w:val="9"/>
  </w:num>
  <w:num w:numId="8">
    <w:abstractNumId w:val="13"/>
  </w:num>
  <w:num w:numId="9">
    <w:abstractNumId w:val="7"/>
  </w:num>
  <w:num w:numId="10">
    <w:abstractNumId w:val="11"/>
  </w:num>
  <w:num w:numId="11">
    <w:abstractNumId w:val="12"/>
  </w:num>
  <w:num w:numId="12">
    <w:abstractNumId w:val="2"/>
  </w:num>
  <w:num w:numId="13">
    <w:abstractNumId w:val="0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20"/>
    <w:rsid w:val="0001213C"/>
    <w:rsid w:val="00050B51"/>
    <w:rsid w:val="00063765"/>
    <w:rsid w:val="00083970"/>
    <w:rsid w:val="000C3BEA"/>
    <w:rsid w:val="000E7919"/>
    <w:rsid w:val="00112539"/>
    <w:rsid w:val="00120FBC"/>
    <w:rsid w:val="00163472"/>
    <w:rsid w:val="00164CC5"/>
    <w:rsid w:val="00175E68"/>
    <w:rsid w:val="0019362B"/>
    <w:rsid w:val="001976C9"/>
    <w:rsid w:val="001A0125"/>
    <w:rsid w:val="001A5509"/>
    <w:rsid w:val="001C6AEE"/>
    <w:rsid w:val="002000FF"/>
    <w:rsid w:val="0027462E"/>
    <w:rsid w:val="00274D6E"/>
    <w:rsid w:val="0028467B"/>
    <w:rsid w:val="002A2089"/>
    <w:rsid w:val="002A7209"/>
    <w:rsid w:val="002B75A3"/>
    <w:rsid w:val="002B75B0"/>
    <w:rsid w:val="002C783E"/>
    <w:rsid w:val="002D3B6B"/>
    <w:rsid w:val="002D5837"/>
    <w:rsid w:val="002D7AA3"/>
    <w:rsid w:val="002F4CA8"/>
    <w:rsid w:val="002F4CC3"/>
    <w:rsid w:val="00341B9C"/>
    <w:rsid w:val="0034204F"/>
    <w:rsid w:val="00352804"/>
    <w:rsid w:val="00366351"/>
    <w:rsid w:val="00386DA0"/>
    <w:rsid w:val="003A4127"/>
    <w:rsid w:val="003A4458"/>
    <w:rsid w:val="003B3D09"/>
    <w:rsid w:val="003F0E1C"/>
    <w:rsid w:val="00400C63"/>
    <w:rsid w:val="00403998"/>
    <w:rsid w:val="00405022"/>
    <w:rsid w:val="00417E33"/>
    <w:rsid w:val="00435193"/>
    <w:rsid w:val="00441312"/>
    <w:rsid w:val="00452614"/>
    <w:rsid w:val="00454567"/>
    <w:rsid w:val="00473EDA"/>
    <w:rsid w:val="004768E7"/>
    <w:rsid w:val="00486E58"/>
    <w:rsid w:val="004B43B9"/>
    <w:rsid w:val="004B658F"/>
    <w:rsid w:val="004D7F41"/>
    <w:rsid w:val="004E0596"/>
    <w:rsid w:val="004E1218"/>
    <w:rsid w:val="004E13A5"/>
    <w:rsid w:val="004E44AC"/>
    <w:rsid w:val="00513FFC"/>
    <w:rsid w:val="005336CE"/>
    <w:rsid w:val="00544ED1"/>
    <w:rsid w:val="00552C60"/>
    <w:rsid w:val="005806E7"/>
    <w:rsid w:val="00584A70"/>
    <w:rsid w:val="005E41BA"/>
    <w:rsid w:val="005E5A37"/>
    <w:rsid w:val="005F50A7"/>
    <w:rsid w:val="006006E9"/>
    <w:rsid w:val="006103A9"/>
    <w:rsid w:val="006118F8"/>
    <w:rsid w:val="006163D7"/>
    <w:rsid w:val="006323EC"/>
    <w:rsid w:val="00643190"/>
    <w:rsid w:val="0066588F"/>
    <w:rsid w:val="006921D5"/>
    <w:rsid w:val="006A235A"/>
    <w:rsid w:val="006C2C0F"/>
    <w:rsid w:val="006F5A2E"/>
    <w:rsid w:val="0072388D"/>
    <w:rsid w:val="00776B59"/>
    <w:rsid w:val="00793C1E"/>
    <w:rsid w:val="00801742"/>
    <w:rsid w:val="00806CED"/>
    <w:rsid w:val="00820FD1"/>
    <w:rsid w:val="00853D6D"/>
    <w:rsid w:val="00887143"/>
    <w:rsid w:val="008A06DC"/>
    <w:rsid w:val="008A13D5"/>
    <w:rsid w:val="008A7380"/>
    <w:rsid w:val="008E5030"/>
    <w:rsid w:val="009304BA"/>
    <w:rsid w:val="00935C57"/>
    <w:rsid w:val="00943558"/>
    <w:rsid w:val="00952599"/>
    <w:rsid w:val="0095359B"/>
    <w:rsid w:val="009A3330"/>
    <w:rsid w:val="009D0B6E"/>
    <w:rsid w:val="009D11C9"/>
    <w:rsid w:val="00A226FD"/>
    <w:rsid w:val="00A2482D"/>
    <w:rsid w:val="00A2522A"/>
    <w:rsid w:val="00A5432A"/>
    <w:rsid w:val="00A55800"/>
    <w:rsid w:val="00A663DF"/>
    <w:rsid w:val="00A7074F"/>
    <w:rsid w:val="00A76CB0"/>
    <w:rsid w:val="00A818B3"/>
    <w:rsid w:val="00AB08E4"/>
    <w:rsid w:val="00B637BC"/>
    <w:rsid w:val="00B652DF"/>
    <w:rsid w:val="00B7282B"/>
    <w:rsid w:val="00B80D35"/>
    <w:rsid w:val="00B972B2"/>
    <w:rsid w:val="00BE5EE2"/>
    <w:rsid w:val="00C4341F"/>
    <w:rsid w:val="00CA17B7"/>
    <w:rsid w:val="00CA4C20"/>
    <w:rsid w:val="00CC64E3"/>
    <w:rsid w:val="00CD1016"/>
    <w:rsid w:val="00CD1067"/>
    <w:rsid w:val="00CD55D8"/>
    <w:rsid w:val="00CF3701"/>
    <w:rsid w:val="00CF605A"/>
    <w:rsid w:val="00D27DAF"/>
    <w:rsid w:val="00D31777"/>
    <w:rsid w:val="00D65C51"/>
    <w:rsid w:val="00D83B8A"/>
    <w:rsid w:val="00DA7E18"/>
    <w:rsid w:val="00DC2DCC"/>
    <w:rsid w:val="00DC5078"/>
    <w:rsid w:val="00DC5EDA"/>
    <w:rsid w:val="00DD38F7"/>
    <w:rsid w:val="00DE1147"/>
    <w:rsid w:val="00E1772A"/>
    <w:rsid w:val="00E678E8"/>
    <w:rsid w:val="00E716F8"/>
    <w:rsid w:val="00EC5ED4"/>
    <w:rsid w:val="00EE1FE6"/>
    <w:rsid w:val="00EF5D71"/>
    <w:rsid w:val="00F137B5"/>
    <w:rsid w:val="00F362A7"/>
    <w:rsid w:val="00F4766C"/>
    <w:rsid w:val="00F60312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133CD"/>
  <w15:docId w15:val="{85C27F2B-7F31-41F7-8C1E-EAF03B35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A17B7"/>
    <w:pPr>
      <w:ind w:left="720"/>
      <w:contextualSpacing/>
    </w:pPr>
  </w:style>
  <w:style w:type="character" w:styleId="Hyperlink">
    <w:name w:val="Hyperlink"/>
    <w:basedOn w:val="DefaultParagraphFont"/>
    <w:unhideWhenUsed/>
    <w:rsid w:val="006006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6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\Downloads\cabios_word_temp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ED0B5D-9F95-4819-A34C-D020F932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236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Yash Shah</dc:creator>
  <cp:lastModifiedBy>Yash Shah</cp:lastModifiedBy>
  <cp:revision>2</cp:revision>
  <cp:lastPrinted>2007-07-04T12:14:00Z</cp:lastPrinted>
  <dcterms:created xsi:type="dcterms:W3CDTF">2017-12-12T03:08:00Z</dcterms:created>
  <dcterms:modified xsi:type="dcterms:W3CDTF">2017-12-14T03:02:00Z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