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Your Name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Immigration Law Specialist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Los Angeles, USA  •  (123) 456-789  •  yourname@resumeworded.com  •  linkedin.com/in/your-profile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Coached.com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- Phoenix, USAApril 2017 - Present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Senior Immigration Law Specialist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Performed detailed legal research connected to immigration law, improving case resolution by 35%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Devised and executed strategies for litigation issues, resulting in a 40% increase in successful outcomes.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Offered mentorship and guidance to a team of 5 junior immigration law specialists, contributing to an overall team efficiency increase by 25%.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Managed H-1B, citizenship, asylum, and visa cases, improving success rate by 45%.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Conducted client interviews and trial preparations, amplifying successful result rate by 38%.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Resume Worded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- New York City, USANovember 2014 - March 2017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Immigration Law Specialist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Managed 120+ adjustment of status cases, ensuring their timely and accurate resolution.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Implemented effective legal strategies dealing with U.S. immigration, achieving 90% client satisfaction.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Assisted with civil litigation cases, resulting in 70% successful outcomes.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KPMG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- New York City, USAJuly 2012 - October 2014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Legal Research Assistant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Provided support in immigration law research, contributing to the successful resolution of 100+ cases.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Aided in employment-based immigration matters, efficiently handling documentation and process controls.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Developed legal content for client advisories, improving understanding and resolution of legal issues by 30%.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Resume Worded Institute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- Philadelphia, USAFebruary 2017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Certification in Immigration Law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Gain specialization in deportation, political asylum, and citizenship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Resume Worded University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- San Francisco, USAMay 2015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Masters of Law (Emphasis on Immigration Law)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Achieved merit-based scholarship due to outstanding academic performance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Legal Software: LexisNexis, Westlaw, Clio, PracticePanther, Case Management Software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Immigration Laws: Visa Applications, Deportation Defense, Political Asylum, Citizenship Applications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Legal Documentation: Meeting Notes, Legal Reports, Legal Research, Memos, Briefs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Languages: English (Native), Spanish (Fluent), French (Conversational)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Certifications: Certified Specialist in Immigration Law - State Bar Association (2019)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Publications: Published a journal article in 'International Journal of Immigration Studies' on changes in immigration policies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Leadership &amp; Volunteering: Pro Bono Immigration Counsel, Legal Aid Society (2017-present)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Continuing Education: Completed a course in 'Advanced Immigration Laws and Policies' from Columbia Law School - Online (2021)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