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8102E"/>
          <w:sz w:val="40"/>
          <w:szCs w:val="40"/>
        </w:rPr>
        <w:t xml:space="preserve">CONTEXT RELAY</w:t>
      </w:r>
    </w:p>
    <w:p>
      <w:pPr>
        <w:spacing w:after="200"/>
      </w:pPr>
      <w:r>
        <w:rPr>
          <w:i/>
          <w:iCs/>
          <w:color w:val="5B5B5B"/>
          <w:sz w:val="24"/>
          <w:szCs w:val="24"/>
        </w:rPr>
        <w:t xml:space="preserve">Hackathon Fit &amp; Outstanding-Project Action Plan</w:t>
      </w:r>
    </w:p>
    <w:p>
      <w:pPr>
        <w:spacing w:after="60"/>
      </w:pPr>
      <w:r>
        <w:rPr>
          <w:color w:val="5B5B5B"/>
          <w:sz w:val="18"/>
          <w:szCs w:val="18"/>
        </w:rPr>
        <w:t xml:space="preserve">AMD Developer Hackathon: ACT II  ·  lablab.ai</w:t>
      </w:r>
    </w:p>
    <w:p>
      <w:pPr>
        <w:spacing w:after="300"/>
      </w:pPr>
      <w:r>
        <w:rPr>
          <w:color w:val="5B5B5B"/>
          <w:sz w:val="18"/>
          <w:szCs w:val="18"/>
        </w:rPr>
        <w:t xml:space="preserve">Prepared for: Vivek  ·  Team submission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102E" w:sz="4"/>
              <w:left w:val="single" w:color="C8102E" w:sz="24"/>
              <w:bottom w:val="single" w:color="C8102E" w:sz="4"/>
              <w:right w:val="single" w:color="C8102E" w:sz="4"/>
            </w:tcBorders>
            <w:shd w:fill="FFF4E5" w:color="auto" w:val="clear"/>
            <w:tcMar>
              <w:top w:type="dxa" w:w="150"/>
              <w:left w:type="dxa" w:w="200"/>
              <w:bottom w:type="dxa" w:w="150"/>
              <w:right w:type="dxa" w:w="200"/>
            </w:tcMar>
          </w:tcPr>
          <w:p>
            <w:pPr>
              <w:spacing w:after="60"/>
            </w:pPr>
            <w:r>
              <w:rPr>
                <w:b/>
                <w:bCs/>
                <w:color w:val="C8102E"/>
                <w:sz w:val="21"/>
                <w:szCs w:val="21"/>
              </w:rPr>
              <w:t xml:space="preserve">TIME-SENSITIVE</w:t>
            </w:r>
          </w:p>
          <w:p>
            <w:pPr>
              <w:spacing w:after="0" w:line="280"/>
            </w:pPr>
            <w:r>
              <w:rPr>
                <w:color w:val="1A1A1A"/>
                <w:sz w:val="21"/>
                <w:szCs w:val="21"/>
              </w:rPr>
              <w:t xml:space="preserve">The hackathon's listed end date is July 11, 2026 — this has already passed as of writing. Check your team dashboard immediately for any grace period, late-submission window, or resubmission option before doing anything else in this document. If submissions are locked, prioritize section 4 (Pitch &amp; Demo Framing) since that's editable even after a code freeze in some formats.</w:t>
            </w:r>
          </w:p>
        </w:tc>
      </w:tr>
    </w:tbl>
    <w:p>
      <w:pPr>
        <w:pStyle w:val="Heading1"/>
        <w:pBdr>
          <w:bottom w:val="single" w:color="C8102E" w:sz="6" w:space="4"/>
        </w:pBdr>
        <w:spacing w:after="160" w:before="360"/>
      </w:pPr>
      <w:r>
        <w:rPr>
          <w:b/>
          <w:bCs/>
          <w:color w:val="1A1A1A"/>
          <w:sz w:val="30"/>
          <w:szCs w:val="30"/>
        </w:rPr>
        <w:t xml:space="preserve">1. Executive Summary</w:t>
      </w:r>
    </w:p>
    <w:p>
      <w:pPr>
        <w:spacing w:after="160" w:line="300"/>
      </w:pPr>
      <w:r>
        <w:rPr>
          <w:b w:val="false"/>
          <w:bCs w:val="false"/>
          <w:i w:val="false"/>
          <w:iCs w:val="false"/>
          <w:color w:val="1A1A1A"/>
          <w:sz w:val="21"/>
          <w:szCs w:val="21"/>
        </w:rPr>
        <w:t xml:space="preserve">Context Relay is a well-built product: the hybrid local/cache/cloud routing logic is genuinely good engineering, and the multi-platform content-script injection (ChatGPT, Claude, Gemini, Perplexity, Grok, Mistral) is a strong live-demo moment. The gap is not quality — it's fit. As submitted, the project does not touch AMD Developer Cloud or ROCm, and it is not agentic. Those two things are the explicit center of this hackathon's judging criteria. Everything below is organized by what closes that gap fastest, followed by feature additions that would make the project stand out even against entries that did start with AMD/agents in mind.</w:t>
      </w:r>
    </w:p>
    <w:p>
      <w:pPr>
        <w:pStyle w:val="Heading1"/>
        <w:pBdr>
          <w:bottom w:val="single" w:color="C8102E" w:sz="6" w:space="4"/>
        </w:pBdr>
        <w:spacing w:after="160" w:before="360"/>
      </w:pPr>
      <w:r>
        <w:rPr>
          <w:b/>
          <w:bCs/>
          <w:color w:val="1A1A1A"/>
          <w:sz w:val="30"/>
          <w:szCs w:val="30"/>
        </w:rPr>
        <w:t xml:space="preserve">2. Current State — Honest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c>
          <w:tcPr>
            <w:tcW w:type="dxa" w:w="2200"/>
            <w:shd w:fill="1A1A1A" w:color="auto" w:val="clear"/>
            <w:tcMar>
              <w:top w:type="dxa" w:w="100"/>
              <w:left w:type="dxa" w:w="100"/>
              <w:bottom w:type="dxa" w:w="100"/>
              <w:right w:type="dxa" w:w="100"/>
            </w:tcMar>
          </w:tcPr>
          <w:p>
            <w:r>
              <w:rPr>
                <w:b/>
                <w:bCs/>
                <w:color w:val="FFFFFF"/>
                <w:sz w:val="19"/>
                <w:szCs w:val="19"/>
              </w:rPr>
              <w:t xml:space="preserve">Area</w:t>
            </w:r>
          </w:p>
        </w:tc>
        <w:tc>
          <w:tcPr>
            <w:tcW w:type="dxa" w:w="1600"/>
            <w:shd w:fill="1A1A1A" w:color="auto" w:val="clear"/>
            <w:tcMar>
              <w:top w:type="dxa" w:w="100"/>
              <w:left w:type="dxa" w:w="100"/>
              <w:bottom w:type="dxa" w:w="100"/>
              <w:right w:type="dxa" w:w="100"/>
            </w:tcMar>
          </w:tcPr>
          <w:p>
            <w:r>
              <w:rPr>
                <w:b/>
                <w:bCs/>
                <w:color w:val="FFFFFF"/>
                <w:sz w:val="19"/>
                <w:szCs w:val="19"/>
              </w:rPr>
              <w:t xml:space="preserve">Status</w:t>
            </w:r>
          </w:p>
        </w:tc>
        <w:tc>
          <w:tcPr>
            <w:tcW w:type="dxa" w:w="5600"/>
            <w:shd w:fill="1A1A1A" w:color="auto" w:val="clear"/>
            <w:tcMar>
              <w:top w:type="dxa" w:w="100"/>
              <w:left w:type="dxa" w:w="100"/>
              <w:bottom w:type="dxa" w:w="100"/>
              <w:right w:type="dxa" w:w="100"/>
            </w:tcMar>
          </w:tcPr>
          <w:p>
            <w:r>
              <w:rPr>
                <w:b/>
                <w:bCs/>
                <w:color w:val="FFFFFF"/>
                <w:sz w:val="19"/>
                <w:szCs w:val="19"/>
              </w:rPr>
              <w:t xml:space="preserve">Notes</w:t>
            </w:r>
          </w:p>
        </w:tc>
      </w:tr>
      <w:tr>
        <w:tc>
          <w:tcPr>
            <w:tcW w:type="dxa" w:w="2200"/>
            <w:tcMar>
              <w:top w:type="dxa" w:w="100"/>
              <w:left w:type="dxa" w:w="100"/>
              <w:bottom w:type="dxa" w:w="100"/>
              <w:right w:type="dxa" w:w="100"/>
            </w:tcMar>
          </w:tcPr>
          <w:p>
            <w:r>
              <w:rPr>
                <w:b w:val="false"/>
                <w:bCs w:val="false"/>
                <w:color w:val="1A1A1A"/>
                <w:sz w:val="19"/>
                <w:szCs w:val="19"/>
              </w:rPr>
              <w:t xml:space="preserve">Hybrid routing (local/cache/cloud)</w:t>
            </w:r>
          </w:p>
        </w:tc>
        <w:tc>
          <w:tcPr>
            <w:tcW w:type="dxa" w:w="1600"/>
            <w:tcMar>
              <w:top w:type="dxa" w:w="100"/>
              <w:left w:type="dxa" w:w="100"/>
              <w:bottom w:type="dxa" w:w="100"/>
              <w:right w:type="dxa" w:w="100"/>
            </w:tcMar>
          </w:tcPr>
          <w:p>
            <w:r>
              <w:rPr>
                <w:b w:val="false"/>
                <w:bCs w:val="false"/>
                <w:color w:val="1A1A1A"/>
                <w:sz w:val="19"/>
                <w:szCs w:val="19"/>
              </w:rPr>
              <w:t xml:space="preserve">Strong</w:t>
            </w:r>
          </w:p>
        </w:tc>
        <w:tc>
          <w:tcPr>
            <w:tcW w:type="dxa" w:w="5600"/>
            <w:tcMar>
              <w:top w:type="dxa" w:w="100"/>
              <w:left w:type="dxa" w:w="100"/>
              <w:bottom w:type="dxa" w:w="100"/>
              <w:right w:type="dxa" w:w="100"/>
            </w:tcMar>
          </w:tcPr>
          <w:p>
            <w:r>
              <w:rPr>
                <w:b w:val="false"/>
                <w:bCs w:val="false"/>
                <w:color w:val="1A1A1A"/>
                <w:sz w:val="19"/>
                <w:szCs w:val="19"/>
              </w:rPr>
              <w:t xml:space="preserve">Real cost-saving logic; matches the hackathon's own "token-efficient routing" track theme. Keep and highlight this.</w:t>
            </w:r>
          </w:p>
        </w:tc>
      </w:tr>
      <w:tr>
        <w:tc>
          <w:tcPr>
            <w:tcW w:type="dxa" w:w="2200"/>
            <w:tcMar>
              <w:top w:type="dxa" w:w="100"/>
              <w:left w:type="dxa" w:w="100"/>
              <w:bottom w:type="dxa" w:w="100"/>
              <w:right w:type="dxa" w:w="100"/>
            </w:tcMar>
          </w:tcPr>
          <w:p>
            <w:r>
              <w:rPr>
                <w:b w:val="false"/>
                <w:bCs w:val="false"/>
                <w:color w:val="1A1A1A"/>
                <w:sz w:val="19"/>
                <w:szCs w:val="19"/>
              </w:rPr>
              <w:t xml:space="preserve">Multi-platform injection</w:t>
            </w:r>
          </w:p>
        </w:tc>
        <w:tc>
          <w:tcPr>
            <w:tcW w:type="dxa" w:w="1600"/>
            <w:tcMar>
              <w:top w:type="dxa" w:w="100"/>
              <w:left w:type="dxa" w:w="100"/>
              <w:bottom w:type="dxa" w:w="100"/>
              <w:right w:type="dxa" w:w="100"/>
            </w:tcMar>
          </w:tcPr>
          <w:p>
            <w:r>
              <w:rPr>
                <w:b w:val="false"/>
                <w:bCs w:val="false"/>
                <w:color w:val="1A1A1A"/>
                <w:sz w:val="19"/>
                <w:szCs w:val="19"/>
              </w:rPr>
              <w:t xml:space="preserve">Strong</w:t>
            </w:r>
          </w:p>
        </w:tc>
        <w:tc>
          <w:tcPr>
            <w:tcW w:type="dxa" w:w="5600"/>
            <w:tcMar>
              <w:top w:type="dxa" w:w="100"/>
              <w:left w:type="dxa" w:w="100"/>
              <w:bottom w:type="dxa" w:w="100"/>
              <w:right w:type="dxa" w:w="100"/>
            </w:tcMar>
          </w:tcPr>
          <w:p>
            <w:r>
              <w:rPr>
                <w:b w:val="false"/>
                <w:bCs w:val="false"/>
                <w:color w:val="1A1A1A"/>
                <w:sz w:val="19"/>
                <w:szCs w:val="19"/>
              </w:rPr>
              <w:t xml:space="preserve">Technically nontrivial, visually great for a demo video. Keep and highlight this.</w:t>
            </w:r>
          </w:p>
        </w:tc>
      </w:tr>
      <w:tr>
        <w:tc>
          <w:tcPr>
            <w:tcW w:type="dxa" w:w="2200"/>
            <w:tcMar>
              <w:top w:type="dxa" w:w="100"/>
              <w:left w:type="dxa" w:w="100"/>
              <w:bottom w:type="dxa" w:w="100"/>
              <w:right w:type="dxa" w:w="100"/>
            </w:tcMar>
          </w:tcPr>
          <w:p>
            <w:r>
              <w:rPr>
                <w:b w:val="false"/>
                <w:bCs w:val="false"/>
                <w:color w:val="1A1A1A"/>
                <w:sz w:val="19"/>
                <w:szCs w:val="19"/>
              </w:rPr>
              <w:t xml:space="preserve">AMD Developer Cloud / ROCm usage</w:t>
            </w:r>
          </w:p>
        </w:tc>
        <w:tc>
          <w:tcPr>
            <w:tcW w:type="dxa" w:w="1600"/>
            <w:tcMar>
              <w:top w:type="dxa" w:w="100"/>
              <w:left w:type="dxa" w:w="100"/>
              <w:bottom w:type="dxa" w:w="100"/>
              <w:right w:type="dxa" w:w="100"/>
            </w:tcMar>
          </w:tcPr>
          <w:p>
            <w:r>
              <w:rPr>
                <w:b w:val="false"/>
                <w:bCs w:val="false"/>
                <w:color w:val="1A1A1A"/>
                <w:sz w:val="19"/>
                <w:szCs w:val="19"/>
              </w:rPr>
              <w:t xml:space="preserve">Missing</w:t>
            </w:r>
          </w:p>
        </w:tc>
        <w:tc>
          <w:tcPr>
            <w:tcW w:type="dxa" w:w="5600"/>
            <w:tcMar>
              <w:top w:type="dxa" w:w="100"/>
              <w:left w:type="dxa" w:w="100"/>
              <w:bottom w:type="dxa" w:w="100"/>
              <w:right w:type="dxa" w:w="100"/>
            </w:tcMar>
          </w:tcPr>
          <w:p>
            <w:r>
              <w:rPr>
                <w:b w:val="false"/>
                <w:bCs w:val="false"/>
                <w:color w:val="1A1A1A"/>
                <w:sz w:val="19"/>
                <w:szCs w:val="19"/>
              </w:rPr>
              <w:t xml:space="preserve">Backend runs on Render + Fireworks AI only. This is the single biggest scoring risk.</w:t>
            </w:r>
          </w:p>
        </w:tc>
      </w:tr>
      <w:tr>
        <w:tc>
          <w:tcPr>
            <w:tcW w:type="dxa" w:w="2200"/>
            <w:tcMar>
              <w:top w:type="dxa" w:w="100"/>
              <w:left w:type="dxa" w:w="100"/>
              <w:bottom w:type="dxa" w:w="100"/>
              <w:right w:type="dxa" w:w="100"/>
            </w:tcMar>
          </w:tcPr>
          <w:p>
            <w:r>
              <w:rPr>
                <w:b w:val="false"/>
                <w:bCs w:val="false"/>
                <w:color w:val="1A1A1A"/>
                <w:sz w:val="19"/>
                <w:szCs w:val="19"/>
              </w:rPr>
              <w:t xml:space="preserve">Agentic behavior</w:t>
            </w:r>
          </w:p>
        </w:tc>
        <w:tc>
          <w:tcPr>
            <w:tcW w:type="dxa" w:w="1600"/>
            <w:tcMar>
              <w:top w:type="dxa" w:w="100"/>
              <w:left w:type="dxa" w:w="100"/>
              <w:bottom w:type="dxa" w:w="100"/>
              <w:right w:type="dxa" w:w="100"/>
            </w:tcMar>
          </w:tcPr>
          <w:p>
            <w:r>
              <w:rPr>
                <w:b w:val="false"/>
                <w:bCs w:val="false"/>
                <w:color w:val="1A1A1A"/>
                <w:sz w:val="19"/>
                <w:szCs w:val="19"/>
              </w:rPr>
              <w:t xml:space="preserve">Missing</w:t>
            </w:r>
          </w:p>
        </w:tc>
        <w:tc>
          <w:tcPr>
            <w:tcW w:type="dxa" w:w="5600"/>
            <w:tcMar>
              <w:top w:type="dxa" w:w="100"/>
              <w:left w:type="dxa" w:w="100"/>
              <w:bottom w:type="dxa" w:w="100"/>
              <w:right w:type="dxa" w:w="100"/>
            </w:tcMar>
          </w:tcPr>
          <w:p>
            <w:r>
              <w:rPr>
                <w:b w:val="false"/>
                <w:bCs w:val="false"/>
                <w:color w:val="1A1A1A"/>
                <w:sz w:val="19"/>
                <w:szCs w:val="19"/>
              </w:rPr>
              <w:t xml:space="preserve">Primer generation is one-shot summarization, not a multi-step agent loop. Hackathon explicitly asks for agentic systems.</w:t>
            </w:r>
          </w:p>
        </w:tc>
      </w:tr>
      <w:tr>
        <w:tc>
          <w:tcPr>
            <w:tcW w:type="dxa" w:w="2200"/>
            <w:tcMar>
              <w:top w:type="dxa" w:w="100"/>
              <w:left w:type="dxa" w:w="100"/>
              <w:bottom w:type="dxa" w:w="100"/>
              <w:right w:type="dxa" w:w="100"/>
            </w:tcMar>
          </w:tcPr>
          <w:p>
            <w:r>
              <w:rPr>
                <w:b w:val="false"/>
                <w:bCs w:val="false"/>
                <w:color w:val="1A1A1A"/>
                <w:sz w:val="19"/>
                <w:szCs w:val="19"/>
              </w:rPr>
              <w:t xml:space="preserve">Gemma usage</w:t>
            </w:r>
          </w:p>
        </w:tc>
        <w:tc>
          <w:tcPr>
            <w:tcW w:type="dxa" w:w="1600"/>
            <w:tcMar>
              <w:top w:type="dxa" w:w="100"/>
              <w:left w:type="dxa" w:w="100"/>
              <w:bottom w:type="dxa" w:w="100"/>
              <w:right w:type="dxa" w:w="100"/>
            </w:tcMar>
          </w:tcPr>
          <w:p>
            <w:r>
              <w:rPr>
                <w:b w:val="false"/>
                <w:bCs w:val="false"/>
                <w:color w:val="1A1A1A"/>
                <w:sz w:val="19"/>
                <w:szCs w:val="19"/>
              </w:rPr>
              <w:t xml:space="preserve">Missing</w:t>
            </w:r>
          </w:p>
        </w:tc>
        <w:tc>
          <w:tcPr>
            <w:tcW w:type="dxa" w:w="5600"/>
            <w:tcMar>
              <w:top w:type="dxa" w:w="100"/>
              <w:left w:type="dxa" w:w="100"/>
              <w:bottom w:type="dxa" w:w="100"/>
              <w:right w:type="dxa" w:w="100"/>
            </w:tcMar>
          </w:tcPr>
          <w:p>
            <w:r>
              <w:rPr>
                <w:b w:val="false"/>
                <w:bCs w:val="false"/>
                <w:color w:val="1A1A1A"/>
                <w:sz w:val="19"/>
                <w:szCs w:val="19"/>
              </w:rPr>
              <w:t xml:space="preserve">A named side-bounty ("Best Use of Gemma Models") is achievable with low effort via Fireworks.</w:t>
            </w:r>
          </w:p>
        </w:tc>
      </w:tr>
      <w:tr>
        <w:tc>
          <w:tcPr>
            <w:tcW w:type="dxa" w:w="2200"/>
            <w:tcMar>
              <w:top w:type="dxa" w:w="100"/>
              <w:left w:type="dxa" w:w="100"/>
              <w:bottom w:type="dxa" w:w="100"/>
              <w:right w:type="dxa" w:w="100"/>
            </w:tcMar>
          </w:tcPr>
          <w:p>
            <w:r>
              <w:rPr>
                <w:b w:val="false"/>
                <w:bCs w:val="false"/>
                <w:color w:val="1A1A1A"/>
                <w:sz w:val="19"/>
                <w:szCs w:val="19"/>
              </w:rPr>
              <w:t xml:space="preserve">Product polish</w:t>
            </w:r>
          </w:p>
        </w:tc>
        <w:tc>
          <w:tcPr>
            <w:tcW w:type="dxa" w:w="1600"/>
            <w:tcMar>
              <w:top w:type="dxa" w:w="100"/>
              <w:left w:type="dxa" w:w="100"/>
              <w:bottom w:type="dxa" w:w="100"/>
              <w:right w:type="dxa" w:w="100"/>
            </w:tcMar>
          </w:tcPr>
          <w:p>
            <w:r>
              <w:rPr>
                <w:b w:val="false"/>
                <w:bCs w:val="false"/>
                <w:color w:val="1A1A1A"/>
                <w:sz w:val="19"/>
                <w:szCs w:val="19"/>
              </w:rPr>
              <w:t xml:space="preserve">Strong</w:t>
            </w:r>
          </w:p>
        </w:tc>
        <w:tc>
          <w:tcPr>
            <w:tcW w:type="dxa" w:w="5600"/>
            <w:tcMar>
              <w:top w:type="dxa" w:w="100"/>
              <w:left w:type="dxa" w:w="100"/>
              <w:bottom w:type="dxa" w:w="100"/>
              <w:right w:type="dxa" w:w="100"/>
            </w:tcMar>
          </w:tcPr>
          <w:p>
            <w:r>
              <w:rPr>
                <w:b w:val="false"/>
                <w:bCs w:val="false"/>
                <w:color w:val="1A1A1A"/>
                <w:sz w:val="19"/>
                <w:szCs w:val="19"/>
              </w:rPr>
              <w:t xml:space="preserve">Clean architecture (popup/sidepanel/background/content-scripts) reads as a real product, not a weekend hack.</w:t>
            </w:r>
          </w:p>
        </w:tc>
      </w:tr>
    </w:tbl>
    <w:p>
      <w:pPr>
        <w:pStyle w:val="Heading1"/>
        <w:pBdr>
          <w:bottom w:val="single" w:color="C8102E" w:sz="6" w:space="4"/>
        </w:pBdr>
        <w:spacing w:after="160" w:before="360"/>
      </w:pPr>
      <w:r>
        <w:rPr>
          <w:b/>
          <w:bCs/>
          <w:color w:val="1A1A1A"/>
          <w:sz w:val="30"/>
          <w:szCs w:val="30"/>
        </w:rPr>
        <w:t xml:space="preserve">3. Priority Fixes — Do These First</w:t>
      </w:r>
    </w:p>
    <w:p>
      <w:pPr>
        <w:spacing w:after="160" w:line="300"/>
      </w:pPr>
      <w:r>
        <w:rPr>
          <w:b w:val="false"/>
          <w:bCs w:val="false"/>
          <w:i w:val="false"/>
          <w:iCs w:val="false"/>
          <w:color w:val="1A1A1A"/>
          <w:sz w:val="21"/>
          <w:szCs w:val="21"/>
        </w:rPr>
        <w:t xml:space="preserve">Ranked by judging-impact per hour of work. If time is extremely short, do only 3.1 and 3.3 — they are the cheapest and most directly tied to explicit judging criteria.</w:t>
      </w:r>
    </w:p>
    <w:p>
      <w:pPr>
        <w:pStyle w:val="Heading2"/>
        <w:spacing w:after="120" w:before="280"/>
      </w:pPr>
      <w:r>
        <w:rPr>
          <w:b/>
          <w:bCs/>
          <w:color w:val="C8102E"/>
          <w:sz w:val="24"/>
          <w:szCs w:val="24"/>
        </w:rPr>
        <w:t xml:space="preserve">3.1 Put real inference on AMD Developer Cloud / ROCm</w:t>
      </w:r>
    </w:p>
    <w:p>
      <w:pPr>
        <w:spacing w:after="160" w:line="300"/>
      </w:pPr>
      <w:r>
        <w:rPr>
          <w:b w:val="false"/>
          <w:bCs w:val="false"/>
          <w:i w:val="false"/>
          <w:iCs w:val="false"/>
          <w:color w:val="1A1A1A"/>
          <w:sz w:val="21"/>
          <w:szCs w:val="21"/>
        </w:rPr>
        <w:t xml:space="preserve">This is non-negotiable for an AMD hackathon. It doesn't need to replace Fireworks entirely — even one pipeline stage running on AMD infra is enough to legitimately claim it.</w:t>
      </w:r>
    </w:p>
    <w:p>
      <w:pPr>
        <w:pStyle w:val="ListParagraph"/>
        <w:numPr>
          <w:ilvl w:val="0"/>
          <w:numId w:val="2"/>
        </w:numPr>
        <w:spacing w:after="80" w:line="280"/>
      </w:pPr>
      <w:r>
        <w:rPr>
          <w:b/>
          <w:bCs/>
          <w:color w:val="1A1A1A"/>
          <w:sz w:val="21"/>
          <w:szCs w:val="21"/>
        </w:rPr>
        <w:t xml:space="preserve">Fastest path — </w:t>
      </w:r>
      <w:r>
        <w:rPr>
          <w:color w:val="1A1A1A"/>
          <w:sz w:val="21"/>
          <w:szCs w:val="21"/>
        </w:rPr>
        <w:t xml:space="preserve">Move the embedding step of your planned RAG feature (section 5.2) onto an AMD Developer Cloud GPU pod, since embeddings are cheap to self-host and don't require fine-tuning.</w:t>
      </w:r>
    </w:p>
    <w:p>
      <w:pPr>
        <w:pStyle w:val="ListParagraph"/>
        <w:numPr>
          <w:ilvl w:val="0"/>
          <w:numId w:val="2"/>
        </w:numPr>
        <w:spacing w:after="80" w:line="280"/>
      </w:pPr>
      <w:r>
        <w:rPr>
          <w:b/>
          <w:bCs/>
          <w:color w:val="1A1A1A"/>
          <w:sz w:val="21"/>
          <w:szCs w:val="21"/>
        </w:rPr>
        <w:t xml:space="preserve">Stronger path — </w:t>
      </w:r>
      <w:r>
        <w:rPr>
          <w:color w:val="1A1A1A"/>
          <w:sz w:val="21"/>
          <w:szCs w:val="21"/>
        </w:rPr>
        <w:t xml:space="preserve">Self-host a small open model (Llama or Qwen, per the hackathon's suggested stack) on ROCm for the "local, lightweight" tier of your routing logic, replacing the current rule-based formatter with an actual small-model call running on AMD hardware.</w:t>
      </w:r>
    </w:p>
    <w:p>
      <w:pPr>
        <w:pStyle w:val="ListParagraph"/>
        <w:numPr>
          <w:ilvl w:val="0"/>
          <w:numId w:val="2"/>
        </w:numPr>
        <w:spacing w:after="80" w:line="280"/>
      </w:pPr>
      <w:r>
        <w:rPr>
          <w:b/>
          <w:bCs/>
          <w:color w:val="1A1A1A"/>
          <w:sz w:val="21"/>
          <w:szCs w:val="21"/>
        </w:rPr>
        <w:t xml:space="preserve">State it explicitly — </w:t>
      </w:r>
      <w:r>
        <w:rPr>
          <w:color w:val="1A1A1A"/>
          <w:sz w:val="21"/>
          <w:szCs w:val="21"/>
        </w:rPr>
        <w:t xml:space="preserve">In your submission description and demo narration, name the exact AMD product used (e.g. "MI300X pod via AMD Developer Cloud") — judges skim, so make this unmissable rather than implied.</w:t>
      </w:r>
    </w:p>
    <w:p>
      <w:pPr>
        <w:pStyle w:val="Heading2"/>
        <w:spacing w:after="120" w:before="280"/>
      </w:pPr>
      <w:r>
        <w:rPr>
          <w:b/>
          <w:bCs/>
          <w:color w:val="C8102E"/>
          <w:sz w:val="24"/>
          <w:szCs w:val="24"/>
        </w:rPr>
        <w:t xml:space="preserve">3.2 Convert primer generation into a visible multi-step agent</w:t>
      </w:r>
    </w:p>
    <w:p>
      <w:pPr>
        <w:spacing w:after="160" w:line="300"/>
      </w:pPr>
      <w:r>
        <w:rPr>
          <w:b w:val="false"/>
          <w:bCs w:val="false"/>
          <w:i w:val="false"/>
          <w:iCs w:val="false"/>
          <w:color w:val="1A1A1A"/>
          <w:sz w:val="21"/>
          <w:szCs w:val="21"/>
        </w:rPr>
        <w:t xml:space="preserve">Your roadmap already includes RAG/embeddings — reframe that work as an agent pipeline rather than a single summarization call, since "agentic systems" is the hackathon's stated objective, not a nice-to-have.</w:t>
      </w:r>
    </w:p>
    <w:p>
      <w:pPr>
        <w:pStyle w:val="ListParagraph"/>
        <w:numPr>
          <w:ilvl w:val="0"/>
          <w:numId w:val="2"/>
        </w:numPr>
        <w:spacing w:after="80" w:line="280"/>
      </w:pPr>
      <w:r>
        <w:rPr>
          <w:color w:val="1A1A1A"/>
          <w:sz w:val="21"/>
          <w:szCs w:val="21"/>
        </w:rPr>
        <w:t xml:space="preserve">Step 1 — Retrieve: pull relevant context chunks via local embeddings (Transformers.js or AMD-hosted embedding model).</w:t>
      </w:r>
    </w:p>
    <w:p>
      <w:pPr>
        <w:pStyle w:val="ListParagraph"/>
        <w:numPr>
          <w:ilvl w:val="0"/>
          <w:numId w:val="2"/>
        </w:numPr>
        <w:spacing w:after="80" w:line="280"/>
      </w:pPr>
      <w:r>
        <w:rPr>
          <w:color w:val="1A1A1A"/>
          <w:sz w:val="21"/>
          <w:szCs w:val="21"/>
        </w:rPr>
        <w:t xml:space="preserve">Step 2 — Plan: a lightweight routing/planning call decides which sections of context matter for the user's current AI platform and task.</w:t>
      </w:r>
    </w:p>
    <w:p>
      <w:pPr>
        <w:pStyle w:val="ListParagraph"/>
        <w:numPr>
          <w:ilvl w:val="0"/>
          <w:numId w:val="2"/>
        </w:numPr>
        <w:spacing w:after="80" w:line="280"/>
      </w:pPr>
      <w:r>
        <w:rPr>
          <w:color w:val="1A1A1A"/>
          <w:sz w:val="21"/>
          <w:szCs w:val="21"/>
        </w:rPr>
        <w:t xml:space="preserve">Step 3 — Synthesize: the cloud/local LLM generates the primer from only the retrieved, ranked context.</w:t>
      </w:r>
    </w:p>
    <w:p>
      <w:pPr>
        <w:pStyle w:val="ListParagraph"/>
        <w:numPr>
          <w:ilvl w:val="0"/>
          <w:numId w:val="2"/>
        </w:numPr>
        <w:spacing w:after="80" w:line="280"/>
      </w:pPr>
      <w:r>
        <w:rPr>
          <w:color w:val="1A1A1A"/>
          <w:sz w:val="21"/>
          <w:szCs w:val="21"/>
        </w:rPr>
        <w:t xml:space="preserve">Step 4 — Verify (optional but impressive): a second small model call checks the primer against the original context for omissions before returning it.</w:t>
      </w:r>
    </w:p>
    <w:p>
      <w:pPr>
        <w:spacing w:after="160" w:line="300"/>
      </w:pPr>
      <w:r>
        <w:rPr>
          <w:b w:val="false"/>
          <w:bCs w:val="false"/>
          <w:i w:val="false"/>
          <w:iCs w:val="false"/>
          <w:color w:val="1A1A1A"/>
          <w:sz w:val="21"/>
          <w:szCs w:val="21"/>
        </w:rPr>
        <w:t xml:space="preserve">Even without full RAG, just splitting the current single call into "plan → generate → verify" and showing each step's output in the UI reads as agentic behavior to a judge watching a demo.</w:t>
      </w:r>
    </w:p>
    <w:p>
      <w:pPr>
        <w:pStyle w:val="Heading2"/>
        <w:spacing w:after="120" w:before="280"/>
      </w:pPr>
      <w:r>
        <w:rPr>
          <w:b/>
          <w:bCs/>
          <w:color w:val="C8102E"/>
          <w:sz w:val="24"/>
          <w:szCs w:val="24"/>
        </w:rPr>
        <w:t xml:space="preserve">3.3 Claim the Gemma bounty</w:t>
      </w:r>
    </w:p>
    <w:p>
      <w:pPr>
        <w:spacing w:after="160" w:line="300"/>
      </w:pPr>
      <w:r>
        <w:rPr>
          <w:b w:val="false"/>
          <w:bCs w:val="false"/>
          <w:i w:val="false"/>
          <w:iCs w:val="false"/>
          <w:color w:val="1A1A1A"/>
          <w:sz w:val="21"/>
          <w:szCs w:val="21"/>
        </w:rPr>
        <w:t xml:space="preserve">Fireworks AI already serves Gemma models. Add a model-selector (or simply default the "local/fast" tier) to a Gemma model instead of gpt-oss-120b. This is close to a config change and opens a separate prize category.</w:t>
      </w:r>
    </w:p>
    <w:p>
      <w:pPr>
        <w:pStyle w:val="Heading1"/>
        <w:pBdr>
          <w:bottom w:val="single" w:color="C8102E" w:sz="6" w:space="4"/>
        </w:pBdr>
        <w:spacing w:after="160" w:before="360"/>
      </w:pPr>
      <w:r>
        <w:rPr>
          <w:b/>
          <w:bCs/>
          <w:color w:val="1A1A1A"/>
          <w:sz w:val="30"/>
          <w:szCs w:val="30"/>
        </w:rPr>
        <w:t xml:space="preserve">4. Pitch &amp; Demo Framing</w:t>
      </w:r>
    </w:p>
    <w:p>
      <w:pPr>
        <w:spacing w:after="160" w:line="300"/>
      </w:pPr>
      <w:r>
        <w:rPr>
          <w:b w:val="false"/>
          <w:bCs w:val="false"/>
          <w:i w:val="false"/>
          <w:iCs w:val="false"/>
          <w:color w:val="1A1A1A"/>
          <w:sz w:val="21"/>
          <w:szCs w:val="21"/>
        </w:rPr>
        <w:t xml:space="preserve">Regardless of code changes, how you present the project matters heavily in hackathon judging. Update your submission text and demo video script to lead with the following, in this order:</w:t>
      </w:r>
    </w:p>
    <w:p>
      <w:pPr>
        <w:pStyle w:val="ListParagraph"/>
        <w:numPr>
          <w:ilvl w:val="0"/>
          <w:numId w:val="2"/>
        </w:numPr>
        <w:spacing w:after="80" w:line="280"/>
      </w:pPr>
      <w:r>
        <w:rPr>
          <w:color w:val="1A1A1A"/>
          <w:sz w:val="21"/>
          <w:szCs w:val="21"/>
        </w:rPr>
        <w:t xml:space="preserve">1. The problem: context loss when juggling multiple AI chat tools across a project.</w:t>
      </w:r>
    </w:p>
    <w:p>
      <w:pPr>
        <w:pStyle w:val="ListParagraph"/>
        <w:numPr>
          <w:ilvl w:val="0"/>
          <w:numId w:val="2"/>
        </w:numPr>
        <w:spacing w:after="80" w:line="280"/>
      </w:pPr>
      <w:r>
        <w:rPr>
          <w:b/>
          <w:bCs/>
          <w:color w:val="1A1A1A"/>
          <w:sz w:val="21"/>
          <w:szCs w:val="21"/>
        </w:rPr>
        <w:t xml:space="preserve">2. The AMD story — </w:t>
      </w:r>
      <w:r>
        <w:rPr>
          <w:color w:val="1A1A1A"/>
          <w:sz w:val="21"/>
          <w:szCs w:val="21"/>
        </w:rPr>
        <w:t xml:space="preserve">name AMD Developer Cloud / ROCm and the specific pipeline stage running on it, in the first 15 seconds of the demo video.</w:t>
      </w:r>
    </w:p>
    <w:p>
      <w:pPr>
        <w:pStyle w:val="ListParagraph"/>
        <w:numPr>
          <w:ilvl w:val="0"/>
          <w:numId w:val="2"/>
        </w:numPr>
        <w:spacing w:after="80" w:line="280"/>
      </w:pPr>
      <w:r>
        <w:rPr>
          <w:color w:val="1A1A1A"/>
          <w:sz w:val="21"/>
          <w:szCs w:val="21"/>
        </w:rPr>
        <w:t xml:space="preserve">3. The agent pipeline: show the retrieve → plan → synthesize steps on screen, not just a spinner.</w:t>
      </w:r>
    </w:p>
    <w:p>
      <w:pPr>
        <w:pStyle w:val="ListParagraph"/>
        <w:numPr>
          <w:ilvl w:val="0"/>
          <w:numId w:val="2"/>
        </w:numPr>
        <w:spacing w:after="80" w:line="280"/>
      </w:pPr>
      <w:r>
        <w:rPr>
          <w:color w:val="1A1A1A"/>
          <w:sz w:val="21"/>
          <w:szCs w:val="21"/>
        </w:rPr>
        <w:t xml:space="preserve">4. The multi-platform payoff: the moment where one primer flows into 3+ different AI chat UIs live — this is your best visual asset, use it as the demo's climax, not an afterthought.</w:t>
      </w:r>
    </w:p>
    <w:p>
      <w:pPr>
        <w:pStyle w:val="ListParagraph"/>
        <w:numPr>
          <w:ilvl w:val="0"/>
          <w:numId w:val="2"/>
        </w:numPr>
        <w:spacing w:after="80" w:line="280"/>
      </w:pPr>
      <w:r>
        <w:rPr>
          <w:color w:val="1A1A1A"/>
          <w:sz w:val="21"/>
          <w:szCs w:val="21"/>
        </w:rPr>
        <w:t xml:space="preserve">5. Token-efficiency numbers: if you can show even rough before/after cost or latency numbers from your hybrid routing, include them — judges on the token-efficiency track respond well to a concrete metric over a claim.</w:t>
      </w:r>
    </w:p>
    <w:p>
      <w:pPr>
        <w:pStyle w:val="Heading1"/>
        <w:pBdr>
          <w:bottom w:val="single" w:color="C8102E" w:sz="6" w:space="4"/>
        </w:pBdr>
        <w:spacing w:after="160" w:before="360"/>
      </w:pPr>
      <w:r>
        <w:rPr>
          <w:b/>
          <w:bCs/>
          <w:color w:val="1A1A1A"/>
          <w:sz w:val="30"/>
          <w:szCs w:val="30"/>
        </w:rPr>
        <w:t xml:space="preserve">5. Features to Add for an Outstanding (Not Just Compliant) Project</w:t>
      </w:r>
    </w:p>
    <w:p>
      <w:pPr>
        <w:spacing w:after="160" w:line="300"/>
      </w:pPr>
      <w:r>
        <w:rPr>
          <w:b w:val="false"/>
          <w:bCs w:val="false"/>
          <w:i w:val="false"/>
          <w:iCs w:val="false"/>
          <w:color w:val="1A1A1A"/>
          <w:sz w:val="21"/>
          <w:szCs w:val="21"/>
        </w:rPr>
        <w:t xml:space="preserve">These go beyond "fits the theme" into "memorable entry." Ordered by impact-to-effort ratio.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300"/>
        <w:gridCol w:w="1300"/>
      </w:tblGrid>
      <w:tr>
        <w:tc>
          <w:tcPr>
            <w:tcW w:type="dxa" w:w="2600"/>
            <w:shd w:fill="C8102E" w:color="auto" w:val="clear"/>
            <w:tcMar>
              <w:top w:type="dxa" w:w="100"/>
              <w:left w:type="dxa" w:w="100"/>
              <w:bottom w:type="dxa" w:w="100"/>
              <w:right w:type="dxa" w:w="100"/>
            </w:tcMar>
          </w:tcPr>
          <w:p>
            <w:r>
              <w:rPr>
                <w:b/>
                <w:bCs/>
                <w:color w:val="FFFFFF"/>
                <w:sz w:val="19"/>
                <w:szCs w:val="19"/>
              </w:rPr>
              <w:t xml:space="preserve">Feature / Fix</w:t>
            </w:r>
          </w:p>
        </w:tc>
        <w:tc>
          <w:tcPr>
            <w:tcW w:type="dxa" w:w="4200"/>
            <w:shd w:fill="C8102E" w:color="auto" w:val="clear"/>
            <w:tcMar>
              <w:top w:type="dxa" w:w="100"/>
              <w:left w:type="dxa" w:w="100"/>
              <w:bottom w:type="dxa" w:w="100"/>
              <w:right w:type="dxa" w:w="100"/>
            </w:tcMar>
          </w:tcPr>
          <w:p>
            <w:r>
              <w:rPr>
                <w:b/>
                <w:bCs/>
                <w:color w:val="FFFFFF"/>
                <w:sz w:val="19"/>
                <w:szCs w:val="19"/>
              </w:rPr>
              <w:t xml:space="preserve">Why it matters for judging</w:t>
            </w:r>
          </w:p>
        </w:tc>
        <w:tc>
          <w:tcPr>
            <w:tcW w:type="dxa" w:w="1300"/>
            <w:shd w:fill="C8102E" w:color="auto" w:val="clear"/>
            <w:tcMar>
              <w:top w:type="dxa" w:w="100"/>
              <w:left w:type="dxa" w:w="100"/>
              <w:bottom w:type="dxa" w:w="100"/>
              <w:right w:type="dxa" w:w="100"/>
            </w:tcMar>
          </w:tcPr>
          <w:p>
            <w:r>
              <w:rPr>
                <w:b/>
                <w:bCs/>
                <w:color w:val="FFFFFF"/>
                <w:sz w:val="19"/>
                <w:szCs w:val="19"/>
              </w:rPr>
              <w:t xml:space="preserve">Effort</w:t>
            </w:r>
          </w:p>
        </w:tc>
        <w:tc>
          <w:tcPr>
            <w:tcW w:type="dxa" w:w="1300"/>
            <w:shd w:fill="C8102E" w:color="auto" w:val="clear"/>
            <w:tcMar>
              <w:top w:type="dxa" w:w="100"/>
              <w:left w:type="dxa" w:w="100"/>
              <w:bottom w:type="dxa" w:w="100"/>
              <w:right w:type="dxa" w:w="100"/>
            </w:tcMar>
          </w:tcPr>
          <w:p>
            <w:r>
              <w:rPr>
                <w:b/>
                <w:bCs/>
                <w:color w:val="FFFFFF"/>
                <w:sz w:val="19"/>
                <w:szCs w:val="19"/>
              </w:rPr>
              <w:t xml:space="preserve">Impact</w:t>
            </w:r>
          </w:p>
        </w:tc>
      </w:tr>
      <w:tr>
        <w:tc>
          <w:tcPr>
            <w:tcW w:type="dxa" w:w="2600"/>
            <w:tcMar>
              <w:top w:type="dxa" w:w="100"/>
              <w:left w:type="dxa" w:w="100"/>
              <w:bottom w:type="dxa" w:w="100"/>
              <w:right w:type="dxa" w:w="100"/>
            </w:tcMar>
          </w:tcPr>
          <w:p>
            <w:r>
              <w:rPr>
                <w:b w:val="false"/>
                <w:bCs w:val="false"/>
                <w:color w:val="1A1A1A"/>
                <w:sz w:val="19"/>
                <w:szCs w:val="19"/>
              </w:rPr>
              <w:t xml:space="preserve">Auto-Scrape from Page</w:t>
            </w:r>
          </w:p>
        </w:tc>
        <w:tc>
          <w:tcPr>
            <w:tcW w:type="dxa" w:w="4200"/>
            <w:tcMar>
              <w:top w:type="dxa" w:w="100"/>
              <w:left w:type="dxa" w:w="100"/>
              <w:bottom w:type="dxa" w:w="100"/>
              <w:right w:type="dxa" w:w="100"/>
            </w:tcMar>
          </w:tcPr>
          <w:p>
            <w:r>
              <w:rPr>
                <w:b w:val="false"/>
                <w:bCs w:val="false"/>
                <w:color w:val="1A1A1A"/>
                <w:sz w:val="19"/>
                <w:szCs w:val="19"/>
              </w:rPr>
              <w:t xml:space="preserve">Already on your roadmap — promote it to done. One-click "read this page into my project" is the single most demo-friendly feature you could ship; judges love watching something happen live on a real webpage.</w:t>
            </w:r>
          </w:p>
        </w:tc>
        <w:tc>
          <w:tcPr>
            <w:tcW w:type="dxa" w:w="1300"/>
            <w:tcMar>
              <w:top w:type="dxa" w:w="100"/>
              <w:left w:type="dxa" w:w="100"/>
              <w:bottom w:type="dxa" w:w="100"/>
              <w:right w:type="dxa" w:w="100"/>
            </w:tcMar>
          </w:tcPr>
          <w:p>
            <w:r>
              <w:rPr>
                <w:b w:val="false"/>
                <w:bCs w:val="false"/>
                <w:color w:val="1A1A1A"/>
                <w:sz w:val="19"/>
                <w:szCs w:val="19"/>
              </w:rPr>
              <w:t xml:space="preserve">Medium</w:t>
            </w:r>
          </w:p>
        </w:tc>
        <w:tc>
          <w:tcPr>
            <w:tcW w:type="dxa" w:w="1300"/>
            <w:tcMar>
              <w:top w:type="dxa" w:w="100"/>
              <w:left w:type="dxa" w:w="100"/>
              <w:bottom w:type="dxa" w:w="100"/>
              <w:right w:type="dxa" w:w="100"/>
            </w:tcMar>
          </w:tcPr>
          <w:p>
            <w:r>
              <w:rPr>
                <w:b w:val="false"/>
                <w:bCs w:val="false"/>
                <w:color w:val="1A1A1A"/>
                <w:sz w:val="19"/>
                <w:szCs w:val="19"/>
              </w:rPr>
              <w:t xml:space="preserve">Very High</w:t>
            </w:r>
          </w:p>
        </w:tc>
      </w:tr>
      <w:tr>
        <w:tc>
          <w:tcPr>
            <w:tcW w:type="dxa" w:w="2600"/>
            <w:tcMar>
              <w:top w:type="dxa" w:w="100"/>
              <w:left w:type="dxa" w:w="100"/>
              <w:bottom w:type="dxa" w:w="100"/>
              <w:right w:type="dxa" w:w="100"/>
            </w:tcMar>
          </w:tcPr>
          <w:p>
            <w:r>
              <w:rPr>
                <w:b w:val="false"/>
                <w:bCs w:val="false"/>
                <w:color w:val="1A1A1A"/>
                <w:sz w:val="19"/>
                <w:szCs w:val="19"/>
              </w:rPr>
              <w:t xml:space="preserve">Visible agent trace in the UI</w:t>
            </w:r>
          </w:p>
        </w:tc>
        <w:tc>
          <w:tcPr>
            <w:tcW w:type="dxa" w:w="4200"/>
            <w:tcMar>
              <w:top w:type="dxa" w:w="100"/>
              <w:left w:type="dxa" w:w="100"/>
              <w:bottom w:type="dxa" w:w="100"/>
              <w:right w:type="dxa" w:w="100"/>
            </w:tcMar>
          </w:tcPr>
          <w:p>
            <w:r>
              <w:rPr>
                <w:b w:val="false"/>
                <w:bCs w:val="false"/>
                <w:color w:val="1A1A1A"/>
                <w:sz w:val="19"/>
                <w:szCs w:val="19"/>
              </w:rPr>
              <w:t xml:space="preserve">Show retrieve/plan/synthesize/verify as a small live checklist while the primer generates (à la a mini agent-of-thought view). Makes the agentic architecture legible to a judge in 10 seconds instead of requiring them to read code.</w:t>
            </w:r>
          </w:p>
        </w:tc>
        <w:tc>
          <w:tcPr>
            <w:tcW w:type="dxa" w:w="1300"/>
            <w:tcMar>
              <w:top w:type="dxa" w:w="100"/>
              <w:left w:type="dxa" w:w="100"/>
              <w:bottom w:type="dxa" w:w="100"/>
              <w:right w:type="dxa" w:w="100"/>
            </w:tcMar>
          </w:tcPr>
          <w:p>
            <w:r>
              <w:rPr>
                <w:b w:val="false"/>
                <w:bCs w:val="false"/>
                <w:color w:val="1A1A1A"/>
                <w:sz w:val="19"/>
                <w:szCs w:val="19"/>
              </w:rPr>
              <w:t xml:space="preserve">Low</w:t>
            </w:r>
          </w:p>
        </w:tc>
        <w:tc>
          <w:tcPr>
            <w:tcW w:type="dxa" w:w="1300"/>
            <w:tcMar>
              <w:top w:type="dxa" w:w="100"/>
              <w:left w:type="dxa" w:w="100"/>
              <w:bottom w:type="dxa" w:w="100"/>
              <w:right w:type="dxa" w:w="100"/>
            </w:tcMar>
          </w:tcPr>
          <w:p>
            <w:r>
              <w:rPr>
                <w:b w:val="false"/>
                <w:bCs w:val="false"/>
                <w:color w:val="1A1A1A"/>
                <w:sz w:val="19"/>
                <w:szCs w:val="19"/>
              </w:rPr>
              <w:t xml:space="preserve">High</w:t>
            </w:r>
          </w:p>
        </w:tc>
      </w:tr>
      <w:tr>
        <w:tc>
          <w:tcPr>
            <w:tcW w:type="dxa" w:w="2600"/>
            <w:tcMar>
              <w:top w:type="dxa" w:w="100"/>
              <w:left w:type="dxa" w:w="100"/>
              <w:bottom w:type="dxa" w:w="100"/>
              <w:right w:type="dxa" w:w="100"/>
            </w:tcMar>
          </w:tcPr>
          <w:p>
            <w:r>
              <w:rPr>
                <w:b w:val="false"/>
                <w:bCs w:val="false"/>
                <w:color w:val="1A1A1A"/>
                <w:sz w:val="19"/>
                <w:szCs w:val="19"/>
              </w:rPr>
              <w:t xml:space="preserve">"Context drift" detector</w:t>
            </w:r>
          </w:p>
        </w:tc>
        <w:tc>
          <w:tcPr>
            <w:tcW w:type="dxa" w:w="4200"/>
            <w:tcMar>
              <w:top w:type="dxa" w:w="100"/>
              <w:left w:type="dxa" w:w="100"/>
              <w:bottom w:type="dxa" w:w="100"/>
              <w:right w:type="dxa" w:w="100"/>
            </w:tcMar>
          </w:tcPr>
          <w:p>
            <w:r>
              <w:rPr>
                <w:b w:val="false"/>
                <w:bCs w:val="false"/>
                <w:color w:val="1A1A1A"/>
                <w:sz w:val="19"/>
                <w:szCs w:val="19"/>
              </w:rPr>
              <w:t xml:space="preserve">Use the similarity-check logic you already have, but flip it: warn the user when their saved context has drifted significantly from what's currently in the target AI chat (i.e. the chat has moved on) — a genuinely useful feature no competitor is likely to have.</w:t>
            </w:r>
          </w:p>
        </w:tc>
        <w:tc>
          <w:tcPr>
            <w:tcW w:type="dxa" w:w="1300"/>
            <w:tcMar>
              <w:top w:type="dxa" w:w="100"/>
              <w:left w:type="dxa" w:w="100"/>
              <w:bottom w:type="dxa" w:w="100"/>
              <w:right w:type="dxa" w:w="100"/>
            </w:tcMar>
          </w:tcPr>
          <w:p>
            <w:r>
              <w:rPr>
                <w:b w:val="false"/>
                <w:bCs w:val="false"/>
                <w:color w:val="1A1A1A"/>
                <w:sz w:val="19"/>
                <w:szCs w:val="19"/>
              </w:rPr>
              <w:t xml:space="preserve">Medium</w:t>
            </w:r>
          </w:p>
        </w:tc>
        <w:tc>
          <w:tcPr>
            <w:tcW w:type="dxa" w:w="1300"/>
            <w:tcMar>
              <w:top w:type="dxa" w:w="100"/>
              <w:left w:type="dxa" w:w="100"/>
              <w:bottom w:type="dxa" w:w="100"/>
              <w:right w:type="dxa" w:w="100"/>
            </w:tcMar>
          </w:tcPr>
          <w:p>
            <w:r>
              <w:rPr>
                <w:b w:val="false"/>
                <w:bCs w:val="false"/>
                <w:color w:val="1A1A1A"/>
                <w:sz w:val="19"/>
                <w:szCs w:val="19"/>
              </w:rPr>
              <w:t xml:space="preserve">High</w:t>
            </w:r>
          </w:p>
        </w:tc>
      </w:tr>
      <w:tr>
        <w:tc>
          <w:tcPr>
            <w:tcW w:type="dxa" w:w="2600"/>
            <w:tcMar>
              <w:top w:type="dxa" w:w="100"/>
              <w:left w:type="dxa" w:w="100"/>
              <w:bottom w:type="dxa" w:w="100"/>
              <w:right w:type="dxa" w:w="100"/>
            </w:tcMar>
          </w:tcPr>
          <w:p>
            <w:r>
              <w:rPr>
                <w:b w:val="false"/>
                <w:bCs w:val="false"/>
                <w:color w:val="1A1A1A"/>
                <w:sz w:val="19"/>
                <w:szCs w:val="19"/>
              </w:rPr>
              <w:t xml:space="preserve">Cross-platform primer diffing</w:t>
            </w:r>
          </w:p>
        </w:tc>
        <w:tc>
          <w:tcPr>
            <w:tcW w:type="dxa" w:w="4200"/>
            <w:tcMar>
              <w:top w:type="dxa" w:w="100"/>
              <w:left w:type="dxa" w:w="100"/>
              <w:bottom w:type="dxa" w:w="100"/>
              <w:right w:type="dxa" w:w="100"/>
            </w:tcMar>
          </w:tcPr>
          <w:p>
            <w:r>
              <w:rPr>
                <w:b w:val="false"/>
                <w:bCs w:val="false"/>
                <w:color w:val="1A1A1A"/>
                <w:sz w:val="19"/>
                <w:szCs w:val="19"/>
              </w:rPr>
              <w:t xml:space="preserve">When a user relays the same project into two different AI tools, show a diff of what each conversation actually did with the context. Strong "wow" feature, plausible with what you already store.</w:t>
            </w:r>
          </w:p>
        </w:tc>
        <w:tc>
          <w:tcPr>
            <w:tcW w:type="dxa" w:w="1300"/>
            <w:tcMar>
              <w:top w:type="dxa" w:w="100"/>
              <w:left w:type="dxa" w:w="100"/>
              <w:bottom w:type="dxa" w:w="100"/>
              <w:right w:type="dxa" w:w="100"/>
            </w:tcMar>
          </w:tcPr>
          <w:p>
            <w:r>
              <w:rPr>
                <w:b w:val="false"/>
                <w:bCs w:val="false"/>
                <w:color w:val="1A1A1A"/>
                <w:sz w:val="19"/>
                <w:szCs w:val="19"/>
              </w:rPr>
              <w:t xml:space="preserve">Medium-High</w:t>
            </w:r>
          </w:p>
        </w:tc>
        <w:tc>
          <w:tcPr>
            <w:tcW w:type="dxa" w:w="1300"/>
            <w:tcMar>
              <w:top w:type="dxa" w:w="100"/>
              <w:left w:type="dxa" w:w="100"/>
              <w:bottom w:type="dxa" w:w="100"/>
              <w:right w:type="dxa" w:w="100"/>
            </w:tcMar>
          </w:tcPr>
          <w:p>
            <w:r>
              <w:rPr>
                <w:b w:val="false"/>
                <w:bCs w:val="false"/>
                <w:color w:val="1A1A1A"/>
                <w:sz w:val="19"/>
                <w:szCs w:val="19"/>
              </w:rPr>
              <w:t xml:space="preserve">Medium-High</w:t>
            </w:r>
          </w:p>
        </w:tc>
      </w:tr>
      <w:tr>
        <w:tc>
          <w:tcPr>
            <w:tcW w:type="dxa" w:w="2600"/>
            <w:tcMar>
              <w:top w:type="dxa" w:w="100"/>
              <w:left w:type="dxa" w:w="100"/>
              <w:bottom w:type="dxa" w:w="100"/>
              <w:right w:type="dxa" w:w="100"/>
            </w:tcMar>
          </w:tcPr>
          <w:p>
            <w:r>
              <w:rPr>
                <w:b w:val="false"/>
                <w:bCs w:val="false"/>
                <w:color w:val="1A1A1A"/>
                <w:sz w:val="19"/>
                <w:szCs w:val="19"/>
              </w:rPr>
              <w:t xml:space="preserve">Token/cost dashboard</w:t>
            </w:r>
          </w:p>
        </w:tc>
        <w:tc>
          <w:tcPr>
            <w:tcW w:type="dxa" w:w="4200"/>
            <w:tcMar>
              <w:top w:type="dxa" w:w="100"/>
              <w:left w:type="dxa" w:w="100"/>
              <w:bottom w:type="dxa" w:w="100"/>
              <w:right w:type="dxa" w:w="100"/>
            </w:tcMar>
          </w:tcPr>
          <w:p>
            <w:r>
              <w:rPr>
                <w:b w:val="false"/>
                <w:bCs w:val="false"/>
                <w:color w:val="1A1A1A"/>
                <w:sz w:val="19"/>
                <w:szCs w:val="19"/>
              </w:rPr>
              <w:t xml:space="preserve">Small panel showing how many cloud calls were avoided by the local + cache tiers over the project's lifetime. Directly demonstrates the token-efficiency angle with real numbers instead of a claim.</w:t>
            </w:r>
          </w:p>
        </w:tc>
        <w:tc>
          <w:tcPr>
            <w:tcW w:type="dxa" w:w="1300"/>
            <w:tcMar>
              <w:top w:type="dxa" w:w="100"/>
              <w:left w:type="dxa" w:w="100"/>
              <w:bottom w:type="dxa" w:w="100"/>
              <w:right w:type="dxa" w:w="100"/>
            </w:tcMar>
          </w:tcPr>
          <w:p>
            <w:r>
              <w:rPr>
                <w:b w:val="false"/>
                <w:bCs w:val="false"/>
                <w:color w:val="1A1A1A"/>
                <w:sz w:val="19"/>
                <w:szCs w:val="19"/>
              </w:rPr>
              <w:t xml:space="preserve">Low</w:t>
            </w:r>
          </w:p>
        </w:tc>
        <w:tc>
          <w:tcPr>
            <w:tcW w:type="dxa" w:w="1300"/>
            <w:tcMar>
              <w:top w:type="dxa" w:w="100"/>
              <w:left w:type="dxa" w:w="100"/>
              <w:bottom w:type="dxa" w:w="100"/>
              <w:right w:type="dxa" w:w="100"/>
            </w:tcMar>
          </w:tcPr>
          <w:p>
            <w:r>
              <w:rPr>
                <w:b w:val="false"/>
                <w:bCs w:val="false"/>
                <w:color w:val="1A1A1A"/>
                <w:sz w:val="19"/>
                <w:szCs w:val="19"/>
              </w:rPr>
              <w:t xml:space="preserve">Medium-High</w:t>
            </w:r>
          </w:p>
        </w:tc>
      </w:tr>
      <w:tr>
        <w:tc>
          <w:tcPr>
            <w:tcW w:type="dxa" w:w="2600"/>
            <w:tcMar>
              <w:top w:type="dxa" w:w="100"/>
              <w:left w:type="dxa" w:w="100"/>
              <w:bottom w:type="dxa" w:w="100"/>
              <w:right w:type="dxa" w:w="100"/>
            </w:tcMar>
          </w:tcPr>
          <w:p>
            <w:r>
              <w:rPr>
                <w:b w:val="false"/>
                <w:bCs w:val="false"/>
                <w:color w:val="1A1A1A"/>
                <w:sz w:val="19"/>
                <w:szCs w:val="19"/>
              </w:rPr>
              <w:t xml:space="preserve">One-click "resume where I left off"</w:t>
            </w:r>
          </w:p>
        </w:tc>
        <w:tc>
          <w:tcPr>
            <w:tcW w:type="dxa" w:w="4200"/>
            <w:tcMar>
              <w:top w:type="dxa" w:w="100"/>
              <w:left w:type="dxa" w:w="100"/>
              <w:bottom w:type="dxa" w:w="100"/>
              <w:right w:type="dxa" w:w="100"/>
            </w:tcMar>
          </w:tcPr>
          <w:p>
            <w:r>
              <w:rPr>
                <w:b w:val="false"/>
                <w:bCs w:val="false"/>
                <w:color w:val="1A1A1A"/>
                <w:sz w:val="19"/>
                <w:szCs w:val="19"/>
              </w:rPr>
              <w:t xml:space="preserve">Detects which AI platform tab is active and auto-suggests the most relevant project/primer for it, removing a manual selection step. Small UX win that makes the demo feel more "finished."</w:t>
            </w:r>
          </w:p>
        </w:tc>
        <w:tc>
          <w:tcPr>
            <w:tcW w:type="dxa" w:w="1300"/>
            <w:tcMar>
              <w:top w:type="dxa" w:w="100"/>
              <w:left w:type="dxa" w:w="100"/>
              <w:bottom w:type="dxa" w:w="100"/>
              <w:right w:type="dxa" w:w="100"/>
            </w:tcMar>
          </w:tcPr>
          <w:p>
            <w:r>
              <w:rPr>
                <w:b w:val="false"/>
                <w:bCs w:val="false"/>
                <w:color w:val="1A1A1A"/>
                <w:sz w:val="19"/>
                <w:szCs w:val="19"/>
              </w:rPr>
              <w:t xml:space="preserve">Low</w:t>
            </w:r>
          </w:p>
        </w:tc>
        <w:tc>
          <w:tcPr>
            <w:tcW w:type="dxa" w:w="1300"/>
            <w:tcMar>
              <w:top w:type="dxa" w:w="100"/>
              <w:left w:type="dxa" w:w="100"/>
              <w:bottom w:type="dxa" w:w="100"/>
              <w:right w:type="dxa" w:w="100"/>
            </w:tcMar>
          </w:tcPr>
          <w:p>
            <w:r>
              <w:rPr>
                <w:b w:val="false"/>
                <w:bCs w:val="false"/>
                <w:color w:val="1A1A1A"/>
                <w:sz w:val="19"/>
                <w:szCs w:val="19"/>
              </w:rPr>
              <w:t xml:space="preserve">Medium</w:t>
            </w:r>
          </w:p>
        </w:tc>
      </w:tr>
    </w:tbl>
    <w:p>
      <w:pPr>
        <w:pStyle w:val="Heading1"/>
        <w:pBdr>
          <w:bottom w:val="single" w:color="C8102E" w:sz="6" w:space="4"/>
        </w:pBdr>
        <w:spacing w:after="160" w:before="360"/>
      </w:pPr>
      <w:r>
        <w:rPr>
          <w:b/>
          <w:bCs/>
          <w:color w:val="1A1A1A"/>
          <w:sz w:val="30"/>
          <w:szCs w:val="30"/>
        </w:rPr>
        <w:t xml:space="preserve">6. Deprioritize (Good Ideas, Wrong Time)</w:t>
      </w:r>
    </w:p>
    <w:p>
      <w:pPr>
        <w:spacing w:after="160" w:line="300"/>
      </w:pPr>
      <w:r>
        <w:rPr>
          <w:b w:val="false"/>
          <w:bCs w:val="false"/>
          <w:i w:val="false"/>
          <w:iCs w:val="false"/>
          <w:color w:val="1A1A1A"/>
          <w:sz w:val="21"/>
          <w:szCs w:val="21"/>
        </w:rPr>
        <w:t xml:space="preserve">These are legitimate product improvements but will not move a hackathon score and will eat time you don't have:</w:t>
      </w:r>
    </w:p>
    <w:p>
      <w:pPr>
        <w:pStyle w:val="ListParagraph"/>
        <w:numPr>
          <w:ilvl w:val="0"/>
          <w:numId w:val="2"/>
        </w:numPr>
        <w:spacing w:after="80" w:line="280"/>
      </w:pPr>
      <w:r>
        <w:rPr>
          <w:color w:val="1A1A1A"/>
          <w:sz w:val="21"/>
          <w:szCs w:val="21"/>
        </w:rPr>
        <w:t xml:space="preserve">Supabase auth / multi-tenant accounts</w:t>
      </w:r>
    </w:p>
    <w:p>
      <w:pPr>
        <w:pStyle w:val="ListParagraph"/>
        <w:numPr>
          <w:ilvl w:val="0"/>
          <w:numId w:val="2"/>
        </w:numPr>
        <w:spacing w:after="80" w:line="280"/>
      </w:pPr>
      <w:r>
        <w:rPr>
          <w:color w:val="1A1A1A"/>
          <w:sz w:val="21"/>
          <w:szCs w:val="21"/>
        </w:rPr>
        <w:t xml:space="preserve">Redis-backed caching for horizontal scaling</w:t>
      </w:r>
    </w:p>
    <w:p>
      <w:pPr>
        <w:pStyle w:val="ListParagraph"/>
        <w:numPr>
          <w:ilvl w:val="0"/>
          <w:numId w:val="2"/>
        </w:numPr>
        <w:spacing w:after="80" w:line="280"/>
      </w:pPr>
      <w:r>
        <w:rPr>
          <w:color w:val="1A1A1A"/>
          <w:sz w:val="21"/>
          <w:szCs w:val="21"/>
        </w:rPr>
        <w:t xml:space="preserve">GitHub Copilot / Vercel v0 / Ollama injection targets (nice breadth, but adds no new judging signal beyond what ChatGPT/Claude/Gemini already demonstrate)</w:t>
      </w:r>
    </w:p>
    <w:p>
      <w:pPr>
        <w:pStyle w:val="Heading1"/>
        <w:pBdr>
          <w:bottom w:val="single" w:color="C8102E" w:sz="6" w:space="4"/>
        </w:pBdr>
        <w:spacing w:after="160" w:before="360"/>
      </w:pPr>
      <w:r>
        <w:rPr>
          <w:b/>
          <w:bCs/>
          <w:color w:val="1A1A1A"/>
          <w:sz w:val="30"/>
          <w:szCs w:val="30"/>
        </w:rPr>
        <w:t xml:space="preserve">7. Final Pre-Submission Checklist</w:t>
      </w:r>
    </w:p>
    <w:p>
      <w:pPr>
        <w:pStyle w:val="ListParagraph"/>
        <w:numPr>
          <w:ilvl w:val="0"/>
          <w:numId w:val="2"/>
        </w:numPr>
        <w:spacing w:after="80" w:line="280"/>
      </w:pPr>
      <w:r>
        <w:rPr>
          <w:color w:val="1A1A1A"/>
          <w:sz w:val="21"/>
          <w:szCs w:val="21"/>
        </w:rPr>
        <w:t xml:space="preserve">Confirm submission window status on the hackathon dashboard — this is the actual first action, before any code.</w:t>
      </w:r>
    </w:p>
    <w:p>
      <w:pPr>
        <w:pStyle w:val="ListParagraph"/>
        <w:numPr>
          <w:ilvl w:val="0"/>
          <w:numId w:val="2"/>
        </w:numPr>
        <w:spacing w:after="80" w:line="280"/>
      </w:pPr>
      <w:r>
        <w:rPr>
          <w:color w:val="1A1A1A"/>
          <w:sz w:val="21"/>
          <w:szCs w:val="21"/>
        </w:rPr>
        <w:t xml:space="preserve">At least one pipeline stage demonstrably running on AMD Developer Cloud / ROCm, named explicitly in the write-up.</w:t>
      </w:r>
    </w:p>
    <w:p>
      <w:pPr>
        <w:pStyle w:val="ListParagraph"/>
        <w:numPr>
          <w:ilvl w:val="0"/>
          <w:numId w:val="2"/>
        </w:numPr>
        <w:spacing w:after="80" w:line="280"/>
      </w:pPr>
      <w:r>
        <w:rPr>
          <w:color w:val="1A1A1A"/>
          <w:sz w:val="21"/>
          <w:szCs w:val="21"/>
        </w:rPr>
        <w:t xml:space="preserve">Primer generation shown as a multi-step (not single-call) process, ideally visible in the UI.</w:t>
      </w:r>
    </w:p>
    <w:p>
      <w:pPr>
        <w:pStyle w:val="ListParagraph"/>
        <w:numPr>
          <w:ilvl w:val="0"/>
          <w:numId w:val="2"/>
        </w:numPr>
        <w:spacing w:after="80" w:line="280"/>
      </w:pPr>
      <w:r>
        <w:rPr>
          <w:color w:val="1A1A1A"/>
          <w:sz w:val="21"/>
          <w:szCs w:val="21"/>
        </w:rPr>
        <w:t xml:space="preserve">Gemma used somewhere, even as a selectable option, for the side bounty.</w:t>
      </w:r>
    </w:p>
    <w:p>
      <w:pPr>
        <w:pStyle w:val="ListParagraph"/>
        <w:numPr>
          <w:ilvl w:val="0"/>
          <w:numId w:val="2"/>
        </w:numPr>
        <w:spacing w:after="80" w:line="280"/>
      </w:pPr>
      <w:r>
        <w:rPr>
          <w:color w:val="1A1A1A"/>
          <w:sz w:val="21"/>
          <w:szCs w:val="21"/>
        </w:rPr>
        <w:t xml:space="preserve">Demo video leads with the AMD story in the first 15 seconds, climaxes with the multi-platform injection moment.</w:t>
      </w:r>
    </w:p>
    <w:p>
      <w:pPr>
        <w:pStyle w:val="ListParagraph"/>
        <w:numPr>
          <w:ilvl w:val="0"/>
          <w:numId w:val="2"/>
        </w:numPr>
        <w:spacing w:after="80" w:line="280"/>
      </w:pPr>
      <w:r>
        <w:rPr>
          <w:color w:val="1A1A1A"/>
          <w:sz w:val="21"/>
          <w:szCs w:val="21"/>
        </w:rPr>
        <w:t xml:space="preserve">Any concrete efficiency numbers (cache hit rate, calls avoided, latency) included in the submission text.</w:t>
      </w:r>
    </w:p>
    <w:p>
      <w:pPr>
        <w:pStyle w:val="ListParagraph"/>
        <w:numPr>
          <w:ilvl w:val="0"/>
          <w:numId w:val="2"/>
        </w:numPr>
        <w:spacing w:after="80" w:line="280"/>
      </w:pPr>
      <w:r>
        <w:rPr>
          <w:color w:val="1A1A1A"/>
          <w:sz w:val="21"/>
          <w:szCs w:val="21"/>
        </w:rPr>
        <w:t xml:space="preserve">README / submission description mentions AMD Developer Cloud, ROCm, and Fireworks AI by name — judges often skim text before watching video.</w:t>
      </w:r>
    </w:p>
    <w:p>
      <w:pPr>
        <w:pBdr>
          <w:top w:val="single" w:color="CCCCCC" w:sz="4" w:space="8"/>
        </w:pBdr>
        <w:spacing w:before="400"/>
      </w:pPr>
      <w:r>
        <w:rPr>
          <w:i/>
          <w:iCs/>
          <w:color w:val="5B5B5B"/>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2026-07-11T21:33:34.237Z</dcterms:created>
  <dcterms:modified xsi:type="dcterms:W3CDTF">2026-07-11T21:33:34.259Z</dcterms:modified>
</cp:coreProperties>
</file>

<file path=docProps/custom.xml><?xml version="1.0" encoding="utf-8"?>
<Properties xmlns="http://schemas.openxmlformats.org/officeDocument/2006/custom-properties" xmlns:vt="http://schemas.openxmlformats.org/officeDocument/2006/docPropsVTypes"/>
</file>