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96"/>
        <w:gridCol w:w="6747"/>
        <w:gridCol w:w="1607"/>
      </w:tblGrid>
      <w:tr>
        <w:trPr/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bookmarkStart w:id="0" w:name="_Hlk115085296"/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Q. No</w:t>
            </w:r>
          </w:p>
        </w:tc>
        <w:tc>
          <w:tcPr>
            <w:tcW w:w="674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Statement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 mapping</w:t>
            </w:r>
          </w:p>
        </w:tc>
      </w:tr>
      <w:tr>
        <w:tblPrEx/>
        <w:trPr/>
        <w:tc>
          <w:tcPr>
            <w:tcW w:w="9350" w:type="dxa"/>
            <w:gridSpan w:val="3"/>
            <w:tcBorders/>
            <w:vAlign w:val="center"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bCs/>
                <w:color w:val="000000"/>
                <w:sz w:val="24"/>
                <w:szCs w:val="24"/>
              </w:rPr>
              <w:t>Section A</w:t>
            </w:r>
          </w:p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5 x 2 = 10 marks</w:t>
            </w:r>
          </w:p>
        </w:tc>
      </w:tr>
      <w:tr>
        <w:tblPrEx/>
        <w:trPr/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47" w:type="dxa"/>
            <w:tcBorders/>
          </w:tcPr>
          <w:p>
            <w:pPr>
              <w:pStyle w:val="style0"/>
              <w:ind w:right="64"/>
              <w:jc w:val="both"/>
              <w:rPr>
                <w:rFonts w:ascii="Cambria" w:cs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hAnsi="Cambria"/>
                <w:color w:val="000000"/>
                <w:sz w:val="24"/>
                <w:szCs w:val="24"/>
              </w:rPr>
              <w:t>Define</w:t>
            </w:r>
            <w:r>
              <w:rPr>
                <w:rFonts w:ascii="Cambria" w:cs="Times New Roman" w:hAnsi="Cambria"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cs="Times New Roman" w:hAnsi="Cambria"/>
                <w:color w:val="000000"/>
                <w:sz w:val="24"/>
                <w:szCs w:val="24"/>
              </w:rPr>
              <w:t>Machine</w:t>
            </w:r>
            <w:r>
              <w:rPr>
                <w:rFonts w:ascii="Cambria" w:cs="Times New Roman" w:hAnsi="Cambria"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cs="Times New Roman" w:hAnsi="Cambria"/>
                <w:color w:val="000000"/>
                <w:sz w:val="24"/>
                <w:szCs w:val="24"/>
              </w:rPr>
              <w:t>learning with its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objectives.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CO2</w:t>
            </w:r>
          </w:p>
        </w:tc>
      </w:tr>
      <w:tr>
        <w:tblPrEx/>
        <w:trPr/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47" w:type="dxa"/>
            <w:tcBorders/>
          </w:tcPr>
          <w:p>
            <w:pPr>
              <w:pStyle w:val="style0"/>
              <w:ind w:right="64"/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hAnsi="Cambria"/>
                <w:color w:val="000000"/>
                <w:sz w:val="24"/>
                <w:szCs w:val="24"/>
              </w:rPr>
              <w:t>Define goal of the support vector machine (SVM)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CO2</w:t>
            </w:r>
          </w:p>
        </w:tc>
      </w:tr>
      <w:tr>
        <w:tblPrEx/>
        <w:trPr/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47" w:type="dxa"/>
            <w:tcBorders/>
          </w:tcPr>
          <w:p>
            <w:pPr>
              <w:pStyle w:val="style0"/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List out different algorithms can be classified under Association Rule Learning Algorithms?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CO2</w:t>
            </w:r>
          </w:p>
        </w:tc>
      </w:tr>
      <w:tr>
        <w:tblPrEx/>
        <w:trPr/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4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Define any algorithm you know in to solve a problem in Reinforcement Learning  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CO3</w:t>
            </w:r>
          </w:p>
        </w:tc>
      </w:tr>
      <w:tr>
        <w:tblPrEx/>
        <w:trPr/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47" w:type="dxa"/>
            <w:tcBorders/>
          </w:tcPr>
          <w:p>
            <w:pPr>
              <w:pStyle w:val="style2"/>
              <w:shd w:val="clear" w:color="auto" w:fill="ffffff"/>
              <w:spacing w:before="0" w:beforeAutospacing="false"/>
              <w:jc w:val="both"/>
              <w:outlineLvl w:val="1"/>
              <w:rPr>
                <w:rFonts w:ascii="Cambria" w:hAnsi="Cambria"/>
                <w:b w:val="false"/>
                <w:color w:val="000000"/>
                <w:sz w:val="24"/>
                <w:szCs w:val="24"/>
              </w:rPr>
            </w:pPr>
            <w:r>
              <w:rPr>
                <w:rFonts w:ascii="Cambria" w:cs="Arial" w:hAnsi="Cambria"/>
                <w:b w:val="false"/>
                <w:color w:val="000000"/>
                <w:sz w:val="24"/>
                <w:szCs w:val="24"/>
              </w:rPr>
              <w:t xml:space="preserve">Define </w:t>
            </w:r>
            <w:r>
              <w:rPr>
                <w:rFonts w:cs="Arial" w:hAnsi="Cambria"/>
                <w:b w:val="false"/>
                <w:color w:val="000000"/>
                <w:sz w:val="24"/>
                <w:szCs w:val="24"/>
                <w:lang w:val="en-US"/>
              </w:rPr>
              <w:t>K Medoid Clustering with KNN</w:t>
            </w:r>
            <w:r>
              <w:rPr>
                <w:rFonts w:ascii="Cambria" w:cs="Arial" w:hAnsi="Cambria"/>
                <w:b w:val="false"/>
                <w:color w:val="000000"/>
                <w:sz w:val="24"/>
                <w:szCs w:val="24"/>
              </w:rPr>
              <w:t xml:space="preserve"> clustering</w:t>
            </w:r>
            <w:r>
              <w:rPr>
                <w:rFonts w:ascii="Cambria" w:cs="Arial" w:hAnsi="Cambria"/>
                <w:b w:val="false"/>
                <w:color w:val="000000"/>
                <w:sz w:val="24"/>
                <w:szCs w:val="24"/>
              </w:rPr>
              <w:t>.</w:t>
            </w:r>
            <w:bookmarkStart w:id="1" w:name="_GoBack"/>
            <w:bookmarkEnd w:id="1"/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CO3</w:t>
            </w:r>
          </w:p>
        </w:tc>
      </w:tr>
      <w:tr>
        <w:tblPrEx/>
        <w:trPr>
          <w:trHeight w:val="692" w:hRule="atLeast"/>
        </w:trPr>
        <w:tc>
          <w:tcPr>
            <w:tcW w:w="9350" w:type="dxa"/>
            <w:gridSpan w:val="3"/>
            <w:tcBorders/>
            <w:vAlign w:val="center"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bCs/>
                <w:color w:val="000000"/>
                <w:sz w:val="24"/>
                <w:szCs w:val="24"/>
              </w:rPr>
              <w:t>Section B</w:t>
            </w:r>
          </w:p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4 x 5 = 20 marks</w:t>
            </w:r>
          </w:p>
        </w:tc>
      </w:tr>
      <w:tr>
        <w:tblPrEx/>
        <w:trPr/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6747" w:type="dxa"/>
            <w:tcBorders/>
          </w:tcPr>
          <w:p>
            <w:pPr>
              <w:pStyle w:val="style0"/>
              <w:ind w:right="64"/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hAnsi="Cambria"/>
                <w:color w:val="000000"/>
                <w:sz w:val="24"/>
                <w:szCs w:val="24"/>
                <w:lang w:val="en-US"/>
              </w:rPr>
              <w:t>Elaborate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hAnsi="Cambria"/>
                <w:color w:val="000000"/>
                <w:sz w:val="24"/>
                <w:szCs w:val="24"/>
                <w:lang w:val="en-US"/>
              </w:rPr>
              <w:t xml:space="preserve">Semi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Supervised</w:t>
            </w:r>
            <w:r>
              <w:rPr>
                <w:rFonts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Learning</w:t>
            </w:r>
            <w:r>
              <w:rPr>
                <w:rFonts w:hAnsi="Cambria"/>
                <w:color w:val="000000"/>
                <w:sz w:val="24"/>
                <w:szCs w:val="24"/>
                <w:lang w:val="en-US"/>
              </w:rPr>
              <w:t xml:space="preserve"> advantages over Unsupervised Learning with an example of real world applications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CO2</w:t>
            </w:r>
          </w:p>
        </w:tc>
      </w:tr>
      <w:tr>
        <w:tblPrEx/>
        <w:trPr/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6747" w:type="dxa"/>
            <w:tcBorders/>
          </w:tcPr>
          <w:p>
            <w:pPr>
              <w:pStyle w:val="style0"/>
              <w:ind w:right="64"/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hAnsi="Cambria"/>
                <w:color w:val="000000"/>
                <w:sz w:val="24"/>
                <w:szCs w:val="24"/>
              </w:rPr>
              <w:t xml:space="preserve">How would you detect </w:t>
            </w:r>
            <w:r>
              <w:rPr>
                <w:rFonts w:ascii="Cambria" w:cs="Times New Roman" w:hAnsi="Cambria"/>
                <w:color w:val="000000"/>
                <w:sz w:val="24"/>
                <w:szCs w:val="24"/>
              </w:rPr>
              <w:t>o</w:t>
            </w:r>
            <w:r>
              <w:rPr>
                <w:rFonts w:ascii="Cambria" w:cs="Times New Roman" w:hAnsi="Cambria"/>
                <w:color w:val="000000"/>
                <w:sz w:val="24"/>
                <w:szCs w:val="24"/>
              </w:rPr>
              <w:t>verfitting</w:t>
            </w:r>
            <w:r>
              <w:rPr>
                <w:rFonts w:ascii="Cambria" w:cs="Times New Roman" w:hAnsi="Cambria"/>
                <w:color w:val="000000"/>
                <w:sz w:val="24"/>
                <w:szCs w:val="24"/>
              </w:rPr>
              <w:t xml:space="preserve"> in Linear Models?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CO3</w:t>
            </w:r>
          </w:p>
        </w:tc>
      </w:tr>
      <w:tr>
        <w:tblPrEx/>
        <w:trPr/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6747" w:type="dxa"/>
            <w:tcBorders/>
          </w:tcPr>
          <w:p>
            <w:pPr>
              <w:pStyle w:val="style0"/>
              <w:ind w:right="64"/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Elaborate relationship between k-Means Clustering and PCA?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CO2</w:t>
            </w:r>
          </w:p>
        </w:tc>
      </w:tr>
      <w:tr>
        <w:tblPrEx/>
        <w:trPr/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6747" w:type="dxa"/>
            <w:tcBorders/>
          </w:tcPr>
          <w:p>
            <w:pPr>
              <w:pStyle w:val="style0"/>
              <w:ind w:right="64"/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Compare Reinforcement Learning and Supervised Learning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CO3</w:t>
            </w:r>
          </w:p>
        </w:tc>
      </w:tr>
      <w:tr>
        <w:tblPrEx/>
        <w:trPr/>
        <w:tc>
          <w:tcPr>
            <w:tcW w:w="9350" w:type="dxa"/>
            <w:gridSpan w:val="3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bCs/>
                <w:color w:val="000000"/>
                <w:sz w:val="24"/>
                <w:szCs w:val="24"/>
              </w:rPr>
              <w:t>Section C</w:t>
            </w:r>
          </w:p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3 x 10 = 30 marks</w:t>
            </w:r>
          </w:p>
        </w:tc>
      </w:tr>
      <w:tr>
        <w:tblPrEx/>
        <w:trPr/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747" w:type="dxa"/>
            <w:tcBorders/>
          </w:tcPr>
          <w:p>
            <w:pPr>
              <w:pStyle w:val="style0"/>
              <w:ind w:right="64"/>
              <w:jc w:val="both"/>
              <w:rPr>
                <w:rFonts w:ascii="Cambria" w:cs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hAnsi="Cambria"/>
                <w:color w:val="000000"/>
                <w:sz w:val="24"/>
                <w:szCs w:val="24"/>
              </w:rPr>
              <w:t xml:space="preserve">The values of independent variable x and dependent value y are given below: </w:t>
            </w:r>
          </w:p>
          <w:p>
            <w:pPr>
              <w:pStyle w:val="style0"/>
              <w:ind w:right="64"/>
              <w:jc w:val="both"/>
              <w:rPr>
                <w:rFonts w:ascii="Cambria" w:cs="Times New Roman" w:hAnsi="Cambria"/>
                <w:color w:val="000000"/>
                <w:sz w:val="24"/>
                <w:szCs w:val="24"/>
              </w:rPr>
            </w:pPr>
          </w:p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>
              <w:trPr>
                <w:trHeight w:val="315" w:hRule="atLeast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ind w:right="64"/>
                    <w:jc w:val="both"/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ind w:right="64"/>
                    <w:jc w:val="both"/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  <w:t>Y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ind w:right="64"/>
                    <w:jc w:val="both"/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ind w:right="64"/>
                    <w:jc w:val="both"/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ind w:right="64"/>
                    <w:jc w:val="both"/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ind w:right="64"/>
                    <w:jc w:val="both"/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ind w:right="64"/>
                    <w:jc w:val="both"/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ind w:right="64"/>
                    <w:jc w:val="both"/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ind w:right="64"/>
                    <w:jc w:val="both"/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ind w:right="64"/>
                    <w:jc w:val="both"/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ind w:right="64"/>
                    <w:jc w:val="both"/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ind w:right="64"/>
                    <w:jc w:val="both"/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cs="Times New Roman" w:hAnsi="Cambri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</w:tr>
          </w:tbl>
          <w:p>
            <w:pPr>
              <w:pStyle w:val="style0"/>
              <w:ind w:right="64"/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hAnsi="Cambria"/>
                <w:color w:val="000000"/>
                <w:sz w:val="24"/>
                <w:szCs w:val="24"/>
              </w:rPr>
              <w:t>Find the regression line y=</w:t>
            </w:r>
            <w:r>
              <w:rPr>
                <w:rFonts w:ascii="Cambria" w:cs="Times New Roman" w:hAnsi="Cambria"/>
                <w:color w:val="000000"/>
                <w:sz w:val="24"/>
                <w:szCs w:val="24"/>
              </w:rPr>
              <w:t>ax+b</w:t>
            </w:r>
            <w:r>
              <w:rPr>
                <w:rFonts w:ascii="Cambria" w:cs="Times New Roman" w:hAnsi="Cambria"/>
                <w:color w:val="000000"/>
                <w:sz w:val="24"/>
                <w:szCs w:val="24"/>
              </w:rPr>
              <w:t>. Estimate the value of y when x is 11.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CO3</w:t>
            </w:r>
          </w:p>
        </w:tc>
      </w:tr>
      <w:tr>
        <w:tblPrEx/>
        <w:trPr/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747" w:type="dxa"/>
            <w:tcBorders/>
          </w:tcPr>
          <w:p>
            <w:pPr>
              <w:pStyle w:val="style0"/>
              <w:ind w:right="64"/>
              <w:jc w:val="both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Compare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overfitting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and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underfitting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with an intuitive explanation of the Bias-Variance Tradeoff  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CO4</w:t>
            </w:r>
          </w:p>
        </w:tc>
      </w:tr>
      <w:tr>
        <w:tblPrEx/>
        <w:trPr/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747" w:type="dxa"/>
            <w:tcBorders/>
          </w:tcPr>
          <w:p>
            <w:pPr>
              <w:pStyle w:val="style0"/>
              <w:ind w:right="64"/>
              <w:jc w:val="both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Scrutinize that Principal Component Analysis (PCA) is used for Dimensionality Reduction with an example    .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CO4</w:t>
            </w:r>
          </w:p>
        </w:tc>
      </w:tr>
      <w:bookmarkEnd w:id="0"/>
    </w:tbl>
    <w:p>
      <w:pPr>
        <w:pStyle w:val="style0"/>
        <w:rPr/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ind w:right="90"/>
      <w:jc w:val="center"/>
      <w:rPr>
        <w:rFonts w:ascii="Times New Roman" w:cs="Times New Roman" w:eastAsia="Times New Roman" w:hAnsi="Times New Roman"/>
        <w:b/>
        <w:sz w:val="28"/>
        <w:szCs w:val="28"/>
      </w:rPr>
    </w:pPr>
    <w:r>
      <w:rPr>
        <w:rFonts w:ascii="Times New Roman" w:cs="Times New Roman" w:eastAsia="Times New Roman" w:hAnsi="Times New Roman"/>
        <w:b/>
        <w:sz w:val="28"/>
        <w:szCs w:val="28"/>
      </w:rPr>
      <w:t>Subject Title: Machine Learning</w:t>
    </w:r>
  </w:p>
  <w:p>
    <w:pPr>
      <w:pStyle w:val="style0"/>
      <w:ind w:right="90"/>
      <w:jc w:val="center"/>
      <w:rPr>
        <w:rFonts w:ascii="Times New Roman" w:cs="Times New Roman" w:eastAsia="Times New Roman" w:hAnsi="Times New Roman"/>
        <w:b/>
        <w:sz w:val="28"/>
        <w:szCs w:val="28"/>
      </w:rPr>
    </w:pPr>
    <w:r>
      <w:rPr>
        <w:rFonts w:ascii="Times New Roman" w:cs="Times New Roman" w:eastAsia="Times New Roman" w:hAnsi="Times New Roman"/>
        <w:b/>
        <w:sz w:val="28"/>
        <w:szCs w:val="28"/>
      </w:rPr>
      <w:t>Subject Code: 20CST-316</w:t>
    </w:r>
  </w:p>
  <w:p>
    <w:pPr>
      <w:pStyle w:val="style0"/>
      <w:jc w:val="center"/>
      <w:rPr>
        <w:rFonts w:ascii="Times New Roman" w:cs="Times New Roman" w:eastAsia="Times New Roman" w:hAnsi="Times New Roman"/>
        <w:b/>
        <w:sz w:val="28"/>
        <w:szCs w:val="28"/>
      </w:rPr>
    </w:pPr>
    <w:r>
      <w:rPr>
        <w:rFonts w:ascii="Times New Roman" w:cs="Times New Roman" w:eastAsia="Times New Roman" w:hAnsi="Times New Roman"/>
        <w:b/>
        <w:sz w:val="28"/>
        <w:szCs w:val="28"/>
      </w:rPr>
      <w:t>Semester: V</w:t>
    </w:r>
  </w:p>
  <w:p>
    <w:pPr>
      <w:pStyle w:val="style0"/>
      <w:spacing w:after="264"/>
      <w:rPr>
        <w:rFonts w:ascii="Times New Roman" w:cs="Times New Roman" w:eastAsia="Times New Roman" w:hAnsi="Times New Roman"/>
        <w:b/>
        <w:sz w:val="28"/>
        <w:szCs w:val="28"/>
      </w:rPr>
    </w:pPr>
    <w:r>
      <w:rPr>
        <w:rFonts w:ascii="Times New Roman" w:cs="Times New Roman" w:eastAsia="Times New Roman" w:hAnsi="Times New Roman"/>
        <w:b/>
        <w:sz w:val="28"/>
        <w:szCs w:val="28"/>
      </w:rPr>
      <w:t xml:space="preserve">Time: 3 Hours </w:t>
    </w:r>
    <w:r>
      <w:rPr>
        <w:rFonts w:ascii="Times New Roman" w:cs="Times New Roman" w:eastAsia="Times New Roman" w:hAnsi="Times New Roman"/>
        <w:b/>
        <w:sz w:val="28"/>
        <w:szCs w:val="28"/>
      </w:rPr>
      <w:tab/>
    </w:r>
    <w:r>
      <w:rPr>
        <w:rFonts w:ascii="Times New Roman" w:cs="Times New Roman" w:eastAsia="Times New Roman" w:hAnsi="Times New Roman"/>
        <w:b/>
        <w:sz w:val="28"/>
        <w:szCs w:val="28"/>
      </w:rPr>
      <w:t xml:space="preserve"> </w:t>
    </w:r>
    <w:r>
      <w:rPr>
        <w:rFonts w:ascii="Times New Roman" w:cs="Times New Roman" w:eastAsia="Times New Roman" w:hAnsi="Times New Roman"/>
        <w:b/>
        <w:sz w:val="28"/>
        <w:szCs w:val="28"/>
      </w:rPr>
      <w:tab/>
    </w:r>
    <w:r>
      <w:rPr>
        <w:rFonts w:ascii="Times New Roman" w:cs="Times New Roman" w:eastAsia="Times New Roman" w:hAnsi="Times New Roman"/>
        <w:b/>
        <w:sz w:val="28"/>
        <w:szCs w:val="28"/>
      </w:rPr>
      <w:t xml:space="preserve"> </w:t>
    </w:r>
    <w:r>
      <w:rPr>
        <w:rFonts w:ascii="Times New Roman" w:cs="Times New Roman" w:eastAsia="Times New Roman" w:hAnsi="Times New Roman"/>
        <w:b/>
        <w:sz w:val="28"/>
        <w:szCs w:val="28"/>
      </w:rPr>
      <w:tab/>
    </w:r>
    <w:r>
      <w:rPr>
        <w:rFonts w:ascii="Times New Roman" w:cs="Times New Roman" w:eastAsia="Times New Roman" w:hAnsi="Times New Roman"/>
        <w:b/>
        <w:sz w:val="28"/>
        <w:szCs w:val="28"/>
      </w:rPr>
      <w:t xml:space="preserve"> </w:t>
    </w:r>
    <w:r>
      <w:rPr>
        <w:rFonts w:ascii="Times New Roman" w:cs="Times New Roman" w:eastAsia="Times New Roman" w:hAnsi="Times New Roman"/>
        <w:b/>
        <w:sz w:val="28"/>
        <w:szCs w:val="28"/>
      </w:rPr>
      <w:tab/>
    </w:r>
    <w:r>
      <w:rPr>
        <w:rFonts w:ascii="Times New Roman" w:cs="Times New Roman" w:eastAsia="Times New Roman" w:hAnsi="Times New Roman"/>
        <w:b/>
        <w:sz w:val="28"/>
        <w:szCs w:val="28"/>
      </w:rPr>
      <w:tab/>
    </w:r>
    <w:r>
      <w:rPr>
        <w:rFonts w:ascii="Times New Roman" w:cs="Times New Roman" w:eastAsia="Times New Roman" w:hAnsi="Times New Roman"/>
        <w:b/>
        <w:sz w:val="28"/>
        <w:szCs w:val="28"/>
      </w:rPr>
      <w:tab/>
    </w:r>
    <w:r>
      <w:rPr>
        <w:rFonts w:ascii="Times New Roman" w:cs="Times New Roman" w:eastAsia="Times New Roman" w:hAnsi="Times New Roman"/>
        <w:b/>
        <w:sz w:val="28"/>
        <w:szCs w:val="28"/>
      </w:rPr>
      <w:tab/>
    </w:r>
    <w:r>
      <w:rPr>
        <w:rFonts w:ascii="Times New Roman" w:cs="Times New Roman" w:eastAsia="Times New Roman" w:hAnsi="Times New Roman"/>
        <w:b/>
        <w:sz w:val="28"/>
        <w:szCs w:val="28"/>
      </w:rPr>
      <w:t>Maximum Marks: 60</w:t>
    </w:r>
  </w:p>
  <w:p>
    <w:pPr>
      <w:pStyle w:val="style0"/>
      <w:spacing w:after="264"/>
      <w:rPr/>
    </w:pPr>
    <w:r>
      <w:rPr>
        <w:rFonts w:ascii="Times New Roman" w:cs="Times New Roman" w:eastAsia="Times New Roman" w:hAnsi="Times New Roman"/>
        <w:b/>
        <w:bCs/>
        <w:sz w:val="26"/>
      </w:rPr>
      <w:t>Instructions: Attempt all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Roboto" w:cs="Roboto" w:eastAsia="Roboto" w:hAnsi="Roboto"/>
    </w:rPr>
  </w:style>
  <w:style w:type="paragraph" w:styleId="style2">
    <w:name w:val="heading 2"/>
    <w:basedOn w:val="style0"/>
    <w:next w:val="style2"/>
    <w:link w:val="style4097"/>
    <w:qFormat/>
    <w:uiPriority w:val="9"/>
    <w:pPr>
      <w:widowControl/>
      <w:autoSpaceDE/>
      <w:autoSpaceDN/>
      <w:spacing w:before="100" w:beforeAutospacing="true" w:after="100" w:afterAutospacing="true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97068863-07d2-47c9-a268-452e1c45dde3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ddc1f215-6a38-4286-bd4d-4d68bb7897d9"/>
    <w:basedOn w:val="style65"/>
    <w:next w:val="style4098"/>
    <w:link w:val="style31"/>
    <w:uiPriority w:val="99"/>
    <w:rPr>
      <w:rFonts w:ascii="Roboto" w:cs="Roboto" w:eastAsia="Roboto" w:hAnsi="Roboto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08a4dfc1-fdbc-4311-917a-536696793938"/>
    <w:basedOn w:val="style65"/>
    <w:next w:val="style4099"/>
    <w:link w:val="style32"/>
    <w:uiPriority w:val="99"/>
    <w:rPr>
      <w:rFonts w:ascii="Roboto" w:cs="Roboto" w:eastAsia="Roboto" w:hAnsi="Robot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220</Words>
  <Pages>1</Pages>
  <Characters>1066</Characters>
  <Application>WPS Office</Application>
  <DocSecurity>0</DocSecurity>
  <Paragraphs>88</Paragraphs>
  <ScaleCrop>false</ScaleCrop>
  <LinksUpToDate>false</LinksUpToDate>
  <CharactersWithSpaces>1241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2022-11-05T05:30:00Z</dcterms:created>
  <dc:creator>Yashika</dc:creator>
  <lastModifiedBy>CPH2127</lastModifiedBy>
  <lastPrinted>2022-11-05T05:31:00Z</lastPrinted>
  <dcterms:modified xsi:type="dcterms:W3CDTF">2022-11-07T04:32:09Z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65884e1fbca44061a4bf89fcfe3907cb</vt:lpwstr>
  </property>
</Properties>
</file>