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8651" w14:textId="77777777" w:rsidR="00A714B2" w:rsidRDefault="00FD1337">
      <w:pPr>
        <w:pStyle w:val="Title"/>
      </w:pPr>
      <w:r>
        <w:t>Finesse × Citadel — Round 2 Report</w:t>
      </w:r>
    </w:p>
    <w:p w14:paraId="5F38C138" w14:textId="77777777" w:rsidR="00A714B2" w:rsidRDefault="00FD1337">
      <w:pPr>
        <w:pStyle w:val="Heading2"/>
      </w:pPr>
      <w:r>
        <w:rPr>
          <w:color w:val="1F4E79"/>
        </w:rPr>
        <w:t>A Price-Only Momentum / Low-Volatility Portfolio, and an Honest Account of Where Its Return Comes From</w:t>
      </w:r>
    </w:p>
    <w:p w14:paraId="1F595B7C" w14:textId="77777777" w:rsidR="00A714B2" w:rsidRDefault="00FD1337">
      <w:r>
        <w:rPr>
          <w:b/>
        </w:rPr>
        <w:t>Universe:</w:t>
      </w:r>
      <w:r>
        <w:t xml:space="preserve"> Nifty 100 + Nifty Midcap 100 + Nifty Smallcap 100 (300 names)  ·  </w:t>
      </w:r>
      <w:r>
        <w:rPr>
          <w:b/>
        </w:rPr>
        <w:t>Capital:</w:t>
      </w:r>
      <w:r>
        <w:t xml:space="preserve"> ₹1,00,00,000  ·  </w:t>
      </w:r>
      <w:r>
        <w:rPr>
          <w:b/>
        </w:rPr>
        <w:t>Backtest:</w:t>
      </w:r>
      <w:r>
        <w:t xml:space="preserve"> 1 Jan 2021 – 31 Dec 2025  ·  </w:t>
      </w:r>
      <w:r>
        <w:rPr>
          <w:b/>
        </w:rPr>
        <w:t>Held-out stress test:</w:t>
      </w:r>
      <w:r>
        <w:t xml:space="preserve"> 1 Jan – 30 Jun 2026  ·  </w:t>
      </w:r>
      <w:r>
        <w:rPr>
          <w:b/>
        </w:rPr>
        <w:t>Cost:</w:t>
      </w:r>
      <w:r>
        <w:t xml:space="preserve"> 0.1% per transaction, both legs</w:t>
      </w:r>
    </w:p>
    <w:p w14:paraId="42176B3B" w14:textId="77777777" w:rsidR="00A714B2" w:rsidRDefault="00A714B2">
      <w:pPr>
        <w:pBdr>
          <w:bottom w:val="single" w:sz="6" w:space="1" w:color="BBBBBB"/>
        </w:pBdr>
      </w:pPr>
    </w:p>
    <w:p w14:paraId="17797F57" w14:textId="77777777" w:rsidR="00A714B2" w:rsidRDefault="00FD1337">
      <w:pPr>
        <w:pStyle w:val="Heading2"/>
      </w:pPr>
      <w:r>
        <w:rPr>
          <w:color w:val="1F4E79"/>
        </w:rPr>
        <w:t>1. Problem and Strategy Overview</w:t>
      </w:r>
    </w:p>
    <w:p w14:paraId="2B16FC55" w14:textId="77777777" w:rsidR="00A714B2" w:rsidRDefault="00FD1337">
      <w:r>
        <w:t xml:space="preserve">The mandate is to build and manage a ≤10-stock equity portfolio from the Nifty 100 / Midcap 100 / Smallcap 100 universe, starting from ₹1 crore, and to be ranked on </w:t>
      </w:r>
      <w:r>
        <w:rPr>
          <w:b/>
        </w:rPr>
        <w:t>Total Net PnL</w:t>
      </w:r>
      <w:r>
        <w:t xml:space="preserve"> — with a forward-looking out-of-sample test and a jury round that explicitly reward robustness and transparency over hindsight.</w:t>
      </w:r>
    </w:p>
    <w:p w14:paraId="2BDB068C" w14:textId="77777777" w:rsidR="00A714B2" w:rsidRDefault="00FD1337">
      <w:r>
        <w:rPr>
          <w:b/>
        </w:rPr>
        <w:t>Strategy in one sentence:</w:t>
      </w:r>
      <w:r>
        <w:t xml:space="preserve"> each month, hold the ten most liquid stocks that combine strong 12-month price momentum with low recent volatility, weighting winners more heavily but capping any single name at 25%.</w:t>
      </w:r>
    </w:p>
    <w:p w14:paraId="0C96EF25" w14:textId="77777777" w:rsidR="00A714B2" w:rsidRDefault="00FD1337">
      <w:r>
        <w:t xml:space="preserve">The premium we are harvesting is well documented: </w:t>
      </w:r>
      <w:r>
        <w:rPr>
          <w:b/>
        </w:rPr>
        <w:t>cross-sectional momentum</w:t>
      </w:r>
      <w:r>
        <w:t xml:space="preserve"> (past relative winners keep winning over 3–12 month horizons) tempered by a </w:t>
      </w:r>
      <w:r>
        <w:rPr>
          <w:b/>
        </w:rPr>
        <w:t>low-volatility</w:t>
      </w:r>
      <w:r>
        <w:t xml:space="preserve"> overlay that trims the drawdowns momentum is prone to. We chose a price-only composite deliberately — momentum and volatility are computable cleanly from daily OHLCV for 300 mid- and small-caps, whereas point-in-time fundamentals for that universe are neither free nor reliable on this timeline. Every design choice is one we can defend from the literature, not one reverse-engineered from the backtest.</w:t>
      </w:r>
    </w:p>
    <w:p w14:paraId="15612075" w14:textId="77777777" w:rsidR="00A714B2" w:rsidRDefault="00FD1337">
      <w:r>
        <w:t xml:space="preserve">Because Total Net PnL over a five-year Indian mid/small-cap bull run will look spectacular for almost </w:t>
      </w:r>
      <w:r>
        <w:rPr>
          <w:i/>
        </w:rPr>
        <w:t>any</w:t>
      </w:r>
      <w:r>
        <w:t xml:space="preserve"> long portfolio, the central discipline of this report is separating the return </w:t>
      </w:r>
      <w:r>
        <w:rPr>
          <w:b/>
        </w:rPr>
        <w:t>we created</w:t>
      </w:r>
      <w:r>
        <w:t xml:space="preserve"> from the return </w:t>
      </w:r>
      <w:r>
        <w:rPr>
          <w:b/>
        </w:rPr>
        <w:t>the universe handed us</w:t>
      </w:r>
      <w:r>
        <w:t>. We quantify that split explicitly (§5) rather than leaving the reader to wonder.</w:t>
      </w:r>
    </w:p>
    <w:p w14:paraId="4A26DCF4" w14:textId="77777777" w:rsidR="00A714B2" w:rsidRDefault="00FD1337">
      <w:pPr>
        <w:pStyle w:val="Heading2"/>
      </w:pPr>
      <w:r>
        <w:rPr>
          <w:color w:val="1F4E79"/>
        </w:rPr>
        <w:t>2.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714B2" w14:paraId="638CB223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4FF75C2C" w14:textId="77777777" w:rsidR="00A714B2" w:rsidRDefault="00FD1337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4320" w:type="dxa"/>
            <w:shd w:val="clear" w:color="auto" w:fill="1F4E79"/>
          </w:tcPr>
          <w:p w14:paraId="5F97F486" w14:textId="77777777" w:rsidR="00A714B2" w:rsidRDefault="00FD1337">
            <w:r>
              <w:rPr>
                <w:b/>
                <w:color w:val="FFFFFF"/>
                <w:sz w:val="19"/>
              </w:rPr>
              <w:t>Detail</w:t>
            </w:r>
          </w:p>
        </w:tc>
      </w:tr>
      <w:tr w:rsidR="00A714B2" w14:paraId="09CF35C5" w14:textId="77777777">
        <w:trPr>
          <w:jc w:val="center"/>
        </w:trPr>
        <w:tc>
          <w:tcPr>
            <w:tcW w:w="4320" w:type="dxa"/>
          </w:tcPr>
          <w:p w14:paraId="279AD36A" w14:textId="77777777" w:rsidR="00A714B2" w:rsidRDefault="00FD1337">
            <w:r>
              <w:rPr>
                <w:sz w:val="19"/>
              </w:rPr>
              <w:t>Source</w:t>
            </w:r>
          </w:p>
        </w:tc>
        <w:tc>
          <w:tcPr>
            <w:tcW w:w="4320" w:type="dxa"/>
          </w:tcPr>
          <w:p w14:paraId="79AD5628" w14:textId="77777777" w:rsidR="00A714B2" w:rsidRDefault="00FD1337">
            <w:r>
              <w:rPr>
                <w:sz w:val="19"/>
              </w:rPr>
              <w:t xml:space="preserve">Yahoo Finance via </w:t>
            </w:r>
            <w:r>
              <w:rPr>
                <w:rFonts w:ascii="Consolas" w:hAnsi="Consolas"/>
                <w:sz w:val="19"/>
              </w:rPr>
              <w:t>yfinance</w:t>
            </w:r>
            <w:r>
              <w:rPr>
                <w:sz w:val="19"/>
              </w:rPr>
              <w:t xml:space="preserve">; NSE tickers with </w:t>
            </w:r>
            <w:r>
              <w:rPr>
                <w:rFonts w:ascii="Consolas" w:hAnsi="Consolas"/>
                <w:sz w:val="19"/>
              </w:rPr>
              <w:t>.NS</w:t>
            </w:r>
            <w:r>
              <w:rPr>
                <w:sz w:val="19"/>
              </w:rPr>
              <w:t xml:space="preserve"> suffix</w:t>
            </w:r>
          </w:p>
        </w:tc>
      </w:tr>
      <w:tr w:rsidR="00A714B2" w14:paraId="7773FC58" w14:textId="77777777">
        <w:trPr>
          <w:jc w:val="center"/>
        </w:trPr>
        <w:tc>
          <w:tcPr>
            <w:tcW w:w="4320" w:type="dxa"/>
          </w:tcPr>
          <w:p w14:paraId="6D4E7625" w14:textId="77777777" w:rsidR="00A714B2" w:rsidRDefault="00FD1337">
            <w:r>
              <w:rPr>
                <w:sz w:val="19"/>
              </w:rPr>
              <w:t>Frequency</w:t>
            </w:r>
          </w:p>
        </w:tc>
        <w:tc>
          <w:tcPr>
            <w:tcW w:w="4320" w:type="dxa"/>
          </w:tcPr>
          <w:p w14:paraId="76175064" w14:textId="77777777" w:rsidR="00A714B2" w:rsidRDefault="00FD1337">
            <w:r>
              <w:rPr>
                <w:sz w:val="19"/>
              </w:rPr>
              <w:t>Daily OHLCV</w:t>
            </w:r>
          </w:p>
        </w:tc>
      </w:tr>
      <w:tr w:rsidR="00A714B2" w14:paraId="2F395839" w14:textId="77777777">
        <w:trPr>
          <w:jc w:val="center"/>
        </w:trPr>
        <w:tc>
          <w:tcPr>
            <w:tcW w:w="4320" w:type="dxa"/>
          </w:tcPr>
          <w:p w14:paraId="37A4AB17" w14:textId="77777777" w:rsidR="00A714B2" w:rsidRDefault="00FD1337">
            <w:r>
              <w:rPr>
                <w:sz w:val="19"/>
              </w:rPr>
              <w:t>Period pulled</w:t>
            </w:r>
          </w:p>
        </w:tc>
        <w:tc>
          <w:tcPr>
            <w:tcW w:w="4320" w:type="dxa"/>
          </w:tcPr>
          <w:p w14:paraId="43445338" w14:textId="77777777" w:rsidR="00A714B2" w:rsidRDefault="00FD1337">
            <w:r>
              <w:rPr>
                <w:sz w:val="19"/>
              </w:rPr>
              <w:t>1 Jun 2019 – 30 Jun 2026 (18-month lead-in so 12-month momentum is computable on the first backtest day)</w:t>
            </w:r>
          </w:p>
        </w:tc>
      </w:tr>
      <w:tr w:rsidR="00A714B2" w14:paraId="7883BA70" w14:textId="77777777">
        <w:trPr>
          <w:jc w:val="center"/>
        </w:trPr>
        <w:tc>
          <w:tcPr>
            <w:tcW w:w="4320" w:type="dxa"/>
          </w:tcPr>
          <w:p w14:paraId="45FA441F" w14:textId="77777777" w:rsidR="00A714B2" w:rsidRDefault="00FD1337">
            <w:r>
              <w:rPr>
                <w:sz w:val="19"/>
              </w:rPr>
              <w:t>Features</w:t>
            </w:r>
          </w:p>
        </w:tc>
        <w:tc>
          <w:tcPr>
            <w:tcW w:w="4320" w:type="dxa"/>
          </w:tcPr>
          <w:p w14:paraId="2D1422B1" w14:textId="77777777" w:rsidR="00A714B2" w:rsidRDefault="00FD1337">
            <w:r>
              <w:rPr>
                <w:sz w:val="19"/>
              </w:rPr>
              <w:t>Split/dividend-adjusted close (returns), raw volume (liquidity screen)</w:t>
            </w:r>
          </w:p>
        </w:tc>
      </w:tr>
      <w:tr w:rsidR="00A714B2" w14:paraId="430EFEEE" w14:textId="77777777">
        <w:trPr>
          <w:jc w:val="center"/>
        </w:trPr>
        <w:tc>
          <w:tcPr>
            <w:tcW w:w="4320" w:type="dxa"/>
          </w:tcPr>
          <w:p w14:paraId="7094483B" w14:textId="77777777" w:rsidR="00A714B2" w:rsidRDefault="00FD1337">
            <w:r>
              <w:rPr>
                <w:sz w:val="19"/>
              </w:rPr>
              <w:t>Universe source</w:t>
            </w:r>
          </w:p>
        </w:tc>
        <w:tc>
          <w:tcPr>
            <w:tcW w:w="4320" w:type="dxa"/>
          </w:tcPr>
          <w:p w14:paraId="03A3EEDB" w14:textId="77777777" w:rsidR="00A714B2" w:rsidRDefault="00FD1337">
            <w:r>
              <w:rPr>
                <w:sz w:val="19"/>
              </w:rPr>
              <w:t>Official niftyindices.com constituent lists, snapshot 25 Aug 2026, committed to the repo</w:t>
            </w:r>
          </w:p>
        </w:tc>
      </w:tr>
      <w:tr w:rsidR="00A714B2" w14:paraId="59827552" w14:textId="77777777">
        <w:trPr>
          <w:jc w:val="center"/>
        </w:trPr>
        <w:tc>
          <w:tcPr>
            <w:tcW w:w="4320" w:type="dxa"/>
          </w:tcPr>
          <w:p w14:paraId="3156D338" w14:textId="77777777" w:rsidR="00A714B2" w:rsidRDefault="00FD1337">
            <w:r>
              <w:rPr>
                <w:sz w:val="19"/>
              </w:rPr>
              <w:t>Cleaning</w:t>
            </w:r>
          </w:p>
        </w:tc>
        <w:tc>
          <w:tcPr>
            <w:tcW w:w="4320" w:type="dxa"/>
          </w:tcPr>
          <w:p w14:paraId="6AF1CE41" w14:textId="77777777" w:rsidR="00A714B2" w:rsidRDefault="00FD1337">
            <w:r>
              <w:rPr>
                <w:rFonts w:ascii="Consolas" w:hAnsi="Consolas"/>
                <w:sz w:val="19"/>
              </w:rPr>
              <w:t>auto_adjust=True</w:t>
            </w:r>
            <w:r>
              <w:rPr>
                <w:sz w:val="19"/>
              </w:rPr>
              <w:t xml:space="preserve"> for splits/dividends; forward-</w:t>
            </w:r>
            <w:r>
              <w:rPr>
                <w:sz w:val="19"/>
              </w:rPr>
              <w:lastRenderedPageBreak/>
              <w:t>fill gaps ≤5 days; never fabricate a price before a stock's first trade</w:t>
            </w:r>
          </w:p>
        </w:tc>
      </w:tr>
      <w:tr w:rsidR="00A714B2" w14:paraId="7C24E44E" w14:textId="77777777">
        <w:trPr>
          <w:jc w:val="center"/>
        </w:trPr>
        <w:tc>
          <w:tcPr>
            <w:tcW w:w="4320" w:type="dxa"/>
          </w:tcPr>
          <w:p w14:paraId="7CDB9F3B" w14:textId="77777777" w:rsidR="00A714B2" w:rsidRDefault="00FD1337">
            <w:r>
              <w:rPr>
                <w:sz w:val="19"/>
              </w:rPr>
              <w:lastRenderedPageBreak/>
              <w:t>Coverage</w:t>
            </w:r>
          </w:p>
        </w:tc>
        <w:tc>
          <w:tcPr>
            <w:tcW w:w="4320" w:type="dxa"/>
          </w:tcPr>
          <w:p w14:paraId="10788F7A" w14:textId="77777777" w:rsidR="00A714B2" w:rsidRDefault="00FD1337">
            <w:r>
              <w:rPr>
                <w:sz w:val="19"/>
              </w:rPr>
              <w:t>300 names + 2 benchmark indices; 0 download failures; 0 names above 5% missing days; 64 names listed after 1 Jan 2021 and are simply unscoreable until they have 12 months of history</w:t>
            </w:r>
          </w:p>
        </w:tc>
      </w:tr>
    </w:tbl>
    <w:p w14:paraId="2E576BE3" w14:textId="77777777" w:rsidR="00A714B2" w:rsidRDefault="00A714B2"/>
    <w:p w14:paraId="6AD2BE80" w14:textId="5DE3D1BD" w:rsidR="00A714B2" w:rsidRDefault="00FD1337">
      <w:r>
        <w:t>Two points</w:t>
      </w:r>
      <w:r w:rsidR="0040067B">
        <w:t xml:space="preserve"> we wish to bring to the notice of the evaluators :</w:t>
      </w:r>
    </w:p>
    <w:p w14:paraId="31E328F1" w14:textId="77777777" w:rsidR="00A714B2" w:rsidRDefault="00FD1337">
      <w:pPr>
        <w:pStyle w:val="ListBullet"/>
      </w:pPr>
      <w:r>
        <w:rPr>
          <w:b/>
        </w:rPr>
        <w:t>Adjusted vs raw close.</w:t>
      </w:r>
      <w:r>
        <w:t xml:space="preserve"> We use split- and dividend-adjusted close for all return math; using raw close would inject a spurious −50% "return" on every split date. The liquidity screen uses rupee turnover (close × volume) so it is unaffected by the adjustment basis.</w:t>
      </w:r>
    </w:p>
    <w:p w14:paraId="72A66384" w14:textId="77777777" w:rsidR="00A714B2" w:rsidRDefault="00FD1337">
      <w:pPr>
        <w:pStyle w:val="ListBullet"/>
      </w:pPr>
      <w:r>
        <w:rPr>
          <w:b/>
        </w:rPr>
        <w:t>Survivorship / look-ahead in the universe.</w:t>
      </w:r>
      <w:r>
        <w:t xml:space="preserve"> We apply </w:t>
      </w:r>
      <w:r>
        <w:rPr>
          <w:i/>
        </w:rPr>
        <w:t>today's</w:t>
      </w:r>
      <w:r>
        <w:t xml:space="preserve"> constituent lists across 2021–2025. This is the compliant reading of the mandate (the rules name the indices with no as-of date and ask that only current-list names be held), but it does bias results upward, because index promotion follows good performance. We do not hide this — we </w:t>
      </w:r>
      <w:r>
        <w:rPr>
          <w:b/>
        </w:rPr>
        <w:t>measure</w:t>
      </w:r>
      <w:r>
        <w:t xml:space="preserve"> it (§5) and </w:t>
      </w:r>
      <w:r>
        <w:rPr>
          <w:b/>
        </w:rPr>
        <w:t>stress-test</w:t>
      </w:r>
      <w:r>
        <w:t xml:space="preserve"> it against a 2023 point-in-time universe (§7).</w:t>
      </w:r>
    </w:p>
    <w:p w14:paraId="7444A11B" w14:textId="77777777" w:rsidR="00A714B2" w:rsidRDefault="00FD1337">
      <w:pPr>
        <w:pStyle w:val="Heading2"/>
      </w:pPr>
      <w:r>
        <w:rPr>
          <w:color w:val="1F4E79"/>
        </w:rPr>
        <w:t>3. Methodology</w:t>
      </w:r>
    </w:p>
    <w:p w14:paraId="07E58737" w14:textId="77777777" w:rsidR="00A714B2" w:rsidRDefault="00FD1337">
      <w:pPr>
        <w:pStyle w:val="Heading3"/>
      </w:pPr>
      <w:r>
        <w:rPr>
          <w:color w:val="1F4E79"/>
        </w:rPr>
        <w:t>3.1 Stock-selection rule</w:t>
      </w:r>
    </w:p>
    <w:p w14:paraId="0B810CF2" w14:textId="77777777" w:rsidR="00A714B2" w:rsidRDefault="00FD1337">
      <w:r>
        <w:t>On the first trading day of each month, using only data up to and including that day:</w:t>
      </w:r>
    </w:p>
    <w:p w14:paraId="70DA49B9" w14:textId="77777777" w:rsidR="00A714B2" w:rsidRDefault="00FD1337">
      <w:pPr>
        <w:pStyle w:val="ListNumber"/>
      </w:pPr>
      <w:r>
        <w:rPr>
          <w:b/>
        </w:rPr>
        <w:t>Liquidity screen</w:t>
      </w:r>
      <w:r>
        <w:t xml:space="preserve"> — keep names whose trailing-3-month average daily rupee turnover exceeds </w:t>
      </w:r>
      <w:r>
        <w:rPr>
          <w:b/>
        </w:rPr>
        <w:t>₹</w:t>
      </w:r>
      <w:r>
        <w:rPr>
          <w:b/>
        </w:rPr>
        <w:t>5 crore</w:t>
      </w:r>
      <w:r>
        <w:t>. A ₹10–25 lakh position is then well under 1% of a typical day's volume, so our fill assumptions are realistic.</w:t>
      </w:r>
    </w:p>
    <w:p w14:paraId="014B25B0" w14:textId="77777777" w:rsidR="00A714B2" w:rsidRDefault="00FD1337">
      <w:pPr>
        <w:pStyle w:val="ListNumber"/>
      </w:pPr>
      <w:r>
        <w:rPr>
          <w:b/>
        </w:rPr>
        <w:t>Score</w:t>
      </w:r>
      <w:r>
        <w:t xml:space="preserve"> each surviving name on a cross-sectional z-score composite: </w:t>
      </w:r>
      <w:r>
        <w:rPr>
          <w:b/>
        </w:rPr>
        <w:t>0.55 × momentum + 0.45 × low-volatility</w:t>
      </w:r>
      <w:r>
        <w:t xml:space="preserve">, where momentum is the cumulative return from </w:t>
      </w:r>
      <w:r>
        <w:rPr>
          <w:i/>
        </w:rPr>
        <w:t>t</w:t>
      </w:r>
      <w:r>
        <w:t>−</w:t>
      </w:r>
      <w:r>
        <w:t xml:space="preserve">12 months to </w:t>
      </w:r>
      <w:r>
        <w:rPr>
          <w:i/>
        </w:rPr>
        <w:t>t</w:t>
      </w:r>
      <w:r>
        <w:t>−</w:t>
      </w:r>
      <w:r>
        <w:t xml:space="preserve">2 months, and low-volatility is the negative of annualised daily-return σ over the trailing 6 months. Z-scoring each factor first makes the weights meaningful; a name must have a valid value for </w:t>
      </w:r>
      <w:r>
        <w:rPr>
          <w:i/>
        </w:rPr>
        <w:t>both</w:t>
      </w:r>
      <w:r>
        <w:t xml:space="preserve"> factors to be scored.</w:t>
      </w:r>
    </w:p>
    <w:p w14:paraId="3AF17E92" w14:textId="77777777" w:rsidR="00A714B2" w:rsidRDefault="00FD1337">
      <w:pPr>
        <w:pStyle w:val="ListNumber"/>
      </w:pPr>
      <w:r>
        <w:rPr>
          <w:b/>
        </w:rPr>
        <w:t>Select</w:t>
      </w:r>
      <w:r>
        <w:t xml:space="preserve"> the top 10 by composite score.</w:t>
      </w:r>
    </w:p>
    <w:p w14:paraId="5D917244" w14:textId="77777777" w:rsidR="00A714B2" w:rsidRDefault="00FD1337">
      <w:pPr>
        <w:pStyle w:val="Heading3"/>
      </w:pPr>
      <w:r>
        <w:rPr>
          <w:color w:val="1F4E79"/>
        </w:rPr>
        <w:t>3.2 Weighting rule</w:t>
      </w:r>
    </w:p>
    <w:p w14:paraId="2FD98E18" w14:textId="77777777" w:rsidR="00A714B2" w:rsidRDefault="00FD1337">
      <w:r>
        <w:t xml:space="preserve">Rank-proportional among the ten (rank 1..10, so all weights are positive and scale-free — a z-score can be negative, which naive score-proportional weighting cannot handle in a long-only book), then apply a </w:t>
      </w:r>
      <w:r>
        <w:rPr>
          <w:b/>
        </w:rPr>
        <w:t>25% per-name cap</w:t>
      </w:r>
      <w:r>
        <w:t xml:space="preserve"> and renormalise iteratively to a fixed point. If the cap cannot be satisfied fully invested, the remainder is held as cash rather than breaching the limit.</w:t>
      </w:r>
    </w:p>
    <w:p w14:paraId="482CFE11" w14:textId="77777777" w:rsidR="00A714B2" w:rsidRDefault="00FD1337">
      <w:pPr>
        <w:pStyle w:val="Heading3"/>
      </w:pPr>
      <w:r>
        <w:rPr>
          <w:color w:val="1F4E79"/>
        </w:rPr>
        <w:t>3.3 Rebalancing / trading logic</w:t>
      </w:r>
    </w:p>
    <w:p w14:paraId="011BB9BB" w14:textId="77777777" w:rsidR="00A714B2" w:rsidRDefault="00FD1337">
      <w:r>
        <w:t xml:space="preserve">Monthly. </w:t>
      </w:r>
      <w:r>
        <w:rPr>
          <w:b/>
        </w:rPr>
        <w:t>Signal is formed on day *d*'s close and executed at day *d+1*'s close</w:t>
      </w:r>
      <w:r>
        <w:t xml:space="preserve"> — one full session of separation, so we never trade on a price we could not have observed when deciding. A </w:t>
      </w:r>
      <w:r>
        <w:rPr>
          <w:b/>
        </w:rPr>
        <w:t>hysteresis buffer</w:t>
      </w:r>
      <w:r>
        <w:t xml:space="preserve"> reduces churn: a held name is sold only once it drops out of the top 15, while new entrants must still crack the top 10. The </w:t>
      </w:r>
      <w:r>
        <w:rPr>
          <w:b/>
        </w:rPr>
        <w:t>0.1% cost is charged on the notional of every buy and every sell</w:t>
      </w:r>
      <w:r>
        <w:t xml:space="preserve">, folded into cost basis and proceeds so it flows through realised P&amp;L. Accounting is </w:t>
      </w:r>
      <w:r>
        <w:rPr>
          <w:b/>
        </w:rPr>
        <w:t>share-based</w:t>
      </w:r>
      <w:r>
        <w:t xml:space="preserve"> </w:t>
      </w:r>
      <w:r>
        <w:lastRenderedPageBreak/>
        <w:t>(integer shares + explicit cash; NAV is derived), which is the only way to represent transaction costs and cash drag honestly.</w:t>
      </w:r>
    </w:p>
    <w:p w14:paraId="1FB0EF76" w14:textId="77777777" w:rsidR="00A714B2" w:rsidRDefault="00FD1337">
      <w:pPr>
        <w:pStyle w:val="Heading3"/>
      </w:pPr>
      <w:r>
        <w:rPr>
          <w:color w:val="1F4E79"/>
        </w:rPr>
        <w:t>3.4 Risk management</w:t>
      </w:r>
    </w:p>
    <w:p w14:paraId="61DF4201" w14:textId="77777777" w:rsidR="00A714B2" w:rsidRDefault="00FD1337">
      <w:r>
        <w:t>Position cap of 25%; ≤10 names; long-only, cash-funded, never leveraged or short; cash never negative. Beyond the weight cap and the low-volatility leg (which meaningfully tightens drawdown) there are no discretionary overrides — a deliberate choice, so the same rule applies to every holding in every month.</w:t>
      </w:r>
    </w:p>
    <w:p w14:paraId="4CF41849" w14:textId="77777777" w:rsidR="00A714B2" w:rsidRDefault="00FD1337">
      <w:pPr>
        <w:ind w:left="360"/>
      </w:pPr>
      <w:r>
        <w:rPr>
          <w:b/>
          <w:i/>
          <w:color w:val="555555"/>
        </w:rPr>
        <w:t>Consistency (mandate §3):</w:t>
      </w:r>
      <w:r>
        <w:rPr>
          <w:i/>
          <w:color w:val="555555"/>
        </w:rPr>
        <w:t xml:space="preserve"> the identical scoring, weighting and trading rule is</w:t>
      </w:r>
    </w:p>
    <w:p w14:paraId="4B548AAD" w14:textId="77777777" w:rsidR="00A714B2" w:rsidRDefault="00FD1337">
      <w:pPr>
        <w:ind w:left="360"/>
      </w:pPr>
      <w:r>
        <w:rPr>
          <w:i/>
          <w:color w:val="555555"/>
        </w:rPr>
        <w:t>applied to every name in every rebalance. There are no stock-specific adjustments.</w:t>
      </w:r>
    </w:p>
    <w:p w14:paraId="0558E6BE" w14:textId="77777777" w:rsidR="00A714B2" w:rsidRDefault="00FD1337">
      <w:pPr>
        <w:pStyle w:val="Heading3"/>
      </w:pPr>
      <w:r>
        <w:rPr>
          <w:color w:val="1F4E79"/>
        </w:rPr>
        <w:t>3.5 How the parameters were chosen — and why 2026 played no part</w:t>
      </w:r>
    </w:p>
    <w:p w14:paraId="3E98BCF9" w14:textId="77777777" w:rsidR="00A714B2" w:rsidRDefault="00FD1337">
      <w:r>
        <w:t xml:space="preserve">Every parameter is either convention/mandate (12-month lookback, 6-month vol window, 25% cap, 10 names, monthly, ₹5cr screen) or was chosen on an </w:t>
      </w:r>
      <w:r>
        <w:rPr>
          <w:b/>
        </w:rPr>
        <w:t>in-sample train/validate split</w:t>
      </w:r>
      <w:r>
        <w:t xml:space="preserve"> — </w:t>
      </w:r>
      <w:r>
        <w:rPr>
          <w:b/>
        </w:rPr>
        <w:t>2021–2023 to choose, 2024–2025 to confirm</w:t>
      </w:r>
      <w:r>
        <w:t xml:space="preserve"> — that never touches the 2026 window. Only two parameters were data-chosen at all:</w:t>
      </w:r>
    </w:p>
    <w:p w14:paraId="04966DE8" w14:textId="77777777" w:rsidR="00A714B2" w:rsidRDefault="00FD1337">
      <w:pPr>
        <w:pStyle w:val="ListBullet"/>
      </w:pPr>
      <w:r>
        <w:rPr>
          <w:b/>
        </w:rPr>
        <w:t>Momentum skip = 2 months.</w:t>
      </w:r>
      <w:r>
        <w:t xml:space="preserve"> Train selection alpha humps on 2 (+28.9pp), and 2 also validates strongly on 2024–2025 (+11.8pp).</w:t>
      </w:r>
    </w:p>
    <w:p w14:paraId="1A0321C5" w14:textId="77777777" w:rsidR="00A714B2" w:rsidRDefault="00FD1337">
      <w:pPr>
        <w:pStyle w:val="ListBullet"/>
      </w:pPr>
      <w:r>
        <w:rPr>
          <w:b/>
        </w:rPr>
        <w:t>Factor weight = 55/45.</w:t>
      </w:r>
      <w:r>
        <w:t xml:space="preserve"> Train selection alpha keeps rising to 65–80%, but </w:t>
      </w:r>
      <w:r>
        <w:rPr>
          <w:i/>
        </w:rPr>
        <w:t>validate</w:t>
      </w:r>
      <w:r>
        <w:t xml:space="preserve"> peaks at 50–55% and falls above it — the higher train optimum is precisely the region that fails to generalise. We took the validate-optimal 55%, not the train-optimal.</w:t>
      </w:r>
    </w:p>
    <w:p w14:paraId="053336CC" w14:textId="77777777" w:rsidR="00A714B2" w:rsidRDefault="00FD1337">
      <w:r>
        <w:t xml:space="preserve">This is the crux of our robustness argument: we selected by </w:t>
      </w:r>
      <w:r>
        <w:rPr>
          <w:b/>
        </w:rPr>
        <w:t>generalisation</w:t>
      </w:r>
      <w:r>
        <w:t xml:space="preserve">, not by in-sample peak, and the out-of-sample window was computed only after the model was frozen. Reproduce with </w:t>
      </w:r>
      <w:r>
        <w:rPr>
          <w:rFonts w:ascii="Consolas" w:hAnsi="Consolas"/>
          <w:sz w:val="19"/>
        </w:rPr>
        <w:t>python -m src.experiments --select</w:t>
      </w:r>
      <w:r>
        <w:t>.</w:t>
      </w:r>
    </w:p>
    <w:p w14:paraId="18C9D461" w14:textId="77777777" w:rsidR="00A714B2" w:rsidRDefault="00FD1337">
      <w:pPr>
        <w:pStyle w:val="Heading2"/>
      </w:pPr>
      <w:r>
        <w:rPr>
          <w:color w:val="1F4E79"/>
        </w:rPr>
        <w:t>4. Tools / Software Used</w:t>
      </w:r>
    </w:p>
    <w:p w14:paraId="11E53D6C" w14:textId="77777777" w:rsidR="00A714B2" w:rsidRDefault="00FD1337">
      <w:r>
        <w:t xml:space="preserve">Python 3. </w:t>
      </w:r>
      <w:r>
        <w:rPr>
          <w:rFonts w:ascii="Consolas" w:hAnsi="Consolas"/>
          <w:sz w:val="19"/>
        </w:rPr>
        <w:t>pandas</w:t>
      </w:r>
      <w:r>
        <w:t>/</w:t>
      </w:r>
      <w:r>
        <w:rPr>
          <w:rFonts w:ascii="Consolas" w:hAnsi="Consolas"/>
          <w:sz w:val="19"/>
        </w:rPr>
        <w:t>numpy</w:t>
      </w:r>
      <w:r>
        <w:t xml:space="preserve"> for the data panel and vectorised factor math; </w:t>
      </w:r>
      <w:r>
        <w:rPr>
          <w:rFonts w:ascii="Consolas" w:hAnsi="Consolas"/>
          <w:sz w:val="19"/>
        </w:rPr>
        <w:t>scipy</w:t>
      </w:r>
      <w:r>
        <w:t xml:space="preserve"> for statistics; </w:t>
      </w:r>
      <w:r>
        <w:rPr>
          <w:rFonts w:ascii="Consolas" w:hAnsi="Consolas"/>
          <w:sz w:val="19"/>
        </w:rPr>
        <w:t>matplotlib</w:t>
      </w:r>
      <w:r>
        <w:t xml:space="preserve"> for figures; </w:t>
      </w:r>
      <w:r>
        <w:rPr>
          <w:rFonts w:ascii="Consolas" w:hAnsi="Consolas"/>
          <w:sz w:val="19"/>
        </w:rPr>
        <w:t>pyyaml</w:t>
      </w:r>
      <w:r>
        <w:t xml:space="preserve"> for the single config file; </w:t>
      </w:r>
      <w:r>
        <w:rPr>
          <w:rFonts w:ascii="Consolas" w:hAnsi="Consolas"/>
          <w:sz w:val="19"/>
        </w:rPr>
        <w:t>yfinance</w:t>
      </w:r>
      <w:r>
        <w:t xml:space="preserve"> for data. No optimiser and no ML — the strategy is a transparent rules engine by design. The backtest engine, metrics and factors are covered by </w:t>
      </w:r>
      <w:r>
        <w:rPr>
          <w:b/>
        </w:rPr>
        <w:t>124 unit tests</w:t>
      </w:r>
      <w:r>
        <w:t xml:space="preserve"> (</w:t>
      </w:r>
      <w:r>
        <w:rPr>
          <w:rFonts w:ascii="Consolas" w:hAnsi="Consolas"/>
          <w:sz w:val="19"/>
        </w:rPr>
        <w:t>pytest</w:t>
      </w:r>
      <w:r>
        <w:t xml:space="preserve">), including a no-look-ahead truncation-invariance test. Exact versions in </w:t>
      </w:r>
      <w:r>
        <w:rPr>
          <w:rFonts w:ascii="Consolas" w:hAnsi="Consolas"/>
          <w:sz w:val="19"/>
        </w:rPr>
        <w:t>requirements.txt</w:t>
      </w:r>
      <w:r>
        <w:t xml:space="preserve">; full pipeline in </w:t>
      </w:r>
      <w:r>
        <w:rPr>
          <w:rFonts w:ascii="Consolas" w:hAnsi="Consolas"/>
          <w:sz w:val="19"/>
        </w:rPr>
        <w:t>README.md</w:t>
      </w:r>
      <w:r>
        <w:t>.</w:t>
      </w:r>
    </w:p>
    <w:p w14:paraId="227203D8" w14:textId="77777777" w:rsidR="00A714B2" w:rsidRDefault="00FD1337">
      <w:pPr>
        <w:pStyle w:val="Heading2"/>
      </w:pPr>
      <w:r>
        <w:rPr>
          <w:color w:val="1F4E79"/>
        </w:rPr>
        <w:t>5. Results and Performance Metrics</w:t>
      </w:r>
    </w:p>
    <w:p w14:paraId="0B0A445F" w14:textId="77777777" w:rsidR="00A714B2" w:rsidRDefault="00FD1337">
      <w:pPr>
        <w:pStyle w:val="Heading3"/>
      </w:pPr>
      <w:r>
        <w:rPr>
          <w:color w:val="1F4E79"/>
        </w:rPr>
        <w:t>5.1 Final portfolio composition (holdings on 31 Dec 2025)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714B2" w14:paraId="73073457" w14:textId="77777777">
        <w:trPr>
          <w:jc w:val="center"/>
        </w:trPr>
        <w:tc>
          <w:tcPr>
            <w:tcW w:w="1728" w:type="dxa"/>
            <w:shd w:val="clear" w:color="auto" w:fill="1F4E79"/>
          </w:tcPr>
          <w:p w14:paraId="23EDAE41" w14:textId="77777777" w:rsidR="00A714B2" w:rsidRDefault="00FD1337">
            <w:r>
              <w:rPr>
                <w:b/>
                <w:color w:val="FFFFFF"/>
                <w:sz w:val="19"/>
              </w:rPr>
              <w:t>Ticker</w:t>
            </w:r>
          </w:p>
        </w:tc>
        <w:tc>
          <w:tcPr>
            <w:tcW w:w="1728" w:type="dxa"/>
            <w:shd w:val="clear" w:color="auto" w:fill="1F4E79"/>
          </w:tcPr>
          <w:p w14:paraId="7042C0DD" w14:textId="77777777" w:rsidR="00A714B2" w:rsidRDefault="00FD1337"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1728" w:type="dxa"/>
            <w:shd w:val="clear" w:color="auto" w:fill="1F4E79"/>
          </w:tcPr>
          <w:p w14:paraId="4BEDC28A" w14:textId="77777777" w:rsidR="00A714B2" w:rsidRDefault="00FD1337">
            <w:r>
              <w:rPr>
                <w:b/>
                <w:color w:val="FFFFFF"/>
                <w:sz w:val="19"/>
              </w:rPr>
              <w:t>Sector</w:t>
            </w:r>
          </w:p>
        </w:tc>
        <w:tc>
          <w:tcPr>
            <w:tcW w:w="1728" w:type="dxa"/>
            <w:shd w:val="clear" w:color="auto" w:fill="1F4E79"/>
          </w:tcPr>
          <w:p w14:paraId="7B4D0378" w14:textId="77777777" w:rsidR="00A714B2" w:rsidRDefault="00FD1337">
            <w:r>
              <w:rPr>
                <w:b/>
                <w:color w:val="FFFFFF"/>
                <w:sz w:val="19"/>
              </w:rPr>
              <w:t>Index</w:t>
            </w:r>
          </w:p>
        </w:tc>
        <w:tc>
          <w:tcPr>
            <w:tcW w:w="1728" w:type="dxa"/>
            <w:shd w:val="clear" w:color="auto" w:fill="1F4E79"/>
          </w:tcPr>
          <w:p w14:paraId="548AFC8B" w14:textId="77777777" w:rsidR="00A714B2" w:rsidRDefault="00FD1337">
            <w:r>
              <w:rPr>
                <w:b/>
                <w:color w:val="FFFFFF"/>
                <w:sz w:val="19"/>
              </w:rPr>
              <w:t>Weight</w:t>
            </w:r>
          </w:p>
        </w:tc>
      </w:tr>
      <w:tr w:rsidR="00A714B2" w14:paraId="37AD8D3B" w14:textId="77777777">
        <w:trPr>
          <w:jc w:val="center"/>
        </w:trPr>
        <w:tc>
          <w:tcPr>
            <w:tcW w:w="1728" w:type="dxa"/>
          </w:tcPr>
          <w:p w14:paraId="766FD142" w14:textId="77777777" w:rsidR="00A714B2" w:rsidRDefault="00FD1337">
            <w:r>
              <w:rPr>
                <w:sz w:val="19"/>
              </w:rPr>
              <w:t>FORCEMOT</w:t>
            </w:r>
          </w:p>
        </w:tc>
        <w:tc>
          <w:tcPr>
            <w:tcW w:w="1728" w:type="dxa"/>
          </w:tcPr>
          <w:p w14:paraId="3ABBC14B" w14:textId="77777777" w:rsidR="00A714B2" w:rsidRDefault="00FD1337">
            <w:r>
              <w:rPr>
                <w:sz w:val="19"/>
              </w:rPr>
              <w:t>Force Motors</w:t>
            </w:r>
          </w:p>
        </w:tc>
        <w:tc>
          <w:tcPr>
            <w:tcW w:w="1728" w:type="dxa"/>
          </w:tcPr>
          <w:p w14:paraId="4FF33EE0" w14:textId="77777777" w:rsidR="00A714B2" w:rsidRDefault="00FD1337">
            <w:r>
              <w:rPr>
                <w:sz w:val="19"/>
              </w:rPr>
              <w:t>Automobile</w:t>
            </w:r>
          </w:p>
        </w:tc>
        <w:tc>
          <w:tcPr>
            <w:tcW w:w="1728" w:type="dxa"/>
          </w:tcPr>
          <w:p w14:paraId="41BFEF0B" w14:textId="77777777" w:rsidR="00A714B2" w:rsidRDefault="00FD1337">
            <w:r>
              <w:rPr>
                <w:sz w:val="19"/>
              </w:rPr>
              <w:t>Smallcap 100</w:t>
            </w:r>
          </w:p>
        </w:tc>
        <w:tc>
          <w:tcPr>
            <w:tcW w:w="1728" w:type="dxa"/>
          </w:tcPr>
          <w:p w14:paraId="7B424066" w14:textId="77777777" w:rsidR="00A714B2" w:rsidRDefault="00FD1337">
            <w:r>
              <w:rPr>
                <w:sz w:val="19"/>
              </w:rPr>
              <w:t>19.7%</w:t>
            </w:r>
          </w:p>
        </w:tc>
      </w:tr>
      <w:tr w:rsidR="00A714B2" w14:paraId="7DE0D7E0" w14:textId="77777777">
        <w:trPr>
          <w:jc w:val="center"/>
        </w:trPr>
        <w:tc>
          <w:tcPr>
            <w:tcW w:w="1728" w:type="dxa"/>
          </w:tcPr>
          <w:p w14:paraId="180FD3CC" w14:textId="77777777" w:rsidR="00A714B2" w:rsidRDefault="00FD1337">
            <w:r>
              <w:rPr>
                <w:sz w:val="19"/>
              </w:rPr>
              <w:t>MANAPPURAM</w:t>
            </w:r>
          </w:p>
        </w:tc>
        <w:tc>
          <w:tcPr>
            <w:tcW w:w="1728" w:type="dxa"/>
          </w:tcPr>
          <w:p w14:paraId="323CF7E7" w14:textId="77777777" w:rsidR="00A714B2" w:rsidRDefault="00FD1337">
            <w:r>
              <w:rPr>
                <w:sz w:val="19"/>
              </w:rPr>
              <w:t>Manappuram Finance</w:t>
            </w:r>
          </w:p>
        </w:tc>
        <w:tc>
          <w:tcPr>
            <w:tcW w:w="1728" w:type="dxa"/>
          </w:tcPr>
          <w:p w14:paraId="67FF14A2" w14:textId="77777777" w:rsidR="00A714B2" w:rsidRDefault="00FD1337">
            <w:r>
              <w:rPr>
                <w:sz w:val="19"/>
              </w:rPr>
              <w:t>Financial Services</w:t>
            </w:r>
          </w:p>
        </w:tc>
        <w:tc>
          <w:tcPr>
            <w:tcW w:w="1728" w:type="dxa"/>
          </w:tcPr>
          <w:p w14:paraId="3FC78223" w14:textId="77777777" w:rsidR="00A714B2" w:rsidRDefault="00FD1337">
            <w:r>
              <w:rPr>
                <w:sz w:val="19"/>
              </w:rPr>
              <w:t>Smallcap 100</w:t>
            </w:r>
          </w:p>
        </w:tc>
        <w:tc>
          <w:tcPr>
            <w:tcW w:w="1728" w:type="dxa"/>
          </w:tcPr>
          <w:p w14:paraId="63D85925" w14:textId="77777777" w:rsidR="00A714B2" w:rsidRDefault="00FD1337">
            <w:r>
              <w:rPr>
                <w:sz w:val="19"/>
              </w:rPr>
              <w:t>17.1%</w:t>
            </w:r>
          </w:p>
        </w:tc>
      </w:tr>
      <w:tr w:rsidR="00A714B2" w14:paraId="252D0DA9" w14:textId="77777777">
        <w:trPr>
          <w:jc w:val="center"/>
        </w:trPr>
        <w:tc>
          <w:tcPr>
            <w:tcW w:w="1728" w:type="dxa"/>
          </w:tcPr>
          <w:p w14:paraId="35C69ABF" w14:textId="77777777" w:rsidR="00A714B2" w:rsidRDefault="00FD1337">
            <w:r>
              <w:rPr>
                <w:sz w:val="19"/>
              </w:rPr>
              <w:t>LTF</w:t>
            </w:r>
          </w:p>
        </w:tc>
        <w:tc>
          <w:tcPr>
            <w:tcW w:w="1728" w:type="dxa"/>
          </w:tcPr>
          <w:p w14:paraId="1F2B5A4B" w14:textId="77777777" w:rsidR="00A714B2" w:rsidRDefault="00FD1337">
            <w:r>
              <w:rPr>
                <w:sz w:val="19"/>
              </w:rPr>
              <w:t>L&amp;T Finance</w:t>
            </w:r>
          </w:p>
        </w:tc>
        <w:tc>
          <w:tcPr>
            <w:tcW w:w="1728" w:type="dxa"/>
          </w:tcPr>
          <w:p w14:paraId="5D33BEF8" w14:textId="77777777" w:rsidR="00A714B2" w:rsidRDefault="00FD1337">
            <w:r>
              <w:rPr>
                <w:sz w:val="19"/>
              </w:rPr>
              <w:t>Financial Services</w:t>
            </w:r>
          </w:p>
        </w:tc>
        <w:tc>
          <w:tcPr>
            <w:tcW w:w="1728" w:type="dxa"/>
          </w:tcPr>
          <w:p w14:paraId="25321420" w14:textId="77777777" w:rsidR="00A714B2" w:rsidRDefault="00FD1337">
            <w:r>
              <w:rPr>
                <w:sz w:val="19"/>
              </w:rPr>
              <w:t>Midcap 100</w:t>
            </w:r>
          </w:p>
        </w:tc>
        <w:tc>
          <w:tcPr>
            <w:tcW w:w="1728" w:type="dxa"/>
          </w:tcPr>
          <w:p w14:paraId="0D3AD5E9" w14:textId="77777777" w:rsidR="00A714B2" w:rsidRDefault="00FD1337">
            <w:r>
              <w:rPr>
                <w:sz w:val="19"/>
              </w:rPr>
              <w:t>14.1%</w:t>
            </w:r>
          </w:p>
        </w:tc>
      </w:tr>
      <w:tr w:rsidR="00A714B2" w14:paraId="6158A02E" w14:textId="77777777">
        <w:trPr>
          <w:jc w:val="center"/>
        </w:trPr>
        <w:tc>
          <w:tcPr>
            <w:tcW w:w="1728" w:type="dxa"/>
          </w:tcPr>
          <w:p w14:paraId="4C71C0D8" w14:textId="77777777" w:rsidR="00A714B2" w:rsidRDefault="00FD1337">
            <w:r>
              <w:rPr>
                <w:sz w:val="19"/>
              </w:rPr>
              <w:t>EICHERMOT</w:t>
            </w:r>
          </w:p>
        </w:tc>
        <w:tc>
          <w:tcPr>
            <w:tcW w:w="1728" w:type="dxa"/>
          </w:tcPr>
          <w:p w14:paraId="42FFFE01" w14:textId="77777777" w:rsidR="00A714B2" w:rsidRDefault="00FD1337">
            <w:r>
              <w:rPr>
                <w:sz w:val="19"/>
              </w:rPr>
              <w:t>Eicher Motors</w:t>
            </w:r>
          </w:p>
        </w:tc>
        <w:tc>
          <w:tcPr>
            <w:tcW w:w="1728" w:type="dxa"/>
          </w:tcPr>
          <w:p w14:paraId="71C0368A" w14:textId="77777777" w:rsidR="00A714B2" w:rsidRDefault="00FD1337">
            <w:r>
              <w:rPr>
                <w:sz w:val="19"/>
              </w:rPr>
              <w:t>Automobile</w:t>
            </w:r>
          </w:p>
        </w:tc>
        <w:tc>
          <w:tcPr>
            <w:tcW w:w="1728" w:type="dxa"/>
          </w:tcPr>
          <w:p w14:paraId="75F94597" w14:textId="77777777" w:rsidR="00A714B2" w:rsidRDefault="00FD1337">
            <w:r>
              <w:rPr>
                <w:sz w:val="19"/>
              </w:rPr>
              <w:t>Nifty 100</w:t>
            </w:r>
          </w:p>
        </w:tc>
        <w:tc>
          <w:tcPr>
            <w:tcW w:w="1728" w:type="dxa"/>
          </w:tcPr>
          <w:p w14:paraId="76EF9CA0" w14:textId="77777777" w:rsidR="00A714B2" w:rsidRDefault="00FD1337">
            <w:r>
              <w:rPr>
                <w:sz w:val="19"/>
              </w:rPr>
              <w:t>12.3%</w:t>
            </w:r>
          </w:p>
        </w:tc>
      </w:tr>
      <w:tr w:rsidR="00A714B2" w14:paraId="6A043CC3" w14:textId="77777777">
        <w:trPr>
          <w:jc w:val="center"/>
        </w:trPr>
        <w:tc>
          <w:tcPr>
            <w:tcW w:w="1728" w:type="dxa"/>
          </w:tcPr>
          <w:p w14:paraId="200600DF" w14:textId="77777777" w:rsidR="00A714B2" w:rsidRDefault="00FD1337">
            <w:r>
              <w:rPr>
                <w:sz w:val="19"/>
              </w:rPr>
              <w:t>RBLBANK</w:t>
            </w:r>
          </w:p>
        </w:tc>
        <w:tc>
          <w:tcPr>
            <w:tcW w:w="1728" w:type="dxa"/>
          </w:tcPr>
          <w:p w14:paraId="215C1DAA" w14:textId="77777777" w:rsidR="00A714B2" w:rsidRDefault="00FD1337">
            <w:r>
              <w:rPr>
                <w:sz w:val="19"/>
              </w:rPr>
              <w:t>RBL Bank</w:t>
            </w:r>
          </w:p>
        </w:tc>
        <w:tc>
          <w:tcPr>
            <w:tcW w:w="1728" w:type="dxa"/>
          </w:tcPr>
          <w:p w14:paraId="65EAD481" w14:textId="77777777" w:rsidR="00A714B2" w:rsidRDefault="00FD1337">
            <w:r>
              <w:rPr>
                <w:sz w:val="19"/>
              </w:rPr>
              <w:t>Financial Services</w:t>
            </w:r>
          </w:p>
        </w:tc>
        <w:tc>
          <w:tcPr>
            <w:tcW w:w="1728" w:type="dxa"/>
          </w:tcPr>
          <w:p w14:paraId="7CE73938" w14:textId="77777777" w:rsidR="00A714B2" w:rsidRDefault="00FD1337">
            <w:r>
              <w:rPr>
                <w:sz w:val="19"/>
              </w:rPr>
              <w:t>Smallcap 100</w:t>
            </w:r>
          </w:p>
        </w:tc>
        <w:tc>
          <w:tcPr>
            <w:tcW w:w="1728" w:type="dxa"/>
          </w:tcPr>
          <w:p w14:paraId="4D8B09D0" w14:textId="77777777" w:rsidR="00A714B2" w:rsidRDefault="00FD1337">
            <w:r>
              <w:rPr>
                <w:sz w:val="19"/>
              </w:rPr>
              <w:t>10.7%</w:t>
            </w:r>
          </w:p>
        </w:tc>
      </w:tr>
      <w:tr w:rsidR="00A714B2" w14:paraId="3D746032" w14:textId="77777777">
        <w:trPr>
          <w:jc w:val="center"/>
        </w:trPr>
        <w:tc>
          <w:tcPr>
            <w:tcW w:w="1728" w:type="dxa"/>
          </w:tcPr>
          <w:p w14:paraId="3F9BFAA1" w14:textId="77777777" w:rsidR="00A714B2" w:rsidRDefault="00FD1337">
            <w:r>
              <w:rPr>
                <w:sz w:val="19"/>
              </w:rPr>
              <w:t>MARUTI</w:t>
            </w:r>
          </w:p>
        </w:tc>
        <w:tc>
          <w:tcPr>
            <w:tcW w:w="1728" w:type="dxa"/>
          </w:tcPr>
          <w:p w14:paraId="5DEABAA5" w14:textId="77777777" w:rsidR="00A714B2" w:rsidRDefault="00FD1337">
            <w:r>
              <w:rPr>
                <w:sz w:val="19"/>
              </w:rPr>
              <w:t>Maruti Suzuki</w:t>
            </w:r>
          </w:p>
        </w:tc>
        <w:tc>
          <w:tcPr>
            <w:tcW w:w="1728" w:type="dxa"/>
          </w:tcPr>
          <w:p w14:paraId="110722B6" w14:textId="77777777" w:rsidR="00A714B2" w:rsidRDefault="00FD1337">
            <w:r>
              <w:rPr>
                <w:sz w:val="19"/>
              </w:rPr>
              <w:t>Automobile</w:t>
            </w:r>
          </w:p>
        </w:tc>
        <w:tc>
          <w:tcPr>
            <w:tcW w:w="1728" w:type="dxa"/>
          </w:tcPr>
          <w:p w14:paraId="59CB60A1" w14:textId="77777777" w:rsidR="00A714B2" w:rsidRDefault="00FD1337">
            <w:r>
              <w:rPr>
                <w:sz w:val="19"/>
              </w:rPr>
              <w:t>Nifty 100</w:t>
            </w:r>
          </w:p>
        </w:tc>
        <w:tc>
          <w:tcPr>
            <w:tcW w:w="1728" w:type="dxa"/>
          </w:tcPr>
          <w:p w14:paraId="6A46E963" w14:textId="77777777" w:rsidR="00A714B2" w:rsidRDefault="00FD1337">
            <w:r>
              <w:rPr>
                <w:sz w:val="19"/>
              </w:rPr>
              <w:t>8.8%</w:t>
            </w:r>
          </w:p>
        </w:tc>
      </w:tr>
      <w:tr w:rsidR="00A714B2" w14:paraId="7C71A7B5" w14:textId="77777777">
        <w:trPr>
          <w:jc w:val="center"/>
        </w:trPr>
        <w:tc>
          <w:tcPr>
            <w:tcW w:w="1728" w:type="dxa"/>
          </w:tcPr>
          <w:p w14:paraId="349B20DA" w14:textId="77777777" w:rsidR="00A714B2" w:rsidRDefault="00FD1337">
            <w:r>
              <w:rPr>
                <w:sz w:val="19"/>
              </w:rPr>
              <w:lastRenderedPageBreak/>
              <w:t>FORTIS</w:t>
            </w:r>
          </w:p>
        </w:tc>
        <w:tc>
          <w:tcPr>
            <w:tcW w:w="1728" w:type="dxa"/>
          </w:tcPr>
          <w:p w14:paraId="3E4817FF" w14:textId="77777777" w:rsidR="00A714B2" w:rsidRDefault="00FD1337">
            <w:r>
              <w:rPr>
                <w:sz w:val="19"/>
              </w:rPr>
              <w:t>Fortis Healthcare</w:t>
            </w:r>
          </w:p>
        </w:tc>
        <w:tc>
          <w:tcPr>
            <w:tcW w:w="1728" w:type="dxa"/>
          </w:tcPr>
          <w:p w14:paraId="6ECD7271" w14:textId="77777777" w:rsidR="00A714B2" w:rsidRDefault="00FD1337">
            <w:r>
              <w:rPr>
                <w:sz w:val="19"/>
              </w:rPr>
              <w:t>Healthcare</w:t>
            </w:r>
          </w:p>
        </w:tc>
        <w:tc>
          <w:tcPr>
            <w:tcW w:w="1728" w:type="dxa"/>
          </w:tcPr>
          <w:p w14:paraId="5AAC4CF7" w14:textId="77777777" w:rsidR="00A714B2" w:rsidRDefault="00FD1337">
            <w:r>
              <w:rPr>
                <w:sz w:val="19"/>
              </w:rPr>
              <w:t>Midcap 100</w:t>
            </w:r>
          </w:p>
        </w:tc>
        <w:tc>
          <w:tcPr>
            <w:tcW w:w="1728" w:type="dxa"/>
          </w:tcPr>
          <w:p w14:paraId="1F117992" w14:textId="77777777" w:rsidR="00A714B2" w:rsidRDefault="00FD1337">
            <w:r>
              <w:rPr>
                <w:sz w:val="19"/>
              </w:rPr>
              <w:t>6.6%</w:t>
            </w:r>
          </w:p>
        </w:tc>
      </w:tr>
      <w:tr w:rsidR="00A714B2" w14:paraId="7C840BBF" w14:textId="77777777">
        <w:trPr>
          <w:jc w:val="center"/>
        </w:trPr>
        <w:tc>
          <w:tcPr>
            <w:tcW w:w="1728" w:type="dxa"/>
          </w:tcPr>
          <w:p w14:paraId="2F3BCA82" w14:textId="77777777" w:rsidR="00A714B2" w:rsidRDefault="00FD1337">
            <w:r>
              <w:rPr>
                <w:sz w:val="19"/>
              </w:rPr>
              <w:t>TVSMOTOR</w:t>
            </w:r>
          </w:p>
        </w:tc>
        <w:tc>
          <w:tcPr>
            <w:tcW w:w="1728" w:type="dxa"/>
          </w:tcPr>
          <w:p w14:paraId="23D4AB87" w14:textId="77777777" w:rsidR="00A714B2" w:rsidRDefault="00FD1337">
            <w:r>
              <w:rPr>
                <w:sz w:val="19"/>
              </w:rPr>
              <w:t>TVS Motor</w:t>
            </w:r>
          </w:p>
        </w:tc>
        <w:tc>
          <w:tcPr>
            <w:tcW w:w="1728" w:type="dxa"/>
          </w:tcPr>
          <w:p w14:paraId="30C52CC4" w14:textId="77777777" w:rsidR="00A714B2" w:rsidRDefault="00FD1337">
            <w:r>
              <w:rPr>
                <w:sz w:val="19"/>
              </w:rPr>
              <w:t>Automobile</w:t>
            </w:r>
          </w:p>
        </w:tc>
        <w:tc>
          <w:tcPr>
            <w:tcW w:w="1728" w:type="dxa"/>
          </w:tcPr>
          <w:p w14:paraId="17532310" w14:textId="77777777" w:rsidR="00A714B2" w:rsidRDefault="00FD1337">
            <w:r>
              <w:rPr>
                <w:sz w:val="19"/>
              </w:rPr>
              <w:t>Nifty 100</w:t>
            </w:r>
          </w:p>
        </w:tc>
        <w:tc>
          <w:tcPr>
            <w:tcW w:w="1728" w:type="dxa"/>
          </w:tcPr>
          <w:p w14:paraId="6B74D7B4" w14:textId="77777777" w:rsidR="00A714B2" w:rsidRDefault="00FD1337">
            <w:r>
              <w:rPr>
                <w:sz w:val="19"/>
              </w:rPr>
              <w:t>5.2%</w:t>
            </w:r>
          </w:p>
        </w:tc>
      </w:tr>
      <w:tr w:rsidR="00A714B2" w14:paraId="0F2F636B" w14:textId="77777777">
        <w:trPr>
          <w:jc w:val="center"/>
        </w:trPr>
        <w:tc>
          <w:tcPr>
            <w:tcW w:w="1728" w:type="dxa"/>
          </w:tcPr>
          <w:p w14:paraId="70C3AC39" w14:textId="77777777" w:rsidR="00A714B2" w:rsidRDefault="00FD1337">
            <w:r>
              <w:rPr>
                <w:sz w:val="19"/>
              </w:rPr>
              <w:t>LAURUSLABS</w:t>
            </w:r>
          </w:p>
        </w:tc>
        <w:tc>
          <w:tcPr>
            <w:tcW w:w="1728" w:type="dxa"/>
          </w:tcPr>
          <w:p w14:paraId="1DB30111" w14:textId="77777777" w:rsidR="00A714B2" w:rsidRDefault="00FD1337">
            <w:r>
              <w:rPr>
                <w:sz w:val="19"/>
              </w:rPr>
              <w:t>Laurus Labs</w:t>
            </w:r>
          </w:p>
        </w:tc>
        <w:tc>
          <w:tcPr>
            <w:tcW w:w="1728" w:type="dxa"/>
          </w:tcPr>
          <w:p w14:paraId="773CB47A" w14:textId="77777777" w:rsidR="00A714B2" w:rsidRDefault="00FD1337">
            <w:r>
              <w:rPr>
                <w:sz w:val="19"/>
              </w:rPr>
              <w:t>Healthcare</w:t>
            </w:r>
          </w:p>
        </w:tc>
        <w:tc>
          <w:tcPr>
            <w:tcW w:w="1728" w:type="dxa"/>
          </w:tcPr>
          <w:p w14:paraId="6EE49B36" w14:textId="77777777" w:rsidR="00A714B2" w:rsidRDefault="00FD1337">
            <w:r>
              <w:rPr>
                <w:sz w:val="19"/>
              </w:rPr>
              <w:t>Midcap 100</w:t>
            </w:r>
          </w:p>
        </w:tc>
        <w:tc>
          <w:tcPr>
            <w:tcW w:w="1728" w:type="dxa"/>
          </w:tcPr>
          <w:p w14:paraId="5323603A" w14:textId="77777777" w:rsidR="00A714B2" w:rsidRDefault="00FD1337">
            <w:r>
              <w:rPr>
                <w:sz w:val="19"/>
              </w:rPr>
              <w:t>3.7%</w:t>
            </w:r>
          </w:p>
        </w:tc>
      </w:tr>
      <w:tr w:rsidR="00A714B2" w14:paraId="53014582" w14:textId="77777777">
        <w:trPr>
          <w:jc w:val="center"/>
        </w:trPr>
        <w:tc>
          <w:tcPr>
            <w:tcW w:w="1728" w:type="dxa"/>
          </w:tcPr>
          <w:p w14:paraId="2805CB40" w14:textId="77777777" w:rsidR="00A714B2" w:rsidRDefault="00FD1337">
            <w:r>
              <w:rPr>
                <w:sz w:val="19"/>
              </w:rPr>
              <w:t>MFSL</w:t>
            </w:r>
          </w:p>
        </w:tc>
        <w:tc>
          <w:tcPr>
            <w:tcW w:w="1728" w:type="dxa"/>
          </w:tcPr>
          <w:p w14:paraId="015325C1" w14:textId="77777777" w:rsidR="00A714B2" w:rsidRDefault="00FD1337">
            <w:r>
              <w:rPr>
                <w:sz w:val="19"/>
              </w:rPr>
              <w:t>Max Financial Services</w:t>
            </w:r>
          </w:p>
        </w:tc>
        <w:tc>
          <w:tcPr>
            <w:tcW w:w="1728" w:type="dxa"/>
          </w:tcPr>
          <w:p w14:paraId="6DDC05DF" w14:textId="77777777" w:rsidR="00A714B2" w:rsidRDefault="00FD1337">
            <w:r>
              <w:rPr>
                <w:sz w:val="19"/>
              </w:rPr>
              <w:t>Financial Services</w:t>
            </w:r>
          </w:p>
        </w:tc>
        <w:tc>
          <w:tcPr>
            <w:tcW w:w="1728" w:type="dxa"/>
          </w:tcPr>
          <w:p w14:paraId="2CDA3506" w14:textId="77777777" w:rsidR="00A714B2" w:rsidRDefault="00FD1337">
            <w:r>
              <w:rPr>
                <w:sz w:val="19"/>
              </w:rPr>
              <w:t>Midcap 100</w:t>
            </w:r>
          </w:p>
        </w:tc>
        <w:tc>
          <w:tcPr>
            <w:tcW w:w="1728" w:type="dxa"/>
          </w:tcPr>
          <w:p w14:paraId="4A30F3AE" w14:textId="77777777" w:rsidR="00A714B2" w:rsidRDefault="00FD1337">
            <w:r>
              <w:rPr>
                <w:sz w:val="19"/>
              </w:rPr>
              <w:t>1.7%</w:t>
            </w:r>
          </w:p>
        </w:tc>
      </w:tr>
    </w:tbl>
    <w:p w14:paraId="72D46A42" w14:textId="77777777" w:rsidR="00A714B2" w:rsidRDefault="00A714B2"/>
    <w:p w14:paraId="59FD649B" w14:textId="77777777" w:rsidR="00A714B2" w:rsidRDefault="00FD1337">
      <w:pPr>
        <w:pStyle w:val="Heading3"/>
      </w:pPr>
      <w:r>
        <w:rPr>
          <w:color w:val="1F4E79"/>
        </w:rPr>
        <w:t>5.2 Required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714B2" w14:paraId="021F874C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6909673F" w14:textId="77777777" w:rsidR="00A714B2" w:rsidRDefault="00FD1337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2160" w:type="dxa"/>
            <w:shd w:val="clear" w:color="auto" w:fill="1F4E79"/>
          </w:tcPr>
          <w:p w14:paraId="28CACD08" w14:textId="77777777" w:rsidR="00A714B2" w:rsidRDefault="00FD1337">
            <w:r>
              <w:rPr>
                <w:b/>
                <w:color w:val="FFFFFF"/>
                <w:sz w:val="19"/>
              </w:rPr>
              <w:t>Definition used</w:t>
            </w:r>
          </w:p>
        </w:tc>
        <w:tc>
          <w:tcPr>
            <w:tcW w:w="2160" w:type="dxa"/>
            <w:shd w:val="clear" w:color="auto" w:fill="1F4E79"/>
          </w:tcPr>
          <w:p w14:paraId="07286A07" w14:textId="77777777" w:rsidR="00A714B2" w:rsidRDefault="00FD1337">
            <w:r>
              <w:rPr>
                <w:b/>
                <w:color w:val="FFFFFF"/>
                <w:sz w:val="19"/>
              </w:rPr>
              <w:t>Backtest 2021–2025</w:t>
            </w:r>
          </w:p>
        </w:tc>
        <w:tc>
          <w:tcPr>
            <w:tcW w:w="2160" w:type="dxa"/>
            <w:shd w:val="clear" w:color="auto" w:fill="1F4E79"/>
          </w:tcPr>
          <w:p w14:paraId="347831E9" w14:textId="77777777" w:rsidR="00A714B2" w:rsidRDefault="00FD1337">
            <w:r>
              <w:rPr>
                <w:b/>
                <w:color w:val="FFFFFF"/>
                <w:sz w:val="19"/>
              </w:rPr>
              <w:t>OOS 2026 H1</w:t>
            </w:r>
          </w:p>
        </w:tc>
      </w:tr>
      <w:tr w:rsidR="00A714B2" w14:paraId="29D225F7" w14:textId="77777777">
        <w:trPr>
          <w:jc w:val="center"/>
        </w:trPr>
        <w:tc>
          <w:tcPr>
            <w:tcW w:w="2160" w:type="dxa"/>
          </w:tcPr>
          <w:p w14:paraId="0E96254F" w14:textId="77777777" w:rsidR="00A714B2" w:rsidRDefault="00FD1337">
            <w:r>
              <w:rPr>
                <w:b/>
                <w:sz w:val="19"/>
              </w:rPr>
              <w:t>Total Net PNL</w:t>
            </w:r>
          </w:p>
        </w:tc>
        <w:tc>
          <w:tcPr>
            <w:tcW w:w="2160" w:type="dxa"/>
          </w:tcPr>
          <w:p w14:paraId="3122121B" w14:textId="77777777" w:rsidR="00A714B2" w:rsidRDefault="00FD1337">
            <w:r>
              <w:rPr>
                <w:sz w:val="19"/>
              </w:rPr>
              <w:t>Final NAV − ₹1 crore</w:t>
            </w:r>
          </w:p>
        </w:tc>
        <w:tc>
          <w:tcPr>
            <w:tcW w:w="2160" w:type="dxa"/>
          </w:tcPr>
          <w:p w14:paraId="031D6E74" w14:textId="77777777" w:rsidR="00A714B2" w:rsidRDefault="00FD1337">
            <w:r>
              <w:rPr>
                <w:b/>
                <w:sz w:val="19"/>
              </w:rPr>
              <w:t>₹</w:t>
            </w:r>
            <w:r>
              <w:rPr>
                <w:b/>
                <w:sz w:val="19"/>
              </w:rPr>
              <w:t>8.99 Cr</w:t>
            </w:r>
          </w:p>
        </w:tc>
        <w:tc>
          <w:tcPr>
            <w:tcW w:w="2160" w:type="dxa"/>
          </w:tcPr>
          <w:p w14:paraId="1B23070C" w14:textId="77777777" w:rsidR="00A714B2" w:rsidRDefault="00FD1337">
            <w:r>
              <w:rPr>
                <w:b/>
                <w:sz w:val="19"/>
              </w:rPr>
              <w:t>₹</w:t>
            </w:r>
            <w:r>
              <w:rPr>
                <w:b/>
                <w:sz w:val="19"/>
              </w:rPr>
              <w:t>11.93 L</w:t>
            </w:r>
          </w:p>
        </w:tc>
      </w:tr>
      <w:tr w:rsidR="00A714B2" w14:paraId="3845BB30" w14:textId="77777777">
        <w:trPr>
          <w:jc w:val="center"/>
        </w:trPr>
        <w:tc>
          <w:tcPr>
            <w:tcW w:w="2160" w:type="dxa"/>
          </w:tcPr>
          <w:p w14:paraId="7E072D99" w14:textId="77777777" w:rsidR="00A714B2" w:rsidRDefault="00FD1337">
            <w:r>
              <w:rPr>
                <w:sz w:val="19"/>
              </w:rPr>
              <w:t>Final portfolio value</w:t>
            </w:r>
          </w:p>
        </w:tc>
        <w:tc>
          <w:tcPr>
            <w:tcW w:w="2160" w:type="dxa"/>
          </w:tcPr>
          <w:p w14:paraId="746D419D" w14:textId="77777777" w:rsidR="00A714B2" w:rsidRDefault="00A714B2"/>
        </w:tc>
        <w:tc>
          <w:tcPr>
            <w:tcW w:w="2160" w:type="dxa"/>
          </w:tcPr>
          <w:p w14:paraId="1E7B07C4" w14:textId="77777777" w:rsidR="00A714B2" w:rsidRDefault="00FD1337">
            <w:r>
              <w:rPr>
                <w:sz w:val="19"/>
              </w:rPr>
              <w:t>₹</w:t>
            </w:r>
            <w:r>
              <w:rPr>
                <w:sz w:val="19"/>
              </w:rPr>
              <w:t>9.99 Cr</w:t>
            </w:r>
          </w:p>
        </w:tc>
        <w:tc>
          <w:tcPr>
            <w:tcW w:w="2160" w:type="dxa"/>
          </w:tcPr>
          <w:p w14:paraId="70E5BB0C" w14:textId="77777777" w:rsidR="00A714B2" w:rsidRDefault="00FD1337">
            <w:r>
              <w:rPr>
                <w:sz w:val="19"/>
              </w:rPr>
              <w:t>₹</w:t>
            </w:r>
            <w:r>
              <w:rPr>
                <w:sz w:val="19"/>
              </w:rPr>
              <w:t>1.12 Cr</w:t>
            </w:r>
          </w:p>
        </w:tc>
      </w:tr>
      <w:tr w:rsidR="00A714B2" w14:paraId="5ACAB986" w14:textId="77777777">
        <w:trPr>
          <w:jc w:val="center"/>
        </w:trPr>
        <w:tc>
          <w:tcPr>
            <w:tcW w:w="2160" w:type="dxa"/>
          </w:tcPr>
          <w:p w14:paraId="662AF5C7" w14:textId="77777777" w:rsidR="00A714B2" w:rsidRDefault="00FD1337">
            <w:r>
              <w:rPr>
                <w:sz w:val="19"/>
              </w:rPr>
              <w:t>Absolute / total return</w:t>
            </w:r>
          </w:p>
        </w:tc>
        <w:tc>
          <w:tcPr>
            <w:tcW w:w="2160" w:type="dxa"/>
          </w:tcPr>
          <w:p w14:paraId="1923CF3A" w14:textId="77777777" w:rsidR="00A714B2" w:rsidRDefault="00A714B2"/>
        </w:tc>
        <w:tc>
          <w:tcPr>
            <w:tcW w:w="2160" w:type="dxa"/>
          </w:tcPr>
          <w:p w14:paraId="0DD1A82F" w14:textId="77777777" w:rsidR="00A714B2" w:rsidRDefault="00FD1337">
            <w:r>
              <w:rPr>
                <w:sz w:val="19"/>
              </w:rPr>
              <w:t>899.3%</w:t>
            </w:r>
          </w:p>
        </w:tc>
        <w:tc>
          <w:tcPr>
            <w:tcW w:w="2160" w:type="dxa"/>
          </w:tcPr>
          <w:p w14:paraId="3F2DCAD2" w14:textId="77777777" w:rsidR="00A714B2" w:rsidRDefault="00FD1337">
            <w:r>
              <w:rPr>
                <w:sz w:val="19"/>
              </w:rPr>
              <w:t>11.9%</w:t>
            </w:r>
          </w:p>
        </w:tc>
      </w:tr>
      <w:tr w:rsidR="00A714B2" w14:paraId="737DC4D1" w14:textId="77777777">
        <w:trPr>
          <w:jc w:val="center"/>
        </w:trPr>
        <w:tc>
          <w:tcPr>
            <w:tcW w:w="2160" w:type="dxa"/>
          </w:tcPr>
          <w:p w14:paraId="2E3C1E5A" w14:textId="77777777" w:rsidR="00A714B2" w:rsidRDefault="00FD1337">
            <w:r>
              <w:rPr>
                <w:sz w:val="19"/>
              </w:rPr>
              <w:t>Annualised return</w:t>
            </w:r>
          </w:p>
        </w:tc>
        <w:tc>
          <w:tcPr>
            <w:tcW w:w="2160" w:type="dxa"/>
          </w:tcPr>
          <w:p w14:paraId="53651FE9" w14:textId="77777777" w:rsidR="00A714B2" w:rsidRDefault="00FD1337">
            <w:r>
              <w:rPr>
                <w:sz w:val="19"/>
              </w:rPr>
              <w:t>Geometric (CAGR)</w:t>
            </w:r>
          </w:p>
        </w:tc>
        <w:tc>
          <w:tcPr>
            <w:tcW w:w="2160" w:type="dxa"/>
          </w:tcPr>
          <w:p w14:paraId="698616D7" w14:textId="77777777" w:rsidR="00A714B2" w:rsidRDefault="00FD1337">
            <w:r>
              <w:rPr>
                <w:sz w:val="19"/>
              </w:rPr>
              <w:t>60.0%</w:t>
            </w:r>
          </w:p>
        </w:tc>
        <w:tc>
          <w:tcPr>
            <w:tcW w:w="2160" w:type="dxa"/>
          </w:tcPr>
          <w:p w14:paraId="58273735" w14:textId="77777777" w:rsidR="00A714B2" w:rsidRDefault="00FD1337">
            <w:r>
              <w:rPr>
                <w:sz w:val="19"/>
              </w:rPr>
              <w:t>26.5%</w:t>
            </w:r>
          </w:p>
        </w:tc>
      </w:tr>
      <w:tr w:rsidR="00A714B2" w14:paraId="1717D805" w14:textId="77777777">
        <w:trPr>
          <w:jc w:val="center"/>
        </w:trPr>
        <w:tc>
          <w:tcPr>
            <w:tcW w:w="2160" w:type="dxa"/>
          </w:tcPr>
          <w:p w14:paraId="3AF47A97" w14:textId="77777777" w:rsidR="00A714B2" w:rsidRDefault="00FD1337">
            <w:r>
              <w:rPr>
                <w:sz w:val="19"/>
              </w:rPr>
              <w:t>Maximum drawdown</w:t>
            </w:r>
          </w:p>
        </w:tc>
        <w:tc>
          <w:tcPr>
            <w:tcW w:w="2160" w:type="dxa"/>
          </w:tcPr>
          <w:p w14:paraId="500FC5A7" w14:textId="77777777" w:rsidR="00A714B2" w:rsidRDefault="00FD1337">
            <w:r>
              <w:rPr>
                <w:sz w:val="19"/>
              </w:rPr>
              <w:t>Largest peak-to-trough</w:t>
            </w:r>
          </w:p>
        </w:tc>
        <w:tc>
          <w:tcPr>
            <w:tcW w:w="2160" w:type="dxa"/>
          </w:tcPr>
          <w:p w14:paraId="081E667F" w14:textId="77777777" w:rsidR="00A714B2" w:rsidRDefault="00FD1337">
            <w:r>
              <w:rPr>
                <w:sz w:val="19"/>
              </w:rPr>
              <w:t>−</w:t>
            </w:r>
            <w:r>
              <w:rPr>
                <w:sz w:val="19"/>
              </w:rPr>
              <w:t>29.4%</w:t>
            </w:r>
          </w:p>
        </w:tc>
        <w:tc>
          <w:tcPr>
            <w:tcW w:w="2160" w:type="dxa"/>
          </w:tcPr>
          <w:p w14:paraId="114ECCEA" w14:textId="77777777" w:rsidR="00A714B2" w:rsidRDefault="00FD1337">
            <w:r>
              <w:rPr>
                <w:sz w:val="19"/>
              </w:rPr>
              <w:t>−</w:t>
            </w:r>
            <w:r>
              <w:rPr>
                <w:sz w:val="19"/>
              </w:rPr>
              <w:t>17.1%</w:t>
            </w:r>
          </w:p>
        </w:tc>
      </w:tr>
      <w:tr w:rsidR="00A714B2" w14:paraId="62764F5F" w14:textId="77777777">
        <w:trPr>
          <w:jc w:val="center"/>
        </w:trPr>
        <w:tc>
          <w:tcPr>
            <w:tcW w:w="2160" w:type="dxa"/>
          </w:tcPr>
          <w:p w14:paraId="08C6F556" w14:textId="77777777" w:rsidR="00A714B2" w:rsidRDefault="00FD1337">
            <w:r>
              <w:rPr>
                <w:sz w:val="19"/>
              </w:rPr>
              <w:t>Sharpe ratio</w:t>
            </w:r>
          </w:p>
        </w:tc>
        <w:tc>
          <w:tcPr>
            <w:tcW w:w="2160" w:type="dxa"/>
          </w:tcPr>
          <w:p w14:paraId="53BE9C96" w14:textId="77777777" w:rsidR="00A714B2" w:rsidRDefault="00FD1337">
            <w:r>
              <w:rPr>
                <w:sz w:val="19"/>
              </w:rPr>
              <w:t>CAGR ÷ σ(daily)·√252, rf = 0%</w:t>
            </w:r>
          </w:p>
        </w:tc>
        <w:tc>
          <w:tcPr>
            <w:tcW w:w="2160" w:type="dxa"/>
          </w:tcPr>
          <w:p w14:paraId="528A171C" w14:textId="77777777" w:rsidR="00A714B2" w:rsidRDefault="00FD1337">
            <w:r>
              <w:rPr>
                <w:sz w:val="19"/>
              </w:rPr>
              <w:t>2.42</w:t>
            </w:r>
          </w:p>
        </w:tc>
        <w:tc>
          <w:tcPr>
            <w:tcW w:w="2160" w:type="dxa"/>
          </w:tcPr>
          <w:p w14:paraId="16A5673D" w14:textId="77777777" w:rsidR="00A714B2" w:rsidRDefault="00FD1337">
            <w:r>
              <w:rPr>
                <w:sz w:val="19"/>
              </w:rPr>
              <w:t>0.93</w:t>
            </w:r>
          </w:p>
        </w:tc>
      </w:tr>
      <w:tr w:rsidR="00A714B2" w14:paraId="0DC031E5" w14:textId="77777777">
        <w:trPr>
          <w:jc w:val="center"/>
        </w:trPr>
        <w:tc>
          <w:tcPr>
            <w:tcW w:w="2160" w:type="dxa"/>
          </w:tcPr>
          <w:p w14:paraId="6FCFE2E6" w14:textId="77777777" w:rsidR="00A714B2" w:rsidRDefault="00FD1337">
            <w:r>
              <w:rPr>
                <w:sz w:val="19"/>
              </w:rPr>
              <w:t>Sortino ratio</w:t>
            </w:r>
          </w:p>
        </w:tc>
        <w:tc>
          <w:tcPr>
            <w:tcW w:w="2160" w:type="dxa"/>
          </w:tcPr>
          <w:p w14:paraId="15408745" w14:textId="77777777" w:rsidR="00A714B2" w:rsidRDefault="00FD1337">
            <w:r>
              <w:rPr>
                <w:sz w:val="19"/>
              </w:rPr>
              <w:t>vs downside deviation</w:t>
            </w:r>
          </w:p>
        </w:tc>
        <w:tc>
          <w:tcPr>
            <w:tcW w:w="2160" w:type="dxa"/>
          </w:tcPr>
          <w:p w14:paraId="67922354" w14:textId="77777777" w:rsidR="00A714B2" w:rsidRDefault="00FD1337">
            <w:r>
              <w:rPr>
                <w:sz w:val="19"/>
              </w:rPr>
              <w:t>3.30</w:t>
            </w:r>
          </w:p>
        </w:tc>
        <w:tc>
          <w:tcPr>
            <w:tcW w:w="2160" w:type="dxa"/>
          </w:tcPr>
          <w:p w14:paraId="6C622F5F" w14:textId="77777777" w:rsidR="00A714B2" w:rsidRDefault="00FD1337">
            <w:r>
              <w:rPr>
                <w:sz w:val="19"/>
              </w:rPr>
              <w:t>1.39</w:t>
            </w:r>
          </w:p>
        </w:tc>
      </w:tr>
      <w:tr w:rsidR="00A714B2" w14:paraId="6FF6F82D" w14:textId="77777777">
        <w:trPr>
          <w:jc w:val="center"/>
        </w:trPr>
        <w:tc>
          <w:tcPr>
            <w:tcW w:w="2160" w:type="dxa"/>
          </w:tcPr>
          <w:p w14:paraId="2146E4B3" w14:textId="77777777" w:rsidR="00A714B2" w:rsidRDefault="00FD1337">
            <w:r>
              <w:rPr>
                <w:sz w:val="19"/>
              </w:rPr>
              <w:t>Gain-to-loss ratio</w:t>
            </w:r>
          </w:p>
        </w:tc>
        <w:tc>
          <w:tcPr>
            <w:tcW w:w="2160" w:type="dxa"/>
          </w:tcPr>
          <w:p w14:paraId="37C07DF2" w14:textId="77777777" w:rsidR="00A714B2" w:rsidRDefault="00FD1337">
            <w:r>
              <w:rPr>
                <w:sz w:val="19"/>
              </w:rPr>
              <w:t>Avg win ÷ avg loss, per closed position</w:t>
            </w:r>
          </w:p>
        </w:tc>
        <w:tc>
          <w:tcPr>
            <w:tcW w:w="2160" w:type="dxa"/>
          </w:tcPr>
          <w:p w14:paraId="6EAC7B5D" w14:textId="77777777" w:rsidR="00A714B2" w:rsidRDefault="00FD1337">
            <w:r>
              <w:rPr>
                <w:sz w:val="19"/>
              </w:rPr>
              <w:t>1.95</w:t>
            </w:r>
          </w:p>
        </w:tc>
        <w:tc>
          <w:tcPr>
            <w:tcW w:w="2160" w:type="dxa"/>
          </w:tcPr>
          <w:p w14:paraId="6A057F71" w14:textId="77777777" w:rsidR="00A714B2" w:rsidRDefault="00FD1337">
            <w:r>
              <w:rPr>
                <w:sz w:val="19"/>
              </w:rPr>
              <w:t>1.60</w:t>
            </w:r>
          </w:p>
        </w:tc>
      </w:tr>
      <w:tr w:rsidR="00A714B2" w14:paraId="6989AE08" w14:textId="77777777">
        <w:trPr>
          <w:jc w:val="center"/>
        </w:trPr>
        <w:tc>
          <w:tcPr>
            <w:tcW w:w="2160" w:type="dxa"/>
          </w:tcPr>
          <w:p w14:paraId="709BC64A" w14:textId="77777777" w:rsidR="00A714B2" w:rsidRDefault="00FD1337">
            <w:r>
              <w:rPr>
                <w:sz w:val="19"/>
              </w:rPr>
              <w:t>Accuracy</w:t>
            </w:r>
          </w:p>
        </w:tc>
        <w:tc>
          <w:tcPr>
            <w:tcW w:w="2160" w:type="dxa"/>
          </w:tcPr>
          <w:p w14:paraId="2312ED1C" w14:textId="77777777" w:rsidR="00A714B2" w:rsidRDefault="00FD1337">
            <w:r>
              <w:rPr>
                <w:sz w:val="19"/>
              </w:rPr>
              <w:t>% of closed positions profitable</w:t>
            </w:r>
          </w:p>
        </w:tc>
        <w:tc>
          <w:tcPr>
            <w:tcW w:w="2160" w:type="dxa"/>
          </w:tcPr>
          <w:p w14:paraId="281F1820" w14:textId="77777777" w:rsidR="00A714B2" w:rsidRDefault="00FD1337">
            <w:r>
              <w:rPr>
                <w:sz w:val="19"/>
              </w:rPr>
              <w:t>61.6%</w:t>
            </w:r>
          </w:p>
        </w:tc>
        <w:tc>
          <w:tcPr>
            <w:tcW w:w="2160" w:type="dxa"/>
          </w:tcPr>
          <w:p w14:paraId="4BED4C01" w14:textId="77777777" w:rsidR="00A714B2" w:rsidRDefault="00FD1337">
            <w:r>
              <w:rPr>
                <w:sz w:val="19"/>
              </w:rPr>
              <w:t>43.8%</w:t>
            </w:r>
          </w:p>
        </w:tc>
      </w:tr>
      <w:tr w:rsidR="00A714B2" w14:paraId="4EE1F4E1" w14:textId="77777777">
        <w:trPr>
          <w:jc w:val="center"/>
        </w:trPr>
        <w:tc>
          <w:tcPr>
            <w:tcW w:w="2160" w:type="dxa"/>
          </w:tcPr>
          <w:p w14:paraId="61E669C8" w14:textId="77777777" w:rsidR="00A714B2" w:rsidRDefault="00FD1337">
            <w:r>
              <w:rPr>
                <w:sz w:val="19"/>
              </w:rPr>
              <w:t>— per closing transaction</w:t>
            </w:r>
          </w:p>
        </w:tc>
        <w:tc>
          <w:tcPr>
            <w:tcW w:w="2160" w:type="dxa"/>
          </w:tcPr>
          <w:p w14:paraId="5F7507AE" w14:textId="77777777" w:rsidR="00A714B2" w:rsidRDefault="00FD1337">
            <w:r>
              <w:rPr>
                <w:sz w:val="19"/>
              </w:rPr>
              <w:t>(finer view, incl. trims)</w:t>
            </w:r>
          </w:p>
        </w:tc>
        <w:tc>
          <w:tcPr>
            <w:tcW w:w="2160" w:type="dxa"/>
          </w:tcPr>
          <w:p w14:paraId="27B478E0" w14:textId="77777777" w:rsidR="00A714B2" w:rsidRDefault="00FD1337">
            <w:r>
              <w:rPr>
                <w:sz w:val="19"/>
              </w:rPr>
              <w:t>67.5%</w:t>
            </w:r>
          </w:p>
        </w:tc>
        <w:tc>
          <w:tcPr>
            <w:tcW w:w="2160" w:type="dxa"/>
          </w:tcPr>
          <w:p w14:paraId="518DFAF9" w14:textId="77777777" w:rsidR="00A714B2" w:rsidRDefault="00FD1337">
            <w:r>
              <w:rPr>
                <w:sz w:val="19"/>
              </w:rPr>
              <w:t>45.2%</w:t>
            </w:r>
          </w:p>
        </w:tc>
      </w:tr>
      <w:tr w:rsidR="00A714B2" w14:paraId="21F677A1" w14:textId="77777777">
        <w:trPr>
          <w:jc w:val="center"/>
        </w:trPr>
        <w:tc>
          <w:tcPr>
            <w:tcW w:w="2160" w:type="dxa"/>
          </w:tcPr>
          <w:p w14:paraId="4D7C2E15" w14:textId="77777777" w:rsidR="00A714B2" w:rsidRDefault="00FD1337">
            <w:r>
              <w:rPr>
                <w:sz w:val="19"/>
              </w:rPr>
              <w:t>Total trades (closed positions)</w:t>
            </w:r>
          </w:p>
        </w:tc>
        <w:tc>
          <w:tcPr>
            <w:tcW w:w="2160" w:type="dxa"/>
          </w:tcPr>
          <w:p w14:paraId="3000CD5F" w14:textId="77777777" w:rsidR="00A714B2" w:rsidRDefault="00A714B2"/>
        </w:tc>
        <w:tc>
          <w:tcPr>
            <w:tcW w:w="2160" w:type="dxa"/>
          </w:tcPr>
          <w:p w14:paraId="29D38503" w14:textId="77777777" w:rsidR="00A714B2" w:rsidRDefault="00FD1337">
            <w:r>
              <w:rPr>
                <w:sz w:val="19"/>
              </w:rPr>
              <w:t>159</w:t>
            </w:r>
          </w:p>
        </w:tc>
        <w:tc>
          <w:tcPr>
            <w:tcW w:w="2160" w:type="dxa"/>
          </w:tcPr>
          <w:p w14:paraId="32A29337" w14:textId="77777777" w:rsidR="00A714B2" w:rsidRDefault="00FD1337">
            <w:r>
              <w:rPr>
                <w:sz w:val="19"/>
              </w:rPr>
              <w:t>16</w:t>
            </w:r>
          </w:p>
        </w:tc>
      </w:tr>
      <w:tr w:rsidR="00A714B2" w14:paraId="32147E67" w14:textId="77777777">
        <w:trPr>
          <w:jc w:val="center"/>
        </w:trPr>
        <w:tc>
          <w:tcPr>
            <w:tcW w:w="2160" w:type="dxa"/>
          </w:tcPr>
          <w:p w14:paraId="07581C61" w14:textId="77777777" w:rsidR="00A714B2" w:rsidRDefault="00FD1337">
            <w:r>
              <w:rPr>
                <w:sz w:val="19"/>
              </w:rPr>
              <w:t>Executions (buys / sells)</w:t>
            </w:r>
          </w:p>
        </w:tc>
        <w:tc>
          <w:tcPr>
            <w:tcW w:w="2160" w:type="dxa"/>
          </w:tcPr>
          <w:p w14:paraId="5A457440" w14:textId="77777777" w:rsidR="00A714B2" w:rsidRDefault="00A714B2"/>
        </w:tc>
        <w:tc>
          <w:tcPr>
            <w:tcW w:w="2160" w:type="dxa"/>
          </w:tcPr>
          <w:p w14:paraId="3589B23D" w14:textId="77777777" w:rsidR="00A714B2" w:rsidRDefault="00FD1337">
            <w:r>
              <w:rPr>
                <w:sz w:val="19"/>
              </w:rPr>
              <w:t>758 (364/394)</w:t>
            </w:r>
          </w:p>
        </w:tc>
        <w:tc>
          <w:tcPr>
            <w:tcW w:w="2160" w:type="dxa"/>
          </w:tcPr>
          <w:p w14:paraId="7E8792B7" w14:textId="77777777" w:rsidR="00A714B2" w:rsidRDefault="00FD1337">
            <w:r>
              <w:rPr>
                <w:sz w:val="19"/>
              </w:rPr>
              <w:t>75 (44/31)</w:t>
            </w:r>
          </w:p>
        </w:tc>
      </w:tr>
      <w:tr w:rsidR="00A714B2" w14:paraId="09CEF31F" w14:textId="77777777">
        <w:trPr>
          <w:jc w:val="center"/>
        </w:trPr>
        <w:tc>
          <w:tcPr>
            <w:tcW w:w="2160" w:type="dxa"/>
          </w:tcPr>
          <w:p w14:paraId="5741FC13" w14:textId="77777777" w:rsidR="00A714B2" w:rsidRDefault="00FD1337">
            <w:r>
              <w:rPr>
                <w:sz w:val="19"/>
              </w:rPr>
              <w:t>Trades per stock</w:t>
            </w:r>
          </w:p>
        </w:tc>
        <w:tc>
          <w:tcPr>
            <w:tcW w:w="2160" w:type="dxa"/>
          </w:tcPr>
          <w:p w14:paraId="197049C2" w14:textId="77777777" w:rsidR="00A714B2" w:rsidRDefault="00FD1337">
            <w:r>
              <w:rPr>
                <w:sz w:val="19"/>
              </w:rPr>
              <w:t>closed positions ÷ names traded</w:t>
            </w:r>
          </w:p>
        </w:tc>
        <w:tc>
          <w:tcPr>
            <w:tcW w:w="2160" w:type="dxa"/>
          </w:tcPr>
          <w:p w14:paraId="03CA5DB0" w14:textId="77777777" w:rsidR="00A714B2" w:rsidRDefault="00FD1337">
            <w:r>
              <w:rPr>
                <w:sz w:val="19"/>
              </w:rPr>
              <w:t>1.38</w:t>
            </w:r>
          </w:p>
        </w:tc>
        <w:tc>
          <w:tcPr>
            <w:tcW w:w="2160" w:type="dxa"/>
          </w:tcPr>
          <w:p w14:paraId="0578E3FC" w14:textId="77777777" w:rsidR="00A714B2" w:rsidRDefault="00FD1337">
            <w:r>
              <w:rPr>
                <w:sz w:val="19"/>
              </w:rPr>
              <w:t>0.67</w:t>
            </w:r>
          </w:p>
        </w:tc>
      </w:tr>
      <w:tr w:rsidR="00A714B2" w14:paraId="71F87E32" w14:textId="77777777">
        <w:trPr>
          <w:jc w:val="center"/>
        </w:trPr>
        <w:tc>
          <w:tcPr>
            <w:tcW w:w="2160" w:type="dxa"/>
          </w:tcPr>
          <w:p w14:paraId="6351A50E" w14:textId="77777777" w:rsidR="00A714B2" w:rsidRDefault="00FD1337">
            <w:r>
              <w:rPr>
                <w:sz w:val="19"/>
              </w:rPr>
              <w:t>Annualised turnover</w:t>
            </w:r>
          </w:p>
        </w:tc>
        <w:tc>
          <w:tcPr>
            <w:tcW w:w="2160" w:type="dxa"/>
          </w:tcPr>
          <w:p w14:paraId="4E35FE26" w14:textId="77777777" w:rsidR="00A714B2" w:rsidRDefault="00FD1337">
            <w:r>
              <w:rPr>
                <w:sz w:val="19"/>
              </w:rPr>
              <w:t>traded notional ÷ 2·avg NAV</w:t>
            </w:r>
          </w:p>
        </w:tc>
        <w:tc>
          <w:tcPr>
            <w:tcW w:w="2160" w:type="dxa"/>
          </w:tcPr>
          <w:p w14:paraId="0863DF82" w14:textId="77777777" w:rsidR="00A714B2" w:rsidRDefault="00FD1337">
            <w:r>
              <w:rPr>
                <w:sz w:val="19"/>
              </w:rPr>
              <w:t>4.43×</w:t>
            </w:r>
          </w:p>
        </w:tc>
        <w:tc>
          <w:tcPr>
            <w:tcW w:w="2160" w:type="dxa"/>
          </w:tcPr>
          <w:p w14:paraId="7A8240AF" w14:textId="77777777" w:rsidR="00A714B2" w:rsidRDefault="00FD1337">
            <w:r>
              <w:rPr>
                <w:sz w:val="19"/>
              </w:rPr>
              <w:t>5.95×</w:t>
            </w:r>
          </w:p>
        </w:tc>
      </w:tr>
      <w:tr w:rsidR="00A714B2" w14:paraId="663A0065" w14:textId="77777777">
        <w:trPr>
          <w:jc w:val="center"/>
        </w:trPr>
        <w:tc>
          <w:tcPr>
            <w:tcW w:w="2160" w:type="dxa"/>
          </w:tcPr>
          <w:p w14:paraId="650E317C" w14:textId="77777777" w:rsidR="00A714B2" w:rsidRDefault="00FD1337">
            <w:r>
              <w:rPr>
                <w:sz w:val="19"/>
              </w:rPr>
              <w:t>Total transaction costs paid</w:t>
            </w:r>
          </w:p>
        </w:tc>
        <w:tc>
          <w:tcPr>
            <w:tcW w:w="2160" w:type="dxa"/>
          </w:tcPr>
          <w:p w14:paraId="6C8D3C7C" w14:textId="77777777" w:rsidR="00A714B2" w:rsidRDefault="00A714B2"/>
        </w:tc>
        <w:tc>
          <w:tcPr>
            <w:tcW w:w="2160" w:type="dxa"/>
          </w:tcPr>
          <w:p w14:paraId="0156441B" w14:textId="77777777" w:rsidR="00A714B2" w:rsidRDefault="00FD1337">
            <w:r>
              <w:rPr>
                <w:sz w:val="19"/>
              </w:rPr>
              <w:t>₹</w:t>
            </w:r>
            <w:r>
              <w:rPr>
                <w:sz w:val="19"/>
              </w:rPr>
              <w:t>20.25 L</w:t>
            </w:r>
          </w:p>
        </w:tc>
        <w:tc>
          <w:tcPr>
            <w:tcW w:w="2160" w:type="dxa"/>
          </w:tcPr>
          <w:p w14:paraId="657F7861" w14:textId="77777777" w:rsidR="00A714B2" w:rsidRDefault="00FD1337">
            <w:r>
              <w:rPr>
                <w:sz w:val="19"/>
              </w:rPr>
              <w:t>₹</w:t>
            </w:r>
            <w:r>
              <w:rPr>
                <w:sz w:val="19"/>
              </w:rPr>
              <w:t>57,907</w:t>
            </w:r>
          </w:p>
        </w:tc>
      </w:tr>
    </w:tbl>
    <w:p w14:paraId="5A2E2238" w14:textId="77777777" w:rsidR="00A714B2" w:rsidRDefault="00A714B2"/>
    <w:p w14:paraId="36E39E07" w14:textId="77777777" w:rsidR="00A714B2" w:rsidRDefault="00FD1337">
      <w:r>
        <w:rPr>
          <w:i/>
        </w:rPr>
        <w:t>A "trade" is one closed position (buy → optional trims → full exit), P&amp;L against average cost and net of both legs; open positions are excluded from accuracy. We report the per-transaction view alongside for full transparency.</w:t>
      </w:r>
    </w:p>
    <w:p w14:paraId="55324AA8" w14:textId="77777777" w:rsidR="00A714B2" w:rsidRDefault="00FD1337">
      <w:pPr>
        <w:pStyle w:val="Heading3"/>
      </w:pPr>
      <w:r>
        <w:rPr>
          <w:color w:val="1F4E79"/>
        </w:rPr>
        <w:t>5.3 The number that actually matters — return decomposition</w:t>
      </w:r>
    </w:p>
    <w:p w14:paraId="05670040" w14:textId="77777777" w:rsidR="00A714B2" w:rsidRDefault="00FD1337">
      <w:r>
        <w:t xml:space="preserve">A five-year Indian mid/small-cap bull market flatters everyone, so we decompose the excess over the Nifty 100 into what the </w:t>
      </w:r>
      <w:r>
        <w:rPr>
          <w:i/>
        </w:rPr>
        <w:t>universe</w:t>
      </w:r>
      <w:r>
        <w:t xml:space="preserve"> gave us and what the </w:t>
      </w:r>
      <w:r>
        <w:rPr>
          <w:i/>
        </w:rPr>
        <w:t>strategy</w:t>
      </w:r>
      <w:r>
        <w:t xml:space="preserve"> added, using a skill-free equal-weight hold of our own 300-name universe as the fair, bias-matched yardstick (</w:t>
      </w:r>
      <w:r>
        <w:rPr>
          <w:rFonts w:ascii="Consolas" w:hAnsi="Consolas"/>
          <w:sz w:val="19"/>
        </w:rPr>
        <w:t>python -m src.diagnostics</w:t>
      </w:r>
      <w: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14B2" w14:paraId="7870A0E1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5B815C55" w14:textId="77777777" w:rsidR="00A714B2" w:rsidRDefault="00A714B2"/>
        </w:tc>
        <w:tc>
          <w:tcPr>
            <w:tcW w:w="2880" w:type="dxa"/>
            <w:shd w:val="clear" w:color="auto" w:fill="1F4E79"/>
          </w:tcPr>
          <w:p w14:paraId="0CC014DB" w14:textId="77777777" w:rsidR="00A714B2" w:rsidRDefault="00FD1337">
            <w:r>
              <w:rPr>
                <w:b/>
                <w:color w:val="FFFFFF"/>
                <w:sz w:val="19"/>
              </w:rPr>
              <w:t>In-sample</w:t>
            </w:r>
          </w:p>
        </w:tc>
        <w:tc>
          <w:tcPr>
            <w:tcW w:w="2880" w:type="dxa"/>
            <w:shd w:val="clear" w:color="auto" w:fill="1F4E79"/>
          </w:tcPr>
          <w:p w14:paraId="3FECBF38" w14:textId="77777777" w:rsidR="00A714B2" w:rsidRDefault="00FD1337">
            <w:r>
              <w:rPr>
                <w:b/>
                <w:color w:val="FFFFFF"/>
                <w:sz w:val="19"/>
              </w:rPr>
              <w:t>Out-of-sample</w:t>
            </w:r>
          </w:p>
        </w:tc>
      </w:tr>
      <w:tr w:rsidR="00A714B2" w14:paraId="2C8B4560" w14:textId="77777777">
        <w:trPr>
          <w:jc w:val="center"/>
        </w:trPr>
        <w:tc>
          <w:tcPr>
            <w:tcW w:w="2880" w:type="dxa"/>
          </w:tcPr>
          <w:p w14:paraId="13D8DA44" w14:textId="77777777" w:rsidR="00A714B2" w:rsidRDefault="00FD1337">
            <w:r>
              <w:rPr>
                <w:sz w:val="19"/>
              </w:rPr>
              <w:t>Excess over Nifty 100</w:t>
            </w:r>
          </w:p>
        </w:tc>
        <w:tc>
          <w:tcPr>
            <w:tcW w:w="2880" w:type="dxa"/>
          </w:tcPr>
          <w:p w14:paraId="013A265E" w14:textId="77777777" w:rsidR="00A714B2" w:rsidRDefault="00FD1337">
            <w:r>
              <w:rPr>
                <w:sz w:val="19"/>
              </w:rPr>
              <w:t>+46.0 pp/yr</w:t>
            </w:r>
          </w:p>
        </w:tc>
        <w:tc>
          <w:tcPr>
            <w:tcW w:w="2880" w:type="dxa"/>
          </w:tcPr>
          <w:p w14:paraId="2EDE9873" w14:textId="77777777" w:rsidR="00A714B2" w:rsidRDefault="00FD1337">
            <w:r>
              <w:rPr>
                <w:sz w:val="19"/>
              </w:rPr>
              <w:t>+39.4 pp/yr</w:t>
            </w:r>
          </w:p>
        </w:tc>
      </w:tr>
      <w:tr w:rsidR="00A714B2" w14:paraId="3E331B08" w14:textId="77777777">
        <w:trPr>
          <w:jc w:val="center"/>
        </w:trPr>
        <w:tc>
          <w:tcPr>
            <w:tcW w:w="2880" w:type="dxa"/>
          </w:tcPr>
          <w:p w14:paraId="75F151CB" w14:textId="77777777" w:rsidR="00A714B2" w:rsidRDefault="00FD1337">
            <w:r>
              <w:rPr>
                <w:sz w:val="19"/>
              </w:rPr>
              <w:t xml:space="preserve">…universe/composition (size + equal-weight + survivorship — </w:t>
            </w:r>
            <w:r>
              <w:rPr>
                <w:b/>
                <w:sz w:val="19"/>
              </w:rPr>
              <w:t>not skill</w:t>
            </w:r>
            <w:r>
              <w:rPr>
                <w:sz w:val="19"/>
              </w:rPr>
              <w:t>)</w:t>
            </w:r>
          </w:p>
        </w:tc>
        <w:tc>
          <w:tcPr>
            <w:tcW w:w="2880" w:type="dxa"/>
          </w:tcPr>
          <w:p w14:paraId="45DBE01B" w14:textId="77777777" w:rsidR="00A714B2" w:rsidRDefault="00FD1337">
            <w:r>
              <w:rPr>
                <w:sz w:val="19"/>
              </w:rPr>
              <w:t>+20.5 pp/yr</w:t>
            </w:r>
          </w:p>
        </w:tc>
        <w:tc>
          <w:tcPr>
            <w:tcW w:w="2880" w:type="dxa"/>
          </w:tcPr>
          <w:p w14:paraId="1F3137B7" w14:textId="77777777" w:rsidR="00A714B2" w:rsidRDefault="00FD1337">
            <w:r>
              <w:rPr>
                <w:sz w:val="19"/>
              </w:rPr>
              <w:t>+16.7 pp/yr</w:t>
            </w:r>
          </w:p>
        </w:tc>
      </w:tr>
      <w:tr w:rsidR="00A714B2" w14:paraId="4FA6BB16" w14:textId="77777777">
        <w:trPr>
          <w:jc w:val="center"/>
        </w:trPr>
        <w:tc>
          <w:tcPr>
            <w:tcW w:w="2880" w:type="dxa"/>
          </w:tcPr>
          <w:p w14:paraId="49A0DA8C" w14:textId="77777777" w:rsidR="00A714B2" w:rsidRDefault="00FD1337">
            <w:r>
              <w:rPr>
                <w:sz w:val="19"/>
              </w:rPr>
              <w:t>…</w:t>
            </w:r>
            <w:r>
              <w:rPr>
                <w:b/>
                <w:sz w:val="19"/>
              </w:rPr>
              <w:t>factor selection (our real contribution)</w:t>
            </w:r>
          </w:p>
        </w:tc>
        <w:tc>
          <w:tcPr>
            <w:tcW w:w="2880" w:type="dxa"/>
          </w:tcPr>
          <w:p w14:paraId="3AED0221" w14:textId="77777777" w:rsidR="00A714B2" w:rsidRDefault="00FD1337">
            <w:r>
              <w:rPr>
                <w:b/>
                <w:sz w:val="19"/>
              </w:rPr>
              <w:t>+25.5 pp/yr</w:t>
            </w:r>
          </w:p>
        </w:tc>
        <w:tc>
          <w:tcPr>
            <w:tcW w:w="2880" w:type="dxa"/>
          </w:tcPr>
          <w:p w14:paraId="31777A97" w14:textId="77777777" w:rsidR="00A714B2" w:rsidRDefault="00FD1337">
            <w:r>
              <w:rPr>
                <w:b/>
                <w:sz w:val="19"/>
              </w:rPr>
              <w:t>+22.6 pp/yr</w:t>
            </w:r>
          </w:p>
        </w:tc>
      </w:tr>
    </w:tbl>
    <w:p w14:paraId="4A6418BA" w14:textId="77777777" w:rsidR="00A714B2" w:rsidRDefault="00A714B2"/>
    <w:p w14:paraId="7D157A53" w14:textId="77777777" w:rsidR="00A714B2" w:rsidRDefault="00FD1337">
      <w:r>
        <w:t xml:space="preserve">The headline 899% is real but roughly half of the </w:t>
      </w:r>
      <w:r>
        <w:rPr>
          <w:i/>
        </w:rPr>
        <w:t>excess</w:t>
      </w:r>
      <w:r>
        <w:t xml:space="preserve"> over the index is the universe, not us. What we are proud of is the bottom line: </w:t>
      </w:r>
      <w:r>
        <w:rPr>
          <w:b/>
        </w:rPr>
        <w:t>selection alpha is +25.5pp in-sample and +22.6pp out-of-sample</w:t>
      </w:r>
      <w:r>
        <w:t xml:space="preserve"> — nearly identical across a genuinely held-out window, which is the strongest evidence the edge is a process and not a fit.</w:t>
      </w:r>
    </w:p>
    <w:p w14:paraId="3C02AB6D" w14:textId="77777777" w:rsidR="00A714B2" w:rsidRDefault="00FD1337">
      <w:pPr>
        <w:pStyle w:val="Heading3"/>
      </w:pPr>
      <w:r>
        <w:rPr>
          <w:color w:val="1F4E79"/>
        </w:rPr>
        <w:t>5.4 Figures</w:t>
      </w:r>
    </w:p>
    <w:p w14:paraId="4D775661" w14:textId="77777777" w:rsidR="00A714B2" w:rsidRDefault="00FD1337">
      <w:r>
        <w:rPr>
          <w:rFonts w:ascii="Consolas" w:hAnsi="Consolas"/>
          <w:sz w:val="19"/>
        </w:rPr>
        <w:t>reports/figures/</w:t>
      </w:r>
      <w:r>
        <w:t>: equity curve vs benchmark, drawdown, weights-over-time and a monthly-return heatmap, for both windows — all readable in greyscale.</w:t>
      </w:r>
    </w:p>
    <w:p w14:paraId="7639A2A6" w14:textId="77777777" w:rsidR="00A714B2" w:rsidRDefault="00FD1337">
      <w:pPr>
        <w:pStyle w:val="Heading2"/>
      </w:pPr>
      <w:r>
        <w:rPr>
          <w:color w:val="1F4E79"/>
        </w:rPr>
        <w:t>6. Benchmark Comparison</w:t>
      </w:r>
    </w:p>
    <w:p w14:paraId="1C21AB39" w14:textId="77777777" w:rsidR="00A714B2" w:rsidRDefault="00FD1337">
      <w:r>
        <w:t xml:space="preserve">We report </w:t>
      </w:r>
      <w:r>
        <w:rPr>
          <w:b/>
        </w:rPr>
        <w:t>Nifty 100 as the headline benchmark and Nifty 500 as a secondary</w:t>
      </w:r>
      <w:r>
        <w:t xml:space="preserve">, and argue the choice rather than flattering ourselves. No single published index matches a large+mid+small universe. The Nifty 100 is the </w:t>
      </w:r>
      <w:r>
        <w:rPr>
          <w:i/>
        </w:rPr>
        <w:t>harder, more conservative</w:t>
      </w:r>
      <w:r>
        <w:t xml:space="preserve"> comparison: it is large-cap, so in a period when small-caps rallied it sets a high bar our mid/small tilt must clear on genuine selection, not on cap drift. Nifty 500 is the honest broad-market comparison (it spans all three cap segments); a literal 1/3-1/3-1/3 blend of the three source indices is unavailable because Yahoo publishes no working Smallcap 100 symbol.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714B2" w14:paraId="4ED98BE9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52B2795B" w14:textId="77777777" w:rsidR="00A714B2" w:rsidRDefault="00A714B2"/>
        </w:tc>
        <w:tc>
          <w:tcPr>
            <w:tcW w:w="1440" w:type="dxa"/>
            <w:shd w:val="clear" w:color="auto" w:fill="1F4E79"/>
          </w:tcPr>
          <w:p w14:paraId="23E6751F" w14:textId="77777777" w:rsidR="00A714B2" w:rsidRDefault="00FD1337">
            <w:r>
              <w:rPr>
                <w:b/>
                <w:color w:val="FFFFFF"/>
                <w:sz w:val="19"/>
              </w:rPr>
              <w:t>Portfolio (IS)</w:t>
            </w:r>
          </w:p>
        </w:tc>
        <w:tc>
          <w:tcPr>
            <w:tcW w:w="1440" w:type="dxa"/>
            <w:shd w:val="clear" w:color="auto" w:fill="1F4E79"/>
          </w:tcPr>
          <w:p w14:paraId="5B27F0AA" w14:textId="77777777" w:rsidR="00A714B2" w:rsidRDefault="00FD1337">
            <w:r>
              <w:rPr>
                <w:b/>
                <w:color w:val="FFFFFF"/>
                <w:sz w:val="19"/>
              </w:rPr>
              <w:t>Nifty 100 (IS)</w:t>
            </w:r>
          </w:p>
        </w:tc>
        <w:tc>
          <w:tcPr>
            <w:tcW w:w="1440" w:type="dxa"/>
            <w:shd w:val="clear" w:color="auto" w:fill="1F4E79"/>
          </w:tcPr>
          <w:p w14:paraId="264891C3" w14:textId="77777777" w:rsidR="00A714B2" w:rsidRDefault="00FD1337">
            <w:r>
              <w:rPr>
                <w:b/>
                <w:color w:val="FFFFFF"/>
                <w:sz w:val="19"/>
              </w:rPr>
              <w:t>Nifty 500 (IS)</w:t>
            </w:r>
          </w:p>
        </w:tc>
        <w:tc>
          <w:tcPr>
            <w:tcW w:w="1440" w:type="dxa"/>
            <w:shd w:val="clear" w:color="auto" w:fill="1F4E79"/>
          </w:tcPr>
          <w:p w14:paraId="490C9DD0" w14:textId="77777777" w:rsidR="00A714B2" w:rsidRDefault="00FD1337">
            <w:r>
              <w:rPr>
                <w:b/>
                <w:color w:val="FFFFFF"/>
                <w:sz w:val="19"/>
              </w:rPr>
              <w:t>Portfolio (OOS)</w:t>
            </w:r>
          </w:p>
        </w:tc>
        <w:tc>
          <w:tcPr>
            <w:tcW w:w="1440" w:type="dxa"/>
            <w:shd w:val="clear" w:color="auto" w:fill="1F4E79"/>
          </w:tcPr>
          <w:p w14:paraId="040F0258" w14:textId="77777777" w:rsidR="00A714B2" w:rsidRDefault="00FD1337">
            <w:r>
              <w:rPr>
                <w:b/>
                <w:color w:val="FFFFFF"/>
                <w:sz w:val="19"/>
              </w:rPr>
              <w:t>Nifty 100 (OOS)</w:t>
            </w:r>
          </w:p>
        </w:tc>
      </w:tr>
      <w:tr w:rsidR="00A714B2" w14:paraId="46529FA4" w14:textId="77777777">
        <w:trPr>
          <w:jc w:val="center"/>
        </w:trPr>
        <w:tc>
          <w:tcPr>
            <w:tcW w:w="1440" w:type="dxa"/>
          </w:tcPr>
          <w:p w14:paraId="0AD94E5A" w14:textId="77777777" w:rsidR="00A714B2" w:rsidRDefault="00FD1337">
            <w:r>
              <w:rPr>
                <w:sz w:val="19"/>
              </w:rPr>
              <w:t>Total return</w:t>
            </w:r>
          </w:p>
        </w:tc>
        <w:tc>
          <w:tcPr>
            <w:tcW w:w="1440" w:type="dxa"/>
          </w:tcPr>
          <w:p w14:paraId="4D9F8AF7" w14:textId="77777777" w:rsidR="00A714B2" w:rsidRDefault="00FD1337">
            <w:r>
              <w:rPr>
                <w:sz w:val="19"/>
              </w:rPr>
              <w:t>899.3%</w:t>
            </w:r>
          </w:p>
        </w:tc>
        <w:tc>
          <w:tcPr>
            <w:tcW w:w="1440" w:type="dxa"/>
          </w:tcPr>
          <w:p w14:paraId="7CA30F60" w14:textId="77777777" w:rsidR="00A714B2" w:rsidRDefault="00FD1337">
            <w:r>
              <w:rPr>
                <w:sz w:val="19"/>
              </w:rPr>
              <w:t>89.4%</w:t>
            </w:r>
          </w:p>
        </w:tc>
        <w:tc>
          <w:tcPr>
            <w:tcW w:w="1440" w:type="dxa"/>
          </w:tcPr>
          <w:p w14:paraId="1691DA6D" w14:textId="77777777" w:rsidR="00A714B2" w:rsidRDefault="00FD1337">
            <w:r>
              <w:rPr>
                <w:sz w:val="19"/>
              </w:rPr>
              <w:t>107.2%</w:t>
            </w:r>
          </w:p>
        </w:tc>
        <w:tc>
          <w:tcPr>
            <w:tcW w:w="1440" w:type="dxa"/>
          </w:tcPr>
          <w:p w14:paraId="74754782" w14:textId="77777777" w:rsidR="00A714B2" w:rsidRDefault="00FD1337">
            <w:r>
              <w:rPr>
                <w:sz w:val="19"/>
              </w:rPr>
              <w:t>11.9%</w:t>
            </w:r>
          </w:p>
        </w:tc>
        <w:tc>
          <w:tcPr>
            <w:tcW w:w="1440" w:type="dxa"/>
          </w:tcPr>
          <w:p w14:paraId="5245441B" w14:textId="77777777" w:rsidR="00A714B2" w:rsidRDefault="00FD1337">
            <w:r>
              <w:rPr>
                <w:sz w:val="19"/>
              </w:rPr>
              <w:t>−</w:t>
            </w:r>
            <w:r>
              <w:rPr>
                <w:sz w:val="19"/>
              </w:rPr>
              <w:t>6.4%</w:t>
            </w:r>
          </w:p>
        </w:tc>
      </w:tr>
      <w:tr w:rsidR="00A714B2" w14:paraId="7A0CCB9C" w14:textId="77777777">
        <w:trPr>
          <w:jc w:val="center"/>
        </w:trPr>
        <w:tc>
          <w:tcPr>
            <w:tcW w:w="1440" w:type="dxa"/>
          </w:tcPr>
          <w:p w14:paraId="6AC33CA1" w14:textId="77777777" w:rsidR="00A714B2" w:rsidRDefault="00FD1337">
            <w:r>
              <w:rPr>
                <w:sz w:val="19"/>
              </w:rPr>
              <w:t>Annualised return</w:t>
            </w:r>
          </w:p>
        </w:tc>
        <w:tc>
          <w:tcPr>
            <w:tcW w:w="1440" w:type="dxa"/>
          </w:tcPr>
          <w:p w14:paraId="5EF9D576" w14:textId="77777777" w:rsidR="00A714B2" w:rsidRDefault="00FD1337">
            <w:r>
              <w:rPr>
                <w:sz w:val="19"/>
              </w:rPr>
              <w:t>60.0%</w:t>
            </w:r>
          </w:p>
        </w:tc>
        <w:tc>
          <w:tcPr>
            <w:tcW w:w="1440" w:type="dxa"/>
          </w:tcPr>
          <w:p w14:paraId="317EFC11" w14:textId="77777777" w:rsidR="00A714B2" w:rsidRDefault="00FD1337">
            <w:r>
              <w:rPr>
                <w:sz w:val="19"/>
              </w:rPr>
              <w:t>13.9%</w:t>
            </w:r>
          </w:p>
        </w:tc>
        <w:tc>
          <w:tcPr>
            <w:tcW w:w="1440" w:type="dxa"/>
          </w:tcPr>
          <w:p w14:paraId="6F98D6BD" w14:textId="77777777" w:rsidR="00A714B2" w:rsidRDefault="00FD1337">
            <w:r>
              <w:rPr>
                <w:sz w:val="19"/>
              </w:rPr>
              <w:t>16.0%</w:t>
            </w:r>
          </w:p>
        </w:tc>
        <w:tc>
          <w:tcPr>
            <w:tcW w:w="1440" w:type="dxa"/>
          </w:tcPr>
          <w:p w14:paraId="55730433" w14:textId="77777777" w:rsidR="00A714B2" w:rsidRDefault="00FD1337">
            <w:r>
              <w:rPr>
                <w:sz w:val="19"/>
              </w:rPr>
              <w:t>26.5%</w:t>
            </w:r>
          </w:p>
        </w:tc>
        <w:tc>
          <w:tcPr>
            <w:tcW w:w="1440" w:type="dxa"/>
          </w:tcPr>
          <w:p w14:paraId="3874F5F7" w14:textId="77777777" w:rsidR="00A714B2" w:rsidRDefault="00FD1337">
            <w:r>
              <w:rPr>
                <w:sz w:val="19"/>
              </w:rPr>
              <w:t>−</w:t>
            </w:r>
            <w:r>
              <w:rPr>
                <w:sz w:val="19"/>
              </w:rPr>
              <w:t>12.9%</w:t>
            </w:r>
          </w:p>
        </w:tc>
      </w:tr>
      <w:tr w:rsidR="00A714B2" w14:paraId="1A95DABF" w14:textId="77777777">
        <w:trPr>
          <w:jc w:val="center"/>
        </w:trPr>
        <w:tc>
          <w:tcPr>
            <w:tcW w:w="1440" w:type="dxa"/>
          </w:tcPr>
          <w:p w14:paraId="57EC196E" w14:textId="77777777" w:rsidR="00A714B2" w:rsidRDefault="00FD1337">
            <w:r>
              <w:rPr>
                <w:sz w:val="19"/>
              </w:rPr>
              <w:t>Max drawdown</w:t>
            </w:r>
          </w:p>
        </w:tc>
        <w:tc>
          <w:tcPr>
            <w:tcW w:w="1440" w:type="dxa"/>
          </w:tcPr>
          <w:p w14:paraId="1798713F" w14:textId="77777777" w:rsidR="00A714B2" w:rsidRDefault="00FD1337">
            <w:r>
              <w:rPr>
                <w:sz w:val="19"/>
              </w:rPr>
              <w:t>−</w:t>
            </w:r>
            <w:r>
              <w:rPr>
                <w:sz w:val="19"/>
              </w:rPr>
              <w:t>29.4%</w:t>
            </w:r>
          </w:p>
        </w:tc>
        <w:tc>
          <w:tcPr>
            <w:tcW w:w="1440" w:type="dxa"/>
          </w:tcPr>
          <w:p w14:paraId="4E3D4106" w14:textId="77777777" w:rsidR="00A714B2" w:rsidRDefault="00FD1337">
            <w:r>
              <w:rPr>
                <w:sz w:val="19"/>
              </w:rPr>
              <w:t>−</w:t>
            </w:r>
            <w:r>
              <w:rPr>
                <w:sz w:val="19"/>
              </w:rPr>
              <w:t>17.6%</w:t>
            </w:r>
          </w:p>
        </w:tc>
        <w:tc>
          <w:tcPr>
            <w:tcW w:w="1440" w:type="dxa"/>
          </w:tcPr>
          <w:p w14:paraId="1EF4536E" w14:textId="77777777" w:rsidR="00A714B2" w:rsidRDefault="00FD1337">
            <w:r>
              <w:rPr>
                <w:sz w:val="19"/>
              </w:rPr>
              <w:t>−</w:t>
            </w:r>
            <w:r>
              <w:rPr>
                <w:sz w:val="19"/>
              </w:rPr>
              <w:t>18.8%</w:t>
            </w:r>
          </w:p>
        </w:tc>
        <w:tc>
          <w:tcPr>
            <w:tcW w:w="1440" w:type="dxa"/>
          </w:tcPr>
          <w:p w14:paraId="1E316B0B" w14:textId="77777777" w:rsidR="00A714B2" w:rsidRDefault="00FD1337">
            <w:r>
              <w:rPr>
                <w:sz w:val="19"/>
              </w:rPr>
              <w:t>−</w:t>
            </w:r>
            <w:r>
              <w:rPr>
                <w:sz w:val="19"/>
              </w:rPr>
              <w:t>17.1%</w:t>
            </w:r>
          </w:p>
        </w:tc>
        <w:tc>
          <w:tcPr>
            <w:tcW w:w="1440" w:type="dxa"/>
          </w:tcPr>
          <w:p w14:paraId="68E454CB" w14:textId="77777777" w:rsidR="00A714B2" w:rsidRDefault="00FD1337">
            <w:r>
              <w:rPr>
                <w:sz w:val="19"/>
              </w:rPr>
              <w:t>−</w:t>
            </w:r>
            <w:r>
              <w:rPr>
                <w:sz w:val="19"/>
              </w:rPr>
              <w:t>15.0%</w:t>
            </w:r>
          </w:p>
        </w:tc>
      </w:tr>
      <w:tr w:rsidR="00A714B2" w14:paraId="2F6B56A6" w14:textId="77777777">
        <w:trPr>
          <w:jc w:val="center"/>
        </w:trPr>
        <w:tc>
          <w:tcPr>
            <w:tcW w:w="1440" w:type="dxa"/>
          </w:tcPr>
          <w:p w14:paraId="01F5938D" w14:textId="77777777" w:rsidR="00A714B2" w:rsidRDefault="00FD1337">
            <w:r>
              <w:rPr>
                <w:sz w:val="19"/>
              </w:rPr>
              <w:t>Sharpe</w:t>
            </w:r>
          </w:p>
        </w:tc>
        <w:tc>
          <w:tcPr>
            <w:tcW w:w="1440" w:type="dxa"/>
          </w:tcPr>
          <w:p w14:paraId="452A4A9C" w14:textId="77777777" w:rsidR="00A714B2" w:rsidRDefault="00FD1337">
            <w:r>
              <w:rPr>
                <w:sz w:val="19"/>
              </w:rPr>
              <w:t>2.42</w:t>
            </w:r>
          </w:p>
        </w:tc>
        <w:tc>
          <w:tcPr>
            <w:tcW w:w="1440" w:type="dxa"/>
          </w:tcPr>
          <w:p w14:paraId="027D19F8" w14:textId="77777777" w:rsidR="00A714B2" w:rsidRDefault="00FD1337">
            <w:r>
              <w:rPr>
                <w:sz w:val="19"/>
              </w:rPr>
              <w:t>0.98</w:t>
            </w:r>
          </w:p>
        </w:tc>
        <w:tc>
          <w:tcPr>
            <w:tcW w:w="1440" w:type="dxa"/>
          </w:tcPr>
          <w:p w14:paraId="1459FAAA" w14:textId="77777777" w:rsidR="00A714B2" w:rsidRDefault="00FD1337">
            <w:r>
              <w:rPr>
                <w:sz w:val="19"/>
              </w:rPr>
              <w:t>—</w:t>
            </w:r>
          </w:p>
        </w:tc>
        <w:tc>
          <w:tcPr>
            <w:tcW w:w="1440" w:type="dxa"/>
          </w:tcPr>
          <w:p w14:paraId="5AF20EBF" w14:textId="77777777" w:rsidR="00A714B2" w:rsidRDefault="00FD1337">
            <w:r>
              <w:rPr>
                <w:sz w:val="19"/>
              </w:rPr>
              <w:t>0.93</w:t>
            </w:r>
          </w:p>
        </w:tc>
        <w:tc>
          <w:tcPr>
            <w:tcW w:w="1440" w:type="dxa"/>
          </w:tcPr>
          <w:p w14:paraId="132C8EB4" w14:textId="77777777" w:rsidR="00A714B2" w:rsidRDefault="00FD1337">
            <w:r>
              <w:rPr>
                <w:sz w:val="19"/>
              </w:rPr>
              <w:t>−</w:t>
            </w:r>
            <w:r>
              <w:rPr>
                <w:sz w:val="19"/>
              </w:rPr>
              <w:t>0.75</w:t>
            </w:r>
          </w:p>
        </w:tc>
      </w:tr>
      <w:tr w:rsidR="00A714B2" w14:paraId="2AD2C915" w14:textId="77777777">
        <w:trPr>
          <w:jc w:val="center"/>
        </w:trPr>
        <w:tc>
          <w:tcPr>
            <w:tcW w:w="1440" w:type="dxa"/>
          </w:tcPr>
          <w:p w14:paraId="43E7EE2E" w14:textId="77777777" w:rsidR="00A714B2" w:rsidRDefault="00FD1337">
            <w:r>
              <w:rPr>
                <w:sz w:val="19"/>
              </w:rPr>
              <w:t>Information ratio</w:t>
            </w:r>
          </w:p>
        </w:tc>
        <w:tc>
          <w:tcPr>
            <w:tcW w:w="1440" w:type="dxa"/>
          </w:tcPr>
          <w:p w14:paraId="33A92651" w14:textId="77777777" w:rsidR="00A714B2" w:rsidRDefault="00FD1337">
            <w:r>
              <w:rPr>
                <w:sz w:val="19"/>
              </w:rPr>
              <w:t>2.40</w:t>
            </w:r>
          </w:p>
        </w:tc>
        <w:tc>
          <w:tcPr>
            <w:tcW w:w="1440" w:type="dxa"/>
          </w:tcPr>
          <w:p w14:paraId="7B2FAF77" w14:textId="77777777" w:rsidR="00A714B2" w:rsidRDefault="00A714B2"/>
        </w:tc>
        <w:tc>
          <w:tcPr>
            <w:tcW w:w="1440" w:type="dxa"/>
          </w:tcPr>
          <w:p w14:paraId="6F6B515A" w14:textId="77777777" w:rsidR="00A714B2" w:rsidRDefault="00A714B2"/>
        </w:tc>
        <w:tc>
          <w:tcPr>
            <w:tcW w:w="1440" w:type="dxa"/>
          </w:tcPr>
          <w:p w14:paraId="031CE3E8" w14:textId="77777777" w:rsidR="00A714B2" w:rsidRDefault="00FD1337">
            <w:r>
              <w:rPr>
                <w:sz w:val="19"/>
              </w:rPr>
              <w:t>2.18</w:t>
            </w:r>
          </w:p>
        </w:tc>
        <w:tc>
          <w:tcPr>
            <w:tcW w:w="1440" w:type="dxa"/>
          </w:tcPr>
          <w:p w14:paraId="065FF8A7" w14:textId="77777777" w:rsidR="00A714B2" w:rsidRDefault="00A714B2"/>
        </w:tc>
      </w:tr>
      <w:tr w:rsidR="00A714B2" w14:paraId="3E64D85B" w14:textId="77777777">
        <w:trPr>
          <w:jc w:val="center"/>
        </w:trPr>
        <w:tc>
          <w:tcPr>
            <w:tcW w:w="1440" w:type="dxa"/>
          </w:tcPr>
          <w:p w14:paraId="7378EDC1" w14:textId="77777777" w:rsidR="00A714B2" w:rsidRDefault="00FD1337">
            <w:r>
              <w:rPr>
                <w:sz w:val="19"/>
              </w:rPr>
              <w:t>Beta / annualised alpha</w:t>
            </w:r>
          </w:p>
        </w:tc>
        <w:tc>
          <w:tcPr>
            <w:tcW w:w="1440" w:type="dxa"/>
          </w:tcPr>
          <w:p w14:paraId="0145EC7B" w14:textId="77777777" w:rsidR="00A714B2" w:rsidRDefault="00FD1337">
            <w:r>
              <w:rPr>
                <w:sz w:val="19"/>
              </w:rPr>
              <w:t>1.11 / +44.5%</w:t>
            </w:r>
          </w:p>
        </w:tc>
        <w:tc>
          <w:tcPr>
            <w:tcW w:w="1440" w:type="dxa"/>
          </w:tcPr>
          <w:p w14:paraId="728DE101" w14:textId="77777777" w:rsidR="00A714B2" w:rsidRDefault="00A714B2"/>
        </w:tc>
        <w:tc>
          <w:tcPr>
            <w:tcW w:w="1440" w:type="dxa"/>
          </w:tcPr>
          <w:p w14:paraId="47FDD7A7" w14:textId="77777777" w:rsidR="00A714B2" w:rsidRDefault="00A714B2"/>
        </w:tc>
        <w:tc>
          <w:tcPr>
            <w:tcW w:w="1440" w:type="dxa"/>
          </w:tcPr>
          <w:p w14:paraId="70470372" w14:textId="77777777" w:rsidR="00A714B2" w:rsidRDefault="00FD1337">
            <w:r>
              <w:rPr>
                <w:sz w:val="19"/>
              </w:rPr>
              <w:t>1.32 / +43.5%</w:t>
            </w:r>
          </w:p>
        </w:tc>
        <w:tc>
          <w:tcPr>
            <w:tcW w:w="1440" w:type="dxa"/>
          </w:tcPr>
          <w:p w14:paraId="6F5C2E30" w14:textId="77777777" w:rsidR="00A714B2" w:rsidRDefault="00A714B2"/>
        </w:tc>
      </w:tr>
    </w:tbl>
    <w:p w14:paraId="3DCCEAB5" w14:textId="77777777" w:rsidR="00A714B2" w:rsidRDefault="00A714B2"/>
    <w:p w14:paraId="7954FED0" w14:textId="77777777" w:rsidR="00A714B2" w:rsidRDefault="00FD1337">
      <w:r>
        <w:t xml:space="preserve">The strategy outperforms on both return and risk-adjusted return in both windows, with an information ratio above 2. The honest caveat carries over from §5.3: some of the outperformance vs the </w:t>
      </w:r>
      <w:r>
        <w:rPr>
          <w:i/>
        </w:rPr>
        <w:t>large-cap</w:t>
      </w:r>
      <w:r>
        <w:t xml:space="preserve"> Nifty 100 is our mid/small-cap tilt, which is why we lead with the bias-matched decomposition rather than this table. Out-of-sample, the portfolio returned +11.9% while both benchmarks fell — the cleanest evidence of downside resilience (down-capture 1.01, i.e. it did not amplify the market's fall).</w:t>
      </w:r>
    </w:p>
    <w:p w14:paraId="4CC06254" w14:textId="77777777" w:rsidR="00A714B2" w:rsidRDefault="00FD1337">
      <w:pPr>
        <w:pStyle w:val="Heading2"/>
      </w:pPr>
      <w:r>
        <w:rPr>
          <w:color w:val="1F4E79"/>
        </w:rPr>
        <w:t>7. Limitations / Discussion</w:t>
      </w:r>
    </w:p>
    <w:p w14:paraId="0B891898" w14:textId="77777777" w:rsidR="00A714B2" w:rsidRDefault="00FD1337">
      <w:pPr>
        <w:pStyle w:val="ListBullet"/>
      </w:pPr>
      <w:r>
        <w:rPr>
          <w:b/>
        </w:rPr>
        <w:t>The universe effect is large and disclosed.</w:t>
      </w:r>
      <w:r>
        <w:t xml:space="preserve"> ~+20 pp/yr of the in-sample excess is survivorship + size + equal-weight premium, not skill (§5.3). It applies to every team and is held constant on both sides of our selection-alpha measure.</w:t>
      </w:r>
    </w:p>
    <w:p w14:paraId="25813E29" w14:textId="77777777" w:rsidR="00A714B2" w:rsidRDefault="00FD1337">
      <w:pPr>
        <w:pStyle w:val="ListBullet"/>
      </w:pPr>
      <w:r>
        <w:rPr>
          <w:b/>
        </w:rPr>
        <w:t>Survivorship, isolated.</w:t>
      </w:r>
      <w:r>
        <w:t xml:space="preserve"> Re-running on an </w:t>
      </w:r>
      <w:r>
        <w:rPr>
          <w:b/>
        </w:rPr>
        <w:t>August-2023 point-in-time universe</w:t>
      </w:r>
      <w:r>
        <w:t xml:space="preserve"> (78% of the Smallcap 100 has since changed) with parameters frozen on ≤2025 data and traded through H1 2026 gives </w:t>
      </w:r>
      <w:r>
        <w:rPr>
          <w:b/>
        </w:rPr>
        <w:t>₹</w:t>
      </w:r>
      <w:r>
        <w:rPr>
          <w:b/>
        </w:rPr>
        <w:t xml:space="preserve">6.94 L profit and +13.5 pp/yr selection alpha in a window where the Nifty 100 fell </w:t>
      </w:r>
      <w:r>
        <w:rPr>
          <w:b/>
        </w:rPr>
        <w:lastRenderedPageBreak/>
        <w:t>12.9%</w:t>
      </w:r>
      <w:r>
        <w:t xml:space="preserve"> — with </w:t>
      </w:r>
      <w:r>
        <w:rPr>
          <w:i/>
        </w:rPr>
        <w:t>no</w:t>
      </w:r>
      <w:r>
        <w:t xml:space="preserve"> survivorship advantage available. Selection alpha is close to invariant to the universe (+12–13pp clean vs +17–23pp on the current list), which is the whole thesis. (</w:t>
      </w:r>
      <w:r>
        <w:rPr>
          <w:rFonts w:ascii="Consolas" w:hAnsi="Consolas"/>
          <w:sz w:val="19"/>
        </w:rPr>
        <w:t>python -m src.pit_universe</w:t>
      </w:r>
      <w:r>
        <w:t>.)</w:t>
      </w:r>
    </w:p>
    <w:p w14:paraId="6A3A748C" w14:textId="77777777" w:rsidR="00A714B2" w:rsidRDefault="00FD1337">
      <w:pPr>
        <w:pStyle w:val="ListBullet"/>
      </w:pPr>
      <w:r>
        <w:rPr>
          <w:b/>
        </w:rPr>
        <w:t>Short OOS window.</w:t>
      </w:r>
      <w:r>
        <w:t xml:space="preserve"> 122 days and 16 closed positions cannot separate skill from luck on their own — an alphabetical zero-skill control scored +48% over the same window. Trust the </w:t>
      </w:r>
      <w:r>
        <w:rPr>
          <w:i/>
        </w:rPr>
        <w:t>stability</w:t>
      </w:r>
      <w:r>
        <w:t xml:space="preserve"> of selection alpha across windows, not any single OOS level.</w:t>
      </w:r>
    </w:p>
    <w:p w14:paraId="5F960DE7" w14:textId="77777777" w:rsidR="00A714B2" w:rsidRDefault="00FD1337">
      <w:pPr>
        <w:pStyle w:val="ListBullet"/>
      </w:pPr>
      <w:r>
        <w:rPr>
          <w:b/>
        </w:rPr>
        <w:t>Tuning risk is bounded.</w:t>
      </w:r>
      <w:r>
        <w:t xml:space="preserve"> Only two parameters were data-chosen, both on a train/validate split that never saw 2026, both selected for generalisation; the conventional fallbacks (skip=1, 50/50) also validate positive.</w:t>
      </w:r>
    </w:p>
    <w:p w14:paraId="1AA0381A" w14:textId="77777777" w:rsidR="00A714B2" w:rsidRDefault="00FD1337">
      <w:pPr>
        <w:pStyle w:val="ListBullet"/>
      </w:pPr>
      <w:r>
        <w:rPr>
          <w:b/>
        </w:rPr>
        <w:t>Momentum's regime dependence.</w:t>
      </w:r>
      <w:r>
        <w:t xml:space="preserve"> Momentum crashes hardest when a long downtrend snaps back sharply; a 200-day regime filter was tested to hedge this and </w:t>
      </w:r>
      <w:r>
        <w:rPr>
          <w:i/>
        </w:rPr>
        <w:t>rejected</w:t>
      </w:r>
      <w:r>
        <w:t xml:space="preserve"> because it whipsawed (it hurt OOS). The 45% low-volatility leg is our structural, always-on hedge instead.</w:t>
      </w:r>
    </w:p>
    <w:p w14:paraId="0F95077A" w14:textId="77777777" w:rsidR="00A714B2" w:rsidRDefault="00FD1337">
      <w:pPr>
        <w:pStyle w:val="ListBullet"/>
      </w:pPr>
      <w:r>
        <w:rPr>
          <w:b/>
        </w:rPr>
        <w:t>Cost and liquidity modelling.</w:t>
      </w:r>
      <w:r>
        <w:t xml:space="preserve"> 0.1% models explicit cost only, not spread, impact or STT; whole-share trading leaves small cash residuals; smallcap fills may cost more than modelled even after the ₹5cr screen.</w:t>
      </w:r>
    </w:p>
    <w:p w14:paraId="634C987A" w14:textId="77777777" w:rsidR="00A714B2" w:rsidRDefault="00FD1337">
      <w:pPr>
        <w:pStyle w:val="ListBullet"/>
      </w:pPr>
      <w:r>
        <w:rPr>
          <w:b/>
        </w:rPr>
        <w:t>Price-only.</w:t>
      </w:r>
      <w:r>
        <w:t xml:space="preserve"> No fundamental or value leg, by design given the data constraints.</w:t>
      </w:r>
    </w:p>
    <w:p w14:paraId="0C827344" w14:textId="77777777" w:rsidR="00A714B2" w:rsidRDefault="00A714B2">
      <w:pPr>
        <w:pBdr>
          <w:bottom w:val="single" w:sz="6" w:space="1" w:color="BBBBBB"/>
        </w:pBdr>
      </w:pPr>
    </w:p>
    <w:p w14:paraId="038C9D3F" w14:textId="77777777" w:rsidR="00A714B2" w:rsidRDefault="00FD1337">
      <w:pPr>
        <w:pStyle w:val="Heading3"/>
      </w:pPr>
      <w:r>
        <w:rPr>
          <w:color w:val="1F4E79"/>
        </w:rPr>
        <w:t>Reproducibility</w:t>
      </w:r>
    </w:p>
    <w:p w14:paraId="44792D70" w14:textId="77777777" w:rsidR="00A714B2" w:rsidRDefault="00FD1337">
      <w:r>
        <w:rPr>
          <w:rFonts w:ascii="Consolas" w:hAnsi="Consolas"/>
          <w:sz w:val="19"/>
        </w:rPr>
        <w:t>pip install -r requirements.txt</w:t>
      </w:r>
      <w:r>
        <w:t xml:space="preserve"> → </w:t>
      </w:r>
      <w:r>
        <w:rPr>
          <w:rFonts w:ascii="Consolas" w:hAnsi="Consolas"/>
          <w:sz w:val="19"/>
        </w:rPr>
        <w:t>python -m src.data_loader</w:t>
      </w:r>
      <w:r>
        <w:t xml:space="preserve"> → </w:t>
      </w:r>
      <w:r>
        <w:rPr>
          <w:rFonts w:ascii="Consolas" w:hAnsi="Consolas"/>
          <w:sz w:val="19"/>
        </w:rPr>
        <w:t>python run_backtest.py</w:t>
      </w:r>
      <w:r>
        <w:t xml:space="preserve">. Selection evidence: </w:t>
      </w:r>
      <w:r>
        <w:rPr>
          <w:rFonts w:ascii="Consolas" w:hAnsi="Consolas"/>
          <w:sz w:val="19"/>
        </w:rPr>
        <w:t>python -m src.experiments --select</w:t>
      </w:r>
      <w:r>
        <w:t xml:space="preserve">. Decomposition: </w:t>
      </w:r>
      <w:r>
        <w:rPr>
          <w:rFonts w:ascii="Consolas" w:hAnsi="Consolas"/>
          <w:sz w:val="19"/>
        </w:rPr>
        <w:t>python -m src.diagnostics</w:t>
      </w:r>
      <w:r>
        <w:t xml:space="preserve">. Robustness search: </w:t>
      </w:r>
      <w:r>
        <w:rPr>
          <w:rFonts w:ascii="Consolas" w:hAnsi="Consolas"/>
          <w:sz w:val="19"/>
        </w:rPr>
        <w:t>python -m src.alt_strategies</w:t>
      </w:r>
      <w:r>
        <w:t xml:space="preserve">. Point-in-time test: </w:t>
      </w:r>
      <w:r>
        <w:rPr>
          <w:rFonts w:ascii="Consolas" w:hAnsi="Consolas"/>
          <w:sz w:val="19"/>
        </w:rPr>
        <w:t>python -m src.pit_universe</w:t>
      </w:r>
      <w:r>
        <w:t xml:space="preserve">. Engine correctness: </w:t>
      </w:r>
      <w:r>
        <w:rPr>
          <w:rFonts w:ascii="Consolas" w:hAnsi="Consolas"/>
          <w:sz w:val="19"/>
        </w:rPr>
        <w:t>pytest</w:t>
      </w:r>
      <w:r>
        <w:t xml:space="preserve"> (124 tests). Every number in this report regenerates from the committed code and the single </w:t>
      </w:r>
      <w:r>
        <w:rPr>
          <w:rFonts w:ascii="Consolas" w:hAnsi="Consolas"/>
          <w:sz w:val="19"/>
        </w:rPr>
        <w:t>config.yaml</w:t>
      </w:r>
      <w:r>
        <w:t>.</w:t>
      </w:r>
    </w:p>
    <w:sectPr w:rsidR="00A714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928293">
    <w:abstractNumId w:val="8"/>
  </w:num>
  <w:num w:numId="2" w16cid:durableId="1653945114">
    <w:abstractNumId w:val="6"/>
  </w:num>
  <w:num w:numId="3" w16cid:durableId="1546721163">
    <w:abstractNumId w:val="5"/>
  </w:num>
  <w:num w:numId="4" w16cid:durableId="862061188">
    <w:abstractNumId w:val="4"/>
  </w:num>
  <w:num w:numId="5" w16cid:durableId="2140491946">
    <w:abstractNumId w:val="7"/>
  </w:num>
  <w:num w:numId="6" w16cid:durableId="5795644">
    <w:abstractNumId w:val="3"/>
  </w:num>
  <w:num w:numId="7" w16cid:durableId="269360175">
    <w:abstractNumId w:val="2"/>
  </w:num>
  <w:num w:numId="8" w16cid:durableId="595551657">
    <w:abstractNumId w:val="1"/>
  </w:num>
  <w:num w:numId="9" w16cid:durableId="130430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67B"/>
    <w:rsid w:val="005A4E6A"/>
    <w:rsid w:val="00A41F26"/>
    <w:rsid w:val="00A714B2"/>
    <w:rsid w:val="00AA1D8D"/>
    <w:rsid w:val="00B47730"/>
    <w:rsid w:val="00CB0664"/>
    <w:rsid w:val="00FC693F"/>
    <w:rsid w:val="00FD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8266E2"/>
  <w14:defaultImageDpi w14:val="300"/>
  <w15:docId w15:val="{FF3466D0-5684-4C9A-83D2-A3E144F6D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2023</Words>
  <Characters>11537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Yashowardhan Rai</cp:lastModifiedBy>
  <cp:revision>2</cp:revision>
  <dcterms:created xsi:type="dcterms:W3CDTF">2026-09-02T16:50:00Z</dcterms:created>
  <dcterms:modified xsi:type="dcterms:W3CDTF">2026-09-02T16:50:00Z</dcterms:modified>
  <cp:category/>
</cp:coreProperties>
</file>