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"/>
      </w:pP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888888"/>
          <w:sz w:val="24"/>
          <w:szCs w:val="24"/>
        </w:rPr>
        <w:t xml:space="preserve">AMBAK PM INTERNSHIP — SCREENING ASSIGNMENT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4F8A"/>
          <w:sz w:val="52"/>
          <w:szCs w:val="52"/>
        </w:rPr>
        <w:t xml:space="preserve">The Loan Discovery Problem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2E75B6"/>
          <w:sz w:val="26"/>
          <w:szCs w:val="26"/>
        </w:rPr>
        <w:t xml:space="preserve">YONO SBI doesn’t have a credit problem. It has a discovery problem.</w:t>
      </w:r>
    </w:p>
    <w:p>
      <w:pPr>
        <w:spacing w:after="0" w:before="80"/>
      </w:pP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YASH CHAUDHARY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Roll No. 22UEC147  |  B.Tech ECE, LNMIIT Jaipur  |  April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SUBMITTED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SBI YONO (2026)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April 2026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Personal Loan Discovery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PART 1 | THE PROBLEM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Wall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 friend texted me: “Yash, I need ₹80k for my flat deposit. YONO should just give me a loan, right?” I said yes. Five minutes later: “It says visit branch. I’ll try KreditBee.” She got the loan at 24%. SBI lost that transaction —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and possibly her as a future home loan customer.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I opened YONO myself. Two-year salary account. No pre-approval. I closed the app.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4F8A"/>
                <w:sz w:val="22"/>
                <w:szCs w:val="22"/>
              </w:rPr>
              <w:t xml:space="preserve">YONO’s loan section is built entirely around customers it has already decided to lend to. If you are a first-time borrower, you are digitally invisible.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What a First-Time Borrower Sees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Pre-Approved Loan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 visible. Requires 6+ months history.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Personal Loan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Leads to branch visit form. No digital path.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Home / Car Loan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Irrelevant to need. Clutters discovery.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Xpress Credit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Government and PSU salary accounts only.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Check Eligibility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Does not exist as a standalone flow.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PART 1.5 | COMPETITIVE TEARDOWN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SBI vs the Competition: The Click Count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Click count excludes data entry for simplicity. Time-to-decision is the more meaningful metric.</w:t>
      </w:r>
    </w:p>
    <w:p>
      <w:pPr>
        <w:spacing w:after="0" w:before="80"/>
      </w:pPr>
    </w:p>
    <w:p>
      <w:pPr>
        <w:spacing w:after="60" w:before="120"/>
        <w:jc w:val="center"/>
      </w:pPr>
      <w:r>
        <w:drawing>
          <wp:inline distT="0" distB="0" distL="0" distR="0">
            <wp:extent cx="54864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Fig 1. Steps to loan decision — SBI YONO vs KreditBee vs Navi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SBI YONO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KreditBee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Navi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 Open YONO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 Download app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1. Open Navi app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 Navigate to Loans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 Mobile no. + PAN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2. PAN + selfie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 Tap Personal Loan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 Income details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3. Offer shown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— Visit nearest branch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 Soft credit check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4. Accept and confirm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5. Offer: ₹70k at 24%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6. Disbursed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₹0 | No decision | 5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₹70,000 | Yes | 15 min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Up to ₹20L | Yes | 10 min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4F8A"/>
                <w:sz w:val="22"/>
                <w:szCs w:val="22"/>
              </w:rPr>
              <w:t xml:space="preserve">The real competition is not just fintech apps — it is any faster source of liquidity. Pathfinder competes with a 10-minute disbursal, not just SBI’s current UX.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KreditBee sent Priya a push notification 10 minutes after she closed YONO. SBI sent no SMS, no email, no follow-up. This is a retention problem, not a credit problem.</w:t>
      </w:r>
    </w:p>
    <w:p>
      <w:pPr>
        <w:spacing w:after="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PART 1 | ROOT CAUSE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Why This Wall Exists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4F8A"/>
                <w:sz w:val="22"/>
                <w:szCs w:val="22"/>
              </w:rPr>
              <w:t xml:space="preserve">RBI’s Jan 2025 Master Direction: first-time borrowers cannot be rejected solely for lacking credit history. The Finance Ministry reiterated this in Parliament in August 2025.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Four Reasons — Only One is Fixable in a Sprint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A  REGULATORY: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RBI capital adequacy rules require significantly more capital provisioning for unscored borrowers. Cannot fix in a sprint.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B  TECHNICAL: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SBI’s core banking system (Finacle) processes credit decisions in overnight batch mode. Real-time alternative scoring requires a middleware layer that doesn’t exist. Expensive to change.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E8449"/>
          <w:sz w:val="20"/>
          <w:szCs w:val="20"/>
        </w:rPr>
        <w:t xml:space="preserve">C  ORGANISATIONAL: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The YONO product team scoped loans as a disbursement tool, not a discovery surface. Entirely fixable.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392B"/>
          <w:sz w:val="20"/>
          <w:szCs w:val="20"/>
        </w:rPr>
        <w:t xml:space="preserve">D  INCENTIVE MISALIGNMENT: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 Unlike fintechs, SBI doesn’t face immediate revenue loss when a user drops off. The product team is measured on disbursal volume, not discovery completion. A dead end doesn’t hurt their OKR.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9E6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E67E22"/>
                <w:sz w:val="22"/>
                <w:szCs w:val="22"/>
              </w:rPr>
              <w:t xml:space="preserve">This problem sits at the intersection of UX and credit risk — two teams that rarely optimize for the same metric. That’s why it persists.</w:t>
            </w:r>
          </w:p>
        </w:tc>
      </w:tr>
    </w:tbl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Two User Segments, One Product Surface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510"/>
        <w:gridCol w:w="351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Pre-approved users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First-time borrowers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Size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~30% of active YONO users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~18–22% of active YONO users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YONO experience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Banner → 4 clicks → instant disbursement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No path. No message. No redirect.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LTV potential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Moderate (already acquired)</w:t>
            </w:r>
          </w:p>
        </w:tc>
        <w:tc>
          <w:tcPr>
            <w:tcW w:type="dxa" w:w="35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Highest (30-year relationship starts here)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PART 2 | THE FIX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YONO Pathfinder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Current vs Pathfinder: Flow Diagram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3429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Fig 2. Current dead-end flow (left) vs YONO Pathfinder discovery layer (right)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Pathfinder activates when the pre-approval flag is absent. Instead of silence, the user gets a signal. </w:t>
      </w: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The product does not change underwriting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 — it only surfaces users who already pass internal risk thresholds but lack a pre-approval flag due to batch timing.</w:t>
      </w:r>
    </w:p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System Architecture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3133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Fig 3. Proposed Pathfinder architecture — new middleware layer sits above existing Finacle batch system (unchanged)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E8449"/>
                <w:sz w:val="22"/>
                <w:szCs w:val="22"/>
              </w:rPr>
              <w:t xml:space="preserve">Finacle and the core banking system are completely unchanged. Pathfinder is a read-only middleware layer over existing salary credit and tenure data.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Three Screens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Fig 4. Screen wireframes: current dead-end (left), Screen A eligibility signal v1 (middle), Screen B loan offer v2 (right)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Screen-by-Screen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/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A — v1 MVP (2–3 weeks)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Screen B — v2 Offer (4–6 weeks)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What user sees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Account health: tenure, avg monthly credit, products. Gamified progress bar to target loan amount.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₹25K loan at 14.5%. Interest savings vs KreditBee shown inline. Top-up bridge for ₹70K gap.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CTA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"See My Path" (no CIBIL pull). No loan offer yet in v1.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"Disburse to Account" — single-tap, same session.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No-offer path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Credit Builder FD path. "6 months from first payment — we’ll remind you monthly."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NBFC partner at 22–24% (still cheaper than KreditBee’s 24–36%).</w:t>
            </w:r>
          </w:p>
        </w:tc>
      </w:tr>
    </w:tbl>
    <w:p>
      <w:pPr>
        <w:spacing w:after="0" w:before="120"/>
      </w:pPr>
    </w:p>
    <w:p>
      <w:pPr>
        <w:spacing w:after="60" w:before="120"/>
        <w:jc w:val="center"/>
      </w:pPr>
      <w:r>
        <w:drawing>
          <wp:inline distT="0" distB="0" distL="0" distR="0">
            <wp:extent cx="54864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Fig 5. Interest rate comparison: SBI Pathfinder vs alternatives. ₹8,500–16,000 savings on a ₹25K loan.</w:t>
      </w:r>
    </w:p>
    <w:p>
      <w:pPr>
        <w:spacing w:after="0" w:before="200"/>
      </w:pPr>
    </w:p>
    <w:p>
      <w:r>
        <w:br w:type="pag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Scoping: What Ships When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700"/>
        <w:gridCol w:w="2500"/>
        <w:gridCol w:w="2600"/>
      </w:tblGrid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ships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Engineering effort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you learn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v1 (MVP)
2–3 weeks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Screen A: account health + gamified progress bar + ‘See My Path’ + link to existing Credit Builder FD. No loan offer yet.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 backend check + 1 screen. No credit policy sign-off needed.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 thin-file users engage? Does banner or dead-end screen drive more traffic?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v2
4–6 weeks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Screen B: loan offer ₹10K–50K + FOIR check via SMS scraping (consent). Ring-fenced pilot: 50K users, 22–26 y/o, Tier 1 cities.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Credit policy sign-off. Offer engine wired to batch output.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Acceptance rate. 90-day NPA. If NPA delta &lt;1%, expand nationally.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v3
3–4 months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Real-time ‘Refresh My Eligibility’ button. NBFC top-up bridge. ‘Path to Home Ownership’ feature. Graduation notifications.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NBFC partnership + legal review. Home loan copy.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Does top-up bridge close the ₹70K gap? Home loan inquiry rate at 24 months.</w:t>
            </w:r>
          </w:p>
        </w:tc>
      </w:tr>
    </w:tbl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E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E67E22"/>
                <w:sz w:val="22"/>
                <w:szCs w:val="22"/>
              </w:rPr>
              <w:t xml:space="preserve">If forced to ship in 48 hours: replace the dead-end screen with an eligibility explanation + ‘Open Credit Builder FD’. Near-zero engineering. That’s real PM thinking.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PART 2 | METRICS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to Know If It Worked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3019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Fig 6. Pathfinder success metrics vs estimated baseline (~2%). Targets set at 3× baseline after 2-week A/B test.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560"/>
        <w:gridCol w:w="22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measures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Pathfinder entry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Thin-file users who engage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Clicks ‘See My Path’ on Screen 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≥3× baseline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Offer acceptance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% who disburse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Disbursed within 7 days of offer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3× baseline (post A/B)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FD Build Path uptake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No-offer users who open FD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FD opened within 30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≥22%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6-month graduation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% who get pre-approval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Pre-approval flag within 6 months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≥35%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90-day NPA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Default rate on Pathfinder loans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Must stay &lt;1.5× control cohort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&lt;1.5× control NPA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Drop-off to competitor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Exit to loan app within 24h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App-switch tracking / survey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Reduce by ≥40%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Spite churn reduction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 closures post-rejection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Account closed within 30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Reduce by ≥30%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PART 3 | THE HONEST PART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Three Honest Answers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Q1: The Single Weakest Part of My 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C0392B"/>
                <w:sz w:val="22"/>
                <w:szCs w:val="22"/>
              </w:rPr>
              <w:t xml:space="preserve">My weakest assumption: SBI’s credit policy team will allow a digital-only, unsecured loan of ₹10K–50K to thin-file borrowers with no branch verification. Without that approval, v2 never happens. v1 (just a path) doesn’t solve Priya’s immediate need for money.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The partial-loan retention risk is also real. What I’d do: prototype test with 50 thin-file users before building. If &gt;40% say ‘I’d still go to KreditBee’ for ₹25K, redesign Screen B to lead with the top-up bridge (₹30K now + ₹40K in 90 days) before building the offer engine.</w:t>
      </w:r>
    </w:p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Q2: One More Week — What Would I Learn First?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3 days interviewing 5 SBI branch managers: ‘What is the smallest loan you’ve approved digitally for a first-time borrower? What would make you trust a digital-only decision?’ Then 4 days interviewing 8 rejected applicants. Branch manager interviews would tell me whether the dead-end screen or upstream discovery is the bigger failure — which changes what I build first.</w:t>
      </w:r>
    </w:p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Q3: AI Tools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Prompt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 took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 changed / rejected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RBI regulations for PSB thin-file borrowers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Pointer to RBI Master Direction Jan 2025 + capital provisioning framework.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Added specific dates and parliamentary source from direct reading.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Current YONO loan flow for no pre-approval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General PAPL banner model, branch-visit CTA.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Verified copy from SBI’s official PAPL page. AI gave shape only.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PM alternatives for this fix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AA scoring, BNPL, NBFC referral as stress-test checklist.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Rejected NBFC framing as ‘brand awareness’. The four-forces + incentive misalignment framing is entirely mine.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PART 4 | BONUS — REVENUE SIZING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Is the Opportunity Worth?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3295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Fig 7. Pathfinder user funnel — base case. 60M YONO users → 288K loans disbursed in Year 1.</w:t>
      </w:r>
    </w:p>
    <w:p>
      <w:pPr>
        <w:spacing w:after="0" w:before="8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Math (Base Case, After Cost of Funds + Ops Costs)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8M thin-file YONO users × 50% entry × 40% pass × 18% accept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288,000 loans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Net interest margin (14.5% lending − 6% CoF − 2% ops costs)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7% p.a.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Net interest income per loan (₹28K × 7% × 1.5 yrs)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₹2,940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× 288,000 loans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₹84.7 Cr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 Processing fees (1% × ₹28K × 288K)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₹8 Cr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Year 1 Net Income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₹93 Cr (conservative)</w:t>
            </w:r>
          </w:p>
        </w:tc>
      </w:tr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+ CAC advantage (KreditBee spends ₹500–1,000/user; SBI: near zero)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₹14–28 Cr strategic benefit</w:t>
            </w:r>
          </w:p>
        </w:tc>
      </w:tr>
    </w:tbl>
    <w:p>
      <w:pPr>
        <w:spacing w:after="0" w:before="120"/>
      </w:pPr>
    </w:p>
    <w:p>
      <w:pPr>
        <w:spacing w:after="60" w:before="120"/>
        <w:jc w:val="center"/>
      </w:pPr>
      <w:r>
        <w:drawing>
          <wp:inline distT="0" distB="0" distL="0" distR="0">
            <wp:extent cx="54864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Fig 8. Revenue sensitivity across thin-file % scenarios. Base case: ₹93 Cr net income Year 1.</w:t>
      </w:r>
    </w:p>
    <w:p>
      <w:pPr>
        <w:spacing w:after="0" w:before="120"/>
      </w:pPr>
    </w:p>
    <w:p>
      <w:pPr>
        <w:spacing w:after="60" w:before="120"/>
        <w:jc w:val="center"/>
      </w:pPr>
      <w:r>
        <w:drawing>
          <wp:inline distT="0" distB="0" distL="0" distR="0">
            <wp:extent cx="5486400" cy="2438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Fig 9. NPA risk profile. Pathfinder target: &lt;1.5× pre-approved cohort. Pause if &gt;2.5%.</w:t>
      </w:r>
    </w:p>
    <w:p>
      <w:pPr>
        <w:spacing w:after="0" w:before="120"/>
      </w:pPr>
    </w:p>
    <w:p>
      <w:pPr>
        <w:spacing w:after="60" w:before="16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The Real Prize: Customer Lifetime Value</w:t>
      </w:r>
    </w:p>
    <w:p>
      <w:pPr>
        <w:spacing w:after="60" w:before="120"/>
        <w:jc w:val="center"/>
      </w:pPr>
      <w:r>
        <w:drawing>
          <wp:inline distT="0" distB="0" distL="0" distR="0">
            <wp:extent cx="5486400" cy="27432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Fig 10. LTV journey from ₹28K Pathfinder loan (age 24) to home loan (age 30) to retirement products. 10% cross-sell assumed.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F8F5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E8449"/>
                <w:sz w:val="22"/>
                <w:szCs w:val="22"/>
              </w:rPr>
              <w:t xml:space="preserve">The ₹93 Cr is not the home run. It is the proof of concept. A customer acquired at age 24 with a ₹28K Pathfinder loan — assuming 10% cross-sell — generates ₹5,000 incremental LTV from home loan + car loan alone. Pathfinder’s cost to acquire her: near zero. That is why this matters to Ambak.</w:t>
            </w:r>
          </w:p>
        </w:tc>
      </w:tr>
    </w:tbl>
    <w:p>
      <w:pPr>
        <w:spacing w:after="0" w:before="200"/>
      </w:pP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F8A"/>
          <w:sz w:val="36"/>
          <w:szCs w:val="36"/>
        </w:rPr>
        <w:t xml:space="preserve">SUMMARY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YONO SBI’s loan section has a hard wall for first-time borrowers: no pre-approval flag, no digital path, no explanation. Root cause: RBI capital provisioning (can’t fix), Finacle batch architecture (expensive to fix), product scope decision (fixable in a sprint), and incentive misalignment (SBI doesn’t feel the pain when Priya leaves). The fix is YONO Pathfinder: an MVP screen shippable in 2–3 weeks that replaces silence with a signal. Net income Year 1: ~₹93 Crore. The real prize: those 288,000 users are Ambak’s home loan customers in 2030.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 did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Found the wall. Traced root cause to 4 forces including incentive misalignment. Competitive teardown vs KreditBee and Navi.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Proposed Pathfinder v1/v2/v3 with FOIR SMS check, gamified progress bar, real-time refresh, Path to Home Ownership. NBFC rate corrected to 22–24%. CIBIL timeline fixed.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Reframed weakest assumption as credit policy approval risk. Added branch manager interview questions.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0"/>
                <w:szCs w:val="20"/>
              </w:rPr>
              <w:t xml:space="preserve">Added operational costs (~2%). CAC in strategic section. LTV with 10% cross-sell rate.</w:t>
            </w:r>
          </w:p>
        </w:tc>
      </w:tr>
    </w:tbl>
    <w:p>
      <w:pPr>
        <w:spacing w:after="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1B4F8A"/>
                <w:sz w:val="22"/>
                <w:szCs w:val="22"/>
              </w:rPr>
              <w:t xml:space="preserve">Priya is not a risky borrower. She is just an unseen one. Today, SBI doesn’t reject her. It ignores her. Pathfinder doesn’t change who SBI lends to. It changes who SBI sees.</w:t>
            </w:r>
          </w:p>
        </w:tc>
      </w:tr>
    </w:tbl>
    <w:p>
      <w:pPr>
        <w:spacing w:after="0" w:before="12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Yash Chaudhary  ·  22UEC147  ·  B.Tech ECE, LNMIIT Jaipur  ·  April 2026</w:t>
      </w:r>
    </w:p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spacing w:after="80"/>
    </w:pPr>
    <w:r>
      <w:rPr>
        <w:rFonts w:ascii="Arial" w:cs="Arial" w:eastAsia="Arial" w:hAnsi="Arial"/>
        <w:color w:val="666666"/>
        <w:sz w:val="18"/>
        <w:szCs w:val="18"/>
      </w:rPr>
      <w:t xml:space="preserve">YONO Pathfinder  |  Yash Chaudhary  |  Ambak PM Screening  |  April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image" Target="media/619651efaa66bf1524a0bc5326bfb3f942eca4aa.png"/><Relationship Id="rId9" Type="http://schemas.openxmlformats.org/officeDocument/2006/relationships/image" Target="media/03a4e6ec477d189b94bb8b4b0b9cfe36a6e2799a.png"/><Relationship Id="rId10" Type="http://schemas.openxmlformats.org/officeDocument/2006/relationships/image" Target="media/757e05fa9c1b9f7f21c71b270f73a589e559b30f.png"/><Relationship Id="rId11" Type="http://schemas.openxmlformats.org/officeDocument/2006/relationships/image" Target="media/4b6306e6bda981316cfba88f88667ca589da3713.png"/><Relationship Id="rId12" Type="http://schemas.openxmlformats.org/officeDocument/2006/relationships/image" Target="media/b853ddd208e0e8a4591f80f7221f87e40526058a.png"/><Relationship Id="rId13" Type="http://schemas.openxmlformats.org/officeDocument/2006/relationships/image" Target="media/c373c574c4eca825b02ce2f0421921cd88d142c0.png"/><Relationship Id="rId14" Type="http://schemas.openxmlformats.org/officeDocument/2006/relationships/image" Target="media/218fc5981e3b66844c73aaebbc11a20727e69a5d.png"/><Relationship Id="rId15" Type="http://schemas.openxmlformats.org/officeDocument/2006/relationships/image" Target="media/7bda8826379b618ce6603d3076a779489f554657.png"/><Relationship Id="rId16" Type="http://schemas.openxmlformats.org/officeDocument/2006/relationships/image" Target="media/d67854d488a6703d12362c836a8080e3348e81da.png"/><Relationship Id="rId17" Type="http://schemas.openxmlformats.org/officeDocument/2006/relationships/image" Target="media/7bb4579dd7333f0dd68cb33f3b55b1aa97ba60f6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2026-04-19T11:19:03.366Z</dcterms:created>
  <dcterms:modified xsi:type="dcterms:W3CDTF">2026-04-19T11:19:03.367Z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