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WEEK 5 / FRONTEND WEB DEVELOPMENT</w:t>
      </w:r>
    </w:p>
    <w:p>
      <w:pPr>
        <w:pStyle w:val="Title"/>
      </w:pPr>
      <w:r>
        <w:t>One page,</w:t>
        <w:br/>
        <w:t>four routed views</w:t>
      </w:r>
    </w:p>
    <w:p>
      <w:r>
        <w:t>Launchpad Journal | YuvaIntern Frontend Web Developer Intern</w:t>
      </w:r>
    </w:p>
    <w:p>
      <w:r>
        <w:t>Prepared by: Yash Vinod Sawant</w:t>
        <w:br/>
        <w:t>Date: 28 October 2026</w:t>
      </w:r>
    </w:p>
    <w:p>
      <w:pPr>
        <w:pStyle w:val="Heading1"/>
      </w:pPr>
      <w:r>
        <w:t>Project outcome</w:t>
      </w:r>
    </w:p>
    <w:p>
      <w:r>
        <w:t>This project restructures the existing Launchpad Journal into a small single-page application. Instead of one long document with anchor scrolling, the journal now has four routed views - home, learning notes, field guide and learning plan - driven by a hash-based client-side router. Navigation changes the address bar, creates real browser history entries, animates the 240-millisecond view transition, and renders the next view into one persistent shell without a full page reload. View content loads on demand from separate data files, and load failures are explained with a working retry path.</w:t>
      </w:r>
    </w:p>
    <w:p>
      <w:r>
        <w:t>The continuation is deliberate. Week 3 built the responsive page, Week 4 improved its performance and accessibility; Week 5 keeps every earlier behaviour - note search, topic filters, the reading list (same storage key), field guide, learning plan, skip link, mobile menu, reduced-motion and forced-colors support - while adding the routing layer. The SPA is 11,399 bytes heavier than the Week 4 page because the route parser, URL-state serialization, per-view modules, scroll bookkeeping and on-demand loading with retry are application code that did not exist before.</w:t>
      </w:r>
    </w:p>
    <w:tbl>
      <w:tblPr>
        <w:tblW w:type="auto" w:w="0"/>
        <w:tblLook w:firstColumn="1" w:firstRow="1" w:lastColumn="0" w:lastRow="0" w:noHBand="0" w:noVBand="1" w:val="04A0"/>
      </w:tblPr>
      <w:tblGrid>
        <w:gridCol w:w="3250"/>
        <w:gridCol w:w="3250"/>
        <w:gridCol w:w="3250"/>
      </w:tblGrid>
    </w:tbl>
    <w:tbl>
      <w:tblPr>
        <w:tblStyle w:val="LightShading-Accent1"/>
        <w:tblW w:type="auto" w:w="0"/>
        <w:tblLook w:firstColumn="1" w:firstRow="1" w:lastColumn="0" w:lastRow="0" w:noHBand="0" w:noVBand="1" w:val="04A0"/>
      </w:tblPr>
      <w:tblGrid>
        <w:gridCol w:w="3250"/>
        <w:gridCol w:w="3250"/>
        <w:gridCol w:w="3250"/>
      </w:tblGrid>
      <w:tr>
        <w:trPr>
          <w:tblHeader/>
          <w:cantSplit/>
        </w:trPr>
        <w:tc>
          <w:tcPr>
            <w:tcW w:type="dxa" w:w="3250"/>
          </w:tcPr>
          <w:p>
            <w:pPr>
              <w:spacing w:after="100" w:before="100"/>
            </w:pPr>
            <w:r>
              <w:rPr>
                <w:b/>
                <w:sz w:val="18"/>
              </w:rPr>
              <w:t>Measure</w:t>
            </w:r>
          </w:p>
        </w:tc>
        <w:tc>
          <w:tcPr>
            <w:tcW w:type="dxa" w:w="3250"/>
          </w:tcPr>
          <w:p>
            <w:pPr>
              <w:spacing w:after="100" w:before="100"/>
            </w:pPr>
            <w:r>
              <w:rPr>
                <w:b/>
                <w:sz w:val="18"/>
              </w:rPr>
              <w:t>Week 4 page</w:t>
            </w:r>
          </w:p>
        </w:tc>
        <w:tc>
          <w:tcPr>
            <w:tcW w:type="dxa" w:w="3250"/>
          </w:tcPr>
          <w:p>
            <w:pPr>
              <w:spacing w:after="100" w:before="100"/>
            </w:pPr>
            <w:r>
              <w:rPr>
                <w:b/>
                <w:sz w:val="18"/>
              </w:rPr>
              <w:t>Week 5 SPA</w:t>
            </w:r>
          </w:p>
        </w:tc>
      </w:tr>
      <w:tr>
        <w:trPr>
          <w:cantSplit/>
        </w:trPr>
        <w:tc>
          <w:tcPr>
            <w:tcW w:type="dxa" w:w="3250"/>
          </w:tcPr>
          <w:p>
            <w:pPr>
              <w:spacing w:after="100" w:before="100"/>
            </w:pPr>
            <w:r>
              <w:rPr>
                <w:sz w:val="18"/>
              </w:rPr>
              <w:t>Lighthouse performance</w:t>
            </w:r>
          </w:p>
        </w:tc>
        <w:tc>
          <w:tcPr>
            <w:tcW w:type="dxa" w:w="3250"/>
          </w:tcPr>
          <w:p>
            <w:pPr>
              <w:spacing w:after="100" w:before="100"/>
            </w:pPr>
            <w:r>
              <w:rPr>
                <w:sz w:val="18"/>
              </w:rPr>
              <w:t>100 / 100</w:t>
            </w:r>
          </w:p>
        </w:tc>
        <w:tc>
          <w:tcPr>
            <w:tcW w:type="dxa" w:w="3250"/>
          </w:tcPr>
          <w:p>
            <w:pPr>
              <w:spacing w:after="100" w:before="100"/>
            </w:pPr>
            <w:r>
              <w:rPr>
                <w:sz w:val="18"/>
              </w:rPr>
              <w:t>95-100 / 100</w:t>
            </w:r>
          </w:p>
        </w:tc>
      </w:tr>
      <w:tr>
        <w:trPr>
          <w:cantSplit/>
        </w:trPr>
        <w:tc>
          <w:tcPr>
            <w:tcW w:type="dxa" w:w="3250"/>
          </w:tcPr>
          <w:p>
            <w:pPr>
              <w:spacing w:after="100" w:before="100"/>
            </w:pPr>
            <w:r>
              <w:rPr>
                <w:sz w:val="18"/>
              </w:rPr>
              <w:t>Lighthouse accessibility</w:t>
            </w:r>
          </w:p>
        </w:tc>
        <w:tc>
          <w:tcPr>
            <w:tcW w:type="dxa" w:w="3250"/>
          </w:tcPr>
          <w:p>
            <w:pPr>
              <w:spacing w:after="100" w:before="100"/>
            </w:pPr>
            <w:r>
              <w:rPr>
                <w:sz w:val="18"/>
              </w:rPr>
              <w:t>100 / 100</w:t>
            </w:r>
          </w:p>
        </w:tc>
        <w:tc>
          <w:tcPr>
            <w:tcW w:type="dxa" w:w="3250"/>
          </w:tcPr>
          <w:p>
            <w:pPr>
              <w:spacing w:after="100" w:before="100"/>
            </w:pPr>
            <w:r>
              <w:rPr>
                <w:sz w:val="18"/>
              </w:rPr>
              <w:t>100 / 100</w:t>
            </w:r>
          </w:p>
        </w:tc>
      </w:tr>
      <w:tr>
        <w:trPr>
          <w:cantSplit/>
        </w:trPr>
        <w:tc>
          <w:tcPr>
            <w:tcW w:type="dxa" w:w="3250"/>
          </w:tcPr>
          <w:p>
            <w:pPr>
              <w:spacing w:after="100" w:before="100"/>
            </w:pPr>
            <w:r>
              <w:rPr>
                <w:sz w:val="18"/>
              </w:rPr>
              <w:t>Best practices / SEO</w:t>
            </w:r>
          </w:p>
        </w:tc>
        <w:tc>
          <w:tcPr>
            <w:tcW w:type="dxa" w:w="3250"/>
          </w:tcPr>
          <w:p>
            <w:pPr>
              <w:spacing w:after="100" w:before="100"/>
            </w:pPr>
            <w:r>
              <w:rPr>
                <w:sz w:val="18"/>
              </w:rPr>
              <w:t>100 / 100</w:t>
            </w:r>
          </w:p>
        </w:tc>
        <w:tc>
          <w:tcPr>
            <w:tcW w:type="dxa" w:w="3250"/>
          </w:tcPr>
          <w:p>
            <w:pPr>
              <w:spacing w:after="100" w:before="100"/>
            </w:pPr>
            <w:r>
              <w:rPr>
                <w:sz w:val="18"/>
              </w:rPr>
              <w:t>100 / 100</w:t>
            </w:r>
          </w:p>
        </w:tc>
      </w:tr>
      <w:tr>
        <w:trPr>
          <w:cantSplit/>
        </w:trPr>
        <w:tc>
          <w:tcPr>
            <w:tcW w:type="dxa" w:w="3250"/>
          </w:tcPr>
          <w:p>
            <w:pPr>
              <w:spacing w:after="100" w:before="100"/>
            </w:pPr>
            <w:r>
              <w:rPr>
                <w:sz w:val="18"/>
              </w:rPr>
              <w:t>First Contentful Paint</w:t>
            </w:r>
          </w:p>
        </w:tc>
        <w:tc>
          <w:tcPr>
            <w:tcW w:type="dxa" w:w="3250"/>
          </w:tcPr>
          <w:p>
            <w:pPr>
              <w:spacing w:after="100" w:before="100"/>
            </w:pPr>
            <w:r>
              <w:rPr>
                <w:sz w:val="18"/>
              </w:rPr>
              <w:t>0.952 s</w:t>
            </w:r>
          </w:p>
        </w:tc>
        <w:tc>
          <w:tcPr>
            <w:tcW w:type="dxa" w:w="3250"/>
          </w:tcPr>
          <w:p>
            <w:pPr>
              <w:spacing w:after="100" w:before="100"/>
            </w:pPr>
            <w:r>
              <w:rPr>
                <w:sz w:val="18"/>
              </w:rPr>
              <w:t>0.751 s</w:t>
            </w:r>
          </w:p>
        </w:tc>
      </w:tr>
      <w:tr>
        <w:trPr>
          <w:cantSplit/>
        </w:trPr>
        <w:tc>
          <w:tcPr>
            <w:tcW w:type="dxa" w:w="3250"/>
          </w:tcPr>
          <w:p>
            <w:pPr>
              <w:spacing w:after="100" w:before="100"/>
            </w:pPr>
            <w:r>
              <w:rPr>
                <w:sz w:val="18"/>
              </w:rPr>
              <w:t>Largest Contentful Paint</w:t>
            </w:r>
          </w:p>
        </w:tc>
        <w:tc>
          <w:tcPr>
            <w:tcW w:type="dxa" w:w="3250"/>
          </w:tcPr>
          <w:p>
            <w:pPr>
              <w:spacing w:after="100" w:before="100"/>
            </w:pPr>
            <w:r>
              <w:rPr>
                <w:sz w:val="18"/>
              </w:rPr>
              <w:t>0.977 s</w:t>
            </w:r>
          </w:p>
        </w:tc>
        <w:tc>
          <w:tcPr>
            <w:tcW w:type="dxa" w:w="3250"/>
          </w:tcPr>
          <w:p>
            <w:pPr>
              <w:spacing w:after="100" w:before="100"/>
            </w:pPr>
            <w:r>
              <w:rPr>
                <w:sz w:val="18"/>
              </w:rPr>
              <w:t>1.351 s</w:t>
            </w:r>
          </w:p>
        </w:tc>
      </w:tr>
      <w:tr>
        <w:trPr>
          <w:cantSplit/>
        </w:trPr>
        <w:tc>
          <w:tcPr>
            <w:tcW w:type="dxa" w:w="3250"/>
          </w:tcPr>
          <w:p>
            <w:pPr>
              <w:spacing w:after="100" w:before="100"/>
            </w:pPr>
            <w:r>
              <w:rPr>
                <w:sz w:val="18"/>
              </w:rPr>
              <w:t>Total Blocking Time</w:t>
            </w:r>
          </w:p>
        </w:tc>
        <w:tc>
          <w:tcPr>
            <w:tcW w:type="dxa" w:w="3250"/>
          </w:tcPr>
          <w:p>
            <w:pPr>
              <w:spacing w:after="100" w:before="100"/>
            </w:pPr>
            <w:r>
              <w:rPr>
                <w:sz w:val="18"/>
              </w:rPr>
              <w:t>0 ms</w:t>
            </w:r>
          </w:p>
        </w:tc>
        <w:tc>
          <w:tcPr>
            <w:tcW w:type="dxa" w:w="3250"/>
          </w:tcPr>
          <w:p>
            <w:pPr>
              <w:spacing w:after="100" w:before="100"/>
            </w:pPr>
            <w:r>
              <w:rPr>
                <w:sz w:val="18"/>
              </w:rPr>
              <w:t>0 ms</w:t>
            </w:r>
          </w:p>
        </w:tc>
      </w:tr>
      <w:tr>
        <w:trPr>
          <w:cantSplit/>
        </w:trPr>
        <w:tc>
          <w:tcPr>
            <w:tcW w:type="dxa" w:w="3250"/>
          </w:tcPr>
          <w:p>
            <w:pPr>
              <w:spacing w:after="100" w:before="100"/>
            </w:pPr>
            <w:r>
              <w:rPr>
                <w:sz w:val="18"/>
              </w:rPr>
              <w:t>Page payload, uncompressed</w:t>
            </w:r>
          </w:p>
        </w:tc>
        <w:tc>
          <w:tcPr>
            <w:tcW w:type="dxa" w:w="3250"/>
          </w:tcPr>
          <w:p>
            <w:pPr>
              <w:spacing w:after="100" w:before="100"/>
            </w:pPr>
            <w:r>
              <w:rPr>
                <w:sz w:val="18"/>
              </w:rPr>
              <w:t>39,323 bytes</w:t>
            </w:r>
          </w:p>
        </w:tc>
        <w:tc>
          <w:tcPr>
            <w:tcW w:type="dxa" w:w="3250"/>
          </w:tcPr>
          <w:p>
            <w:pPr>
              <w:spacing w:after="100" w:before="100"/>
            </w:pPr>
            <w:r>
              <w:rPr>
                <w:sz w:val="18"/>
              </w:rPr>
              <w:t>50,722 bytes</w:t>
            </w:r>
          </w:p>
        </w:tc>
      </w:tr>
    </w:tbl>
    <w:p>
      <w:pPr>
        <w:spacing w:before="160"/>
      </w:pPr>
      <w:r>
        <w:t>The performance range is honest: two of three Lighthouse runs recorded 95 because the client-rendered hero illustration can enter the page after first paint (layout shift up to 0.138); the third run recorded 100 with zero shift. First paint is unchanged. Accessibility, best-practices and SEO scores stayed at 100, and the distributed page has zero axe violations.</w:t>
      </w:r>
    </w:p>
    <w:p>
      <w:pPr>
        <w:pStyle w:val="Heading2"/>
      </w:pPr>
      <w:r>
        <w:t>Measurement method</w:t>
      </w:r>
    </w:p>
    <w:p>
      <w:r>
        <w:t>Each version was tested three times with Lighthouse 13.5.0 in fresh Helium Chromium profiles using the default mobile preset and simulated throttling, served by the same local Python HTTP server without compression. Values above are medians; raw JSON evidence keeps the exact browser, viewport, throttling and per-run numbers. Lab timings vary and are not production field measurements.</w:t>
      </w:r>
    </w:p>
    <w:p>
      <w:r>
        <w:br w:type="page"/>
      </w:r>
    </w:p>
    <w:p>
      <w:pPr>
        <w:pStyle w:val="Heading1"/>
      </w:pPr>
      <w:r>
        <w:t>Routing design and browser history</w:t>
      </w:r>
    </w:p>
    <w:p>
      <w:pPr>
        <w:pStyle w:val="Heading2"/>
      </w:pPr>
      <w:r>
        <w:t>Hash routing instead of pushState</w:t>
      </w:r>
    </w:p>
    <w:p>
      <w:r>
        <w:t>The router uses "#/..." hash routes on top of the History API. pushState routing was considered and rejected for two concrete reasons: this portfolio is reviewed from both file:// and GitHub Pages, and pushState routing breaks on both without a server rewrite rule a static reviewer cannot configure. Hash routing gives the same real-history behaviour - every in-app navigation is a genuine history entry the back and forward buttons traverse - while staying fully portable.</w:t>
      </w:r>
    </w:p>
    <w:p>
      <w:pPr>
        <w:pStyle w:val="Heading2"/>
      </w:pPr>
      <w:r>
        <w:t>One shell, four views</w:t>
      </w:r>
    </w:p>
    <w:p>
      <w:r>
        <w:t>index.html is a permanent shell: header, navigation, an empty main container, footer. The router resolves the current address to a view module, replaces the container content, updates the document title and meta description per route, and moves aria-current in the menu to the active link. The view container animates in over 240 milliseconds; prefers-reduced-motion disables it. Search and filtering rewrite the current history entry with a 250-millisecond debounced URL update instead of pushing new entries, so one typing session is one history record. Deep links restore the filtered state directly from the URL; unknown query values fall back to safe defaults and search input is capped at 100 characters.</w:t>
      </w:r>
    </w:p>
    <w:p>
      <w:pPr>
        <w:pStyle w:val="Heading2"/>
      </w:pPr>
      <w:r>
        <w:t>Scroll and focus belong to the right entry</w:t>
      </w:r>
    </w:p>
    <w:p>
      <w:r>
        <w:t>Outgoing views save their scroll position into their own history entry before the next route opens. A restored scroll waits until the target is actually reachable, because the notes and guide views build their lists after an asynchronous data load; a synchronous scroll would clamp to zero. Real user scrolling cancels a pending restore. Every route change moves keyboard focus to the view heading, or into the deep-linked guide note, so keyboard and screen-reader users land inside the new view knowing where they are.</w:t>
      </w:r>
    </w:p>
    <w:p>
      <w:pPr>
        <w:pStyle w:val="Heading2"/>
      </w:pPr>
      <w:r>
        <w:t>Legacy addresses and missing pages</w:t>
      </w:r>
    </w:p>
    <w:p>
      <w:r>
        <w:t>Week 3 and Week 4 anchors such as #notes, #field-guide, #learning-plan and #guide-layout normalize to their new routes without adding a second history entry, so earlier bookmarks still work. Unrecognized addresses render a not-found view that keeps the typed URL in the page and explains the four routes this application has.</w:t>
      </w:r>
    </w:p>
    <w:p>
      <w:r>
        <w:br w:type="page"/>
      </w:r>
    </w:p>
    <w:p>
      <w:pPr>
        <w:pStyle w:val="Heading1"/>
      </w:pPr>
      <w:r>
        <w:t>Dynamic content loading</w:t>
      </w:r>
    </w:p>
    <w:p>
      <w:r>
        <w:t>The notes library and the field guide live in two separate data files. The first visit to the matching view injects a script tag, builds the view from the resolved data, and caches it for the rest of the visit. A visitor who only reads the home view never downloads the library data. Failure is a designed state: the view shows a role=alert error naming the missing file, and Try again clears the cache and re-runs the load. The browser suite forces this failure by blocking the request, then verifies the recovery.</w:t>
      </w:r>
    </w:p>
    <w:p>
      <w:pPr>
        <w:pStyle w:val="Heading2"/>
      </w:pPr>
      <w:r>
        <w:t>Accessibility in a stateful shell</w:t>
      </w:r>
    </w:p>
    <w:p>
      <w:r>
        <w:t>Routed apps change the meaning of accessibility guarantees: content appears, disappears, and moves focus programmatically. Each view keeps the earlier structure - one h1, ordered headings, landmarks, labelled controls, 44-pixel touch targets. A first-pass audit found the plan result reusing an h3 in place of an h2 and note-card titles jumping a level; both were fixed, and heading order is now verified inside every routed view.</w:t>
      </w:r>
    </w:p>
    <w:p>
      <w:r>
        <w:t>Axe reports zero violations across plan-result, plan-form, invalid-form, home and open-phone-menu states.</w:t>
      </w:r>
    </w:p>
    <w:tbl>
      <w:tblPr>
        <w:tblStyle w:val="LightShading-Accent1"/>
        <w:tblW w:type="auto" w:w="0"/>
        <w:tblLook w:firstColumn="1" w:firstRow="1" w:lastColumn="0" w:lastRow="0" w:noHBand="0" w:noVBand="1" w:val="04A0"/>
      </w:tblPr>
      <w:tblGrid>
        <w:gridCol w:w="3250"/>
        <w:gridCol w:w="3250"/>
        <w:gridCol w:w="3250"/>
      </w:tblGrid>
      <w:tr>
        <w:trPr>
          <w:tblHeader/>
          <w:cantSplit/>
        </w:trPr>
        <w:tc>
          <w:tcPr>
            <w:tcW w:type="dxa" w:w="3250"/>
          </w:tcPr>
          <w:p>
            <w:pPr>
              <w:spacing w:after="100" w:before="100"/>
            </w:pPr>
            <w:r>
              <w:rPr>
                <w:b/>
                <w:sz w:val="18"/>
              </w:rPr>
              <w:t>Color pair</w:t>
            </w:r>
          </w:p>
        </w:tc>
        <w:tc>
          <w:tcPr>
            <w:tcW w:type="dxa" w:w="3250"/>
          </w:tcPr>
          <w:p>
            <w:pPr>
              <w:spacing w:after="100" w:before="100"/>
            </w:pPr>
            <w:r>
              <w:rPr>
                <w:b/>
                <w:sz w:val="18"/>
              </w:rPr>
              <w:t>Measured ratio</w:t>
            </w:r>
          </w:p>
        </w:tc>
        <w:tc>
          <w:tcPr>
            <w:tcW w:type="dxa" w:w="3250"/>
          </w:tcPr>
          <w:p>
            <w:pPr>
              <w:spacing w:after="100" w:before="100"/>
            </w:pPr>
            <w:r>
              <w:rPr>
                <w:b/>
                <w:sz w:val="18"/>
              </w:rPr>
              <w:t>Threshold</w:t>
            </w:r>
          </w:p>
        </w:tc>
      </w:tr>
      <w:tr>
        <w:trPr>
          <w:cantSplit/>
        </w:trPr>
        <w:tc>
          <w:tcPr>
            <w:tcW w:type="dxa" w:w="3250"/>
          </w:tcPr>
          <w:p>
            <w:pPr>
              <w:spacing w:after="100" w:before="100"/>
            </w:pPr>
            <w:r>
              <w:rPr>
                <w:sz w:val="18"/>
              </w:rPr>
              <w:t>Body ink on paper</w:t>
            </w:r>
          </w:p>
        </w:tc>
        <w:tc>
          <w:tcPr>
            <w:tcW w:type="dxa" w:w="3250"/>
          </w:tcPr>
          <w:p>
            <w:pPr>
              <w:spacing w:after="100" w:before="100"/>
            </w:pPr>
            <w:r>
              <w:rPr>
                <w:sz w:val="18"/>
              </w:rPr>
              <w:t>14.19:1</w:t>
            </w:r>
          </w:p>
        </w:tc>
        <w:tc>
          <w:tcPr>
            <w:tcW w:type="dxa" w:w="3250"/>
          </w:tcPr>
          <w:p>
            <w:pPr>
              <w:spacing w:after="100" w:before="100"/>
            </w:pPr>
            <w:r>
              <w:rPr>
                <w:sz w:val="18"/>
              </w:rPr>
              <w:t>4.5:1</w:t>
            </w:r>
          </w:p>
        </w:tc>
      </w:tr>
      <w:tr>
        <w:trPr>
          <w:cantSplit/>
        </w:trPr>
        <w:tc>
          <w:tcPr>
            <w:tcW w:type="dxa" w:w="3250"/>
          </w:tcPr>
          <w:p>
            <w:pPr>
              <w:spacing w:after="100" w:before="100"/>
            </w:pPr>
            <w:r>
              <w:rPr>
                <w:sz w:val="18"/>
              </w:rPr>
              <w:t>Muted text on paper</w:t>
            </w:r>
          </w:p>
        </w:tc>
        <w:tc>
          <w:tcPr>
            <w:tcW w:type="dxa" w:w="3250"/>
          </w:tcPr>
          <w:p>
            <w:pPr>
              <w:spacing w:after="100" w:before="100"/>
            </w:pPr>
            <w:r>
              <w:rPr>
                <w:sz w:val="18"/>
              </w:rPr>
              <w:t>5.69:1</w:t>
            </w:r>
          </w:p>
        </w:tc>
        <w:tc>
          <w:tcPr>
            <w:tcW w:type="dxa" w:w="3250"/>
          </w:tcPr>
          <w:p>
            <w:pPr>
              <w:spacing w:after="100" w:before="100"/>
            </w:pPr>
            <w:r>
              <w:rPr>
                <w:sz w:val="18"/>
              </w:rPr>
              <w:t>4.5:1</w:t>
            </w:r>
          </w:p>
        </w:tc>
      </w:tr>
      <w:tr>
        <w:trPr>
          <w:cantSplit/>
        </w:trPr>
        <w:tc>
          <w:tcPr>
            <w:tcW w:type="dxa" w:w="3250"/>
          </w:tcPr>
          <w:p>
            <w:pPr>
              <w:spacing w:after="100" w:before="100"/>
            </w:pPr>
            <w:r>
              <w:rPr>
                <w:sz w:val="18"/>
              </w:rPr>
              <w:t>Button white on purple</w:t>
            </w:r>
          </w:p>
        </w:tc>
        <w:tc>
          <w:tcPr>
            <w:tcW w:type="dxa" w:w="3250"/>
          </w:tcPr>
          <w:p>
            <w:pPr>
              <w:spacing w:after="100" w:before="100"/>
            </w:pPr>
            <w:r>
              <w:rPr>
                <w:sz w:val="18"/>
              </w:rPr>
              <w:t>7.16:1</w:t>
            </w:r>
          </w:p>
        </w:tc>
        <w:tc>
          <w:tcPr>
            <w:tcW w:type="dxa" w:w="3250"/>
          </w:tcPr>
          <w:p>
            <w:pPr>
              <w:spacing w:after="100" w:before="100"/>
            </w:pPr>
            <w:r>
              <w:rPr>
                <w:sz w:val="18"/>
              </w:rPr>
              <w:t>4.5:1</w:t>
            </w:r>
          </w:p>
        </w:tc>
      </w:tr>
      <w:tr>
        <w:trPr>
          <w:cantSplit/>
        </w:trPr>
        <w:tc>
          <w:tcPr>
            <w:tcW w:type="dxa" w:w="3250"/>
          </w:tcPr>
          <w:p>
            <w:pPr>
              <w:spacing w:after="100" w:before="100"/>
            </w:pPr>
            <w:r>
              <w:rPr>
                <w:sz w:val="18"/>
              </w:rPr>
              <w:t>Input boundary on white</w:t>
            </w:r>
          </w:p>
        </w:tc>
        <w:tc>
          <w:tcPr>
            <w:tcW w:type="dxa" w:w="3250"/>
          </w:tcPr>
          <w:p>
            <w:pPr>
              <w:spacing w:after="100" w:before="100"/>
            </w:pPr>
            <w:r>
              <w:rPr>
                <w:sz w:val="18"/>
              </w:rPr>
              <w:t>3.72:1</w:t>
            </w:r>
          </w:p>
        </w:tc>
        <w:tc>
          <w:tcPr>
            <w:tcW w:type="dxa" w:w="3250"/>
          </w:tcPr>
          <w:p>
            <w:pPr>
              <w:spacing w:after="100" w:before="100"/>
            </w:pPr>
            <w:r>
              <w:rPr>
                <w:sz w:val="18"/>
              </w:rPr>
              <w:t>3:1</w:t>
            </w:r>
          </w:p>
        </w:tc>
      </w:tr>
      <w:tr>
        <w:trPr>
          <w:cantSplit/>
        </w:trPr>
        <w:tc>
          <w:tcPr>
            <w:tcW w:type="dxa" w:w="3250"/>
          </w:tcPr>
          <w:p>
            <w:pPr>
              <w:spacing w:after="100" w:before="100"/>
            </w:pPr>
            <w:r>
              <w:rPr>
                <w:sz w:val="18"/>
              </w:rPr>
              <w:t>Error text on white</w:t>
            </w:r>
          </w:p>
        </w:tc>
        <w:tc>
          <w:tcPr>
            <w:tcW w:type="dxa" w:w="3250"/>
          </w:tcPr>
          <w:p>
            <w:pPr>
              <w:spacing w:after="100" w:before="100"/>
            </w:pPr>
            <w:r>
              <w:rPr>
                <w:sz w:val="18"/>
              </w:rPr>
              <w:t>6.6:1</w:t>
            </w:r>
          </w:p>
        </w:tc>
        <w:tc>
          <w:tcPr>
            <w:tcW w:type="dxa" w:w="3250"/>
          </w:tcPr>
          <w:p>
            <w:pPr>
              <w:spacing w:after="100" w:before="100"/>
            </w:pPr>
            <w:r>
              <w:rPr>
                <w:sz w:val="18"/>
              </w:rPr>
              <w:t>4.5:1</w:t>
            </w:r>
          </w:p>
        </w:tc>
      </w:tr>
    </w:tbl>
    <w:p>
      <w:pPr>
        <w:spacing w:before="160"/>
      </w:pPr>
      <w:r>
        <w:t>Twelve additional checks cover the skip link, keyboard menu routing in the same document, focus recovery on breakpoint changes, guide details by keyboard, save-button DOM stability, reduced-motion and forced-colors preferences, 320-pixel width at 200% root text size, the JavaScript-disabled shell (which keeps its navigation and explains that views are JavaScript-built), and measured color contrast using the same palette tokens as earlier weeks.</w:t>
      </w:r>
    </w:p>
    <w:p>
      <w:pPr>
        <w:pStyle w:val="Heading2"/>
      </w:pPr>
      <w:r>
        <w:t>Verified behavior</w:t>
      </w:r>
    </w:p>
    <w:p>
      <w:r>
        <w:t>Fifteen logic tests, sixteen browser workflow groups, ten viewport widths and twelve additional accessibility checks passed, with zero browser page errors. Coverage includes single-document navigation verified with a page marker no reload survives, back/forward traversal, deep links with URL state, history non-flooding, reload persistence for the reading list, refused storage writes, blocked-dynamic-load recovery, the 404 view, legacy-anchor normalization, per-entry scroll restoration, the full plan flow with literal (XSS-safe) rendering of HTML-like input, and corrupted-saved-data recovery.</w:t>
      </w:r>
    </w:p>
    <w:p>
      <w:r>
        <w:br w:type="page"/>
      </w:r>
    </w:p>
    <w:p>
      <w:pPr>
        <w:pStyle w:val="Heading1"/>
      </w:pPr>
      <w:r>
        <w:t>Reproduction, evidence and learning</w:t>
      </w:r>
    </w:p>
    <w:p>
      <w:pPr>
        <w:pStyle w:val="Heading2"/>
      </w:pPr>
      <w:r>
        <w:t>Run and inspect</w:t>
      </w:r>
    </w:p>
    <w:p>
      <w:r>
        <w:t>Open index.html directly, keeping styles.css, app.js, notes-data.js, guide-data.js and assets/ beside it. For consistent browser-local storage, serve the week-5 folder with python3 -m http.server 8025 and open http://127.0.0.1:8025/. The page needs no account, installation or backend.</w:t>
      </w:r>
    </w:p>
    <w:p>
      <w:r>
        <w:t>For optional QA, use Node 22 and the dev-only tools in the QA folder: npm-run style commands in README.md build the minified root files from src/ and run the logic, browser and accessibility suites against a local Chromium executable (LAUNCHPAD_BROWSER). scripts/audit.mjs produces the before/after Lighthouse and axe evidence. TESTING.md lists every check and its reproduction command.</w:t>
      </w:r>
    </w:p>
    <w:p>
      <w:pPr>
        <w:pStyle w:val="Heading2"/>
      </w:pPr>
      <w:r>
        <w:t>Evidence included</w:t>
      </w:r>
    </w:p>
    <w:p>
      <w:r>
        <w:t>evidence/ includes the raw Lighthouse JSON runs for the SPA and the Week 3 baseline, summary files, axe results for both versions, browser workflow results, accessibility scan results, and screenshots of home, notes, guide, plan, load-error, not-found, mobile-menu and skip-link states. `scripts/build.cjs` regenerates the distributed files from readable sources; `tests/` holds the three suites.</w:t>
      </w:r>
    </w:p>
    <w:p>
      <w:pPr>
        <w:pStyle w:val="Heading2"/>
      </w:pPr>
      <w:r>
        <w:t>Limits and next checks</w:t>
      </w:r>
    </w:p>
    <w:p>
      <w:r>
        <w:t>These are local Chromium lab results without HTTP compression. No Safari, Firefox, physical-device, production-hosting or WAVE result is claimed. Automated scans cannot establish full WCAG conformance; manual screen-reader review remains future work. The client-rendered shell requires JavaScript for the views; the noscript note states this plainly, and navigation still works without it. The largest layout shift observed came from the single client-rendered hero image entering after first paint; image dimensions and aspect-ratio reservations limit it to below the 0.25 failure boundary but above the 0.1 goodness bar.</w:t>
      </w:r>
    </w:p>
    <w:p>
      <w:pPr>
        <w:pStyle w:val="Heading2"/>
      </w:pPr>
      <w:r>
        <w:t>Learning outcomes</w:t>
      </w:r>
    </w:p>
    <w:p>
      <w:r>
        <w:t>A single-page shell changes what correctness means: history exactly matches the visible views, state lives in the URL, focus lands where the content is, and failure paths are designed rather than accidental. Proving same-document navigation required an instrumentation trick - a window property that a reload would destroy - and it caught real cross-document behaviour that assertion-free testing would have missed. The header-size vs. behaviour trade-off of hash routing is documented so reviewers understand it was a deliberate portability decision.</w:t>
      </w:r>
    </w:p>
    <w:p>
      <w:pPr>
        <w:pStyle w:val="Heading2"/>
      </w:pPr>
      <w:r>
        <w:t>References</w:t>
      </w:r>
    </w:p>
    <w:p>
      <w:r>
        <w:t>MDN, History API and hashchange events: https://developer.mozilla.org/en-US/docs/Web/API/History_API</w:t>
      </w:r>
    </w:p>
    <w:p>
      <w:r>
        <w:t>MDN, Accessibility of single-page applications: https://developer.mozilla.org/en-US/docs/Learn/Accessibility</w:t>
      </w:r>
    </w:p>
    <w:p>
      <w:r>
        <w:t>Deque, axe scan guidance: https://docs.deque.com/devtools-for-web/4/en/devtools-scanning/</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2527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5147B7"/>
      <w:sz w:val="3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5147B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5147B7"/>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iCs/>
      <w:color w:val="5147B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 Developing a Single Page Application (SPA) Simulation</dc:title>
  <dc:subject>YuvaIntern Frontend Web Developer Intern</dc:subject>
  <dc:creator>Yash Vinod Sawant</dc:creator>
  <cp:keywords>SPA, routing, history, HTML, CSS, JavaScript, accessibility</cp:keywords>
  <dc:description>generated by python-docx</dc:description>
  <cp:lastModifiedBy/>
  <cp:revision>1</cp:revision>
  <dcterms:created xsi:type="dcterms:W3CDTF">2013-12-23T23:15:00Z</dcterms:created>
  <dcterms:modified xsi:type="dcterms:W3CDTF">2013-12-23T23:15:00Z</dcterms:modified>
  <cp:category/>
</cp:coreProperties>
</file>