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766E"/>
          <w:sz w:val="28"/>
        </w:rPr>
        <w:t>FusionPrep AI</w:t>
      </w:r>
    </w:p>
    <w:p>
      <w:pPr>
        <w:spacing w:before="360" w:after="160"/>
      </w:pPr>
      <w:r>
        <w:rPr>
          <w:rFonts w:ascii="Aptos Display" w:hAnsi="Aptos Display"/>
          <w:b/>
          <w:color w:val="111827"/>
          <w:sz w:val="52"/>
        </w:rPr>
        <w:t>Core HR Implementation Guide</w:t>
      </w:r>
    </w:p>
    <w:p>
      <w:pPr>
        <w:spacing w:after="100"/>
      </w:pPr>
      <w:r>
        <w:rPr>
          <w:b w:val="0"/>
          <w:color w:val="5C667A"/>
          <w:sz w:val="20"/>
        </w:rPr>
        <w:t>Original implementation playbook with business scenario, discovery steps, design decisions, testing, risks, deliverables, and interview framing.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Module: </w:t>
      </w:r>
      <w:r>
        <w:rPr>
          <w:color w:val="5C667A"/>
        </w:rPr>
        <w:t>Core HR | Level: Foundation | Format: Word implementation guide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Business Scenario: </w:t>
      </w:r>
      <w:r>
        <w:rPr>
          <w:color w:val="5C667A"/>
        </w:rPr>
        <w:t>A multinational company is moving from spreadsheets and a legacy HR system into a single global HCM platform while keeping country-specific legal employer rules.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Copyright-Safe Learning Policy: </w:t>
      </w:r>
      <w:r>
        <w:rPr>
          <w:color w:val="5C667A"/>
        </w:rPr>
        <w:t>This guide is original FusionPrep AI learning material. It avoids copied vendor documentation, screenshots, certification questions, restricted support content, and client-confidential material.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1. Module Overview</w:t>
      </w:r>
    </w:p>
    <w:p>
      <w:pPr>
        <w:spacing w:after="100"/>
      </w:pPr>
      <w:r>
        <w:rPr>
          <w:b w:val="0"/>
          <w:color w:val="111827"/>
          <w:sz w:val="20"/>
        </w:rPr>
        <w:t>Foundation guide for enterprise structure, workforce structures, worker lifecycle, security touchpoints, migration, reporting, and go-live readiness.</w:t>
      </w:r>
    </w:p>
    <w:p>
      <w:pPr>
        <w:spacing w:after="100"/>
      </w:pPr>
      <w:r>
        <w:rPr>
          <w:b w:val="0"/>
          <w:color w:val="5C667A"/>
          <w:sz w:val="20"/>
        </w:rPr>
        <w:t>Consultant mindset: for Core HR, start with the business process and people impact. Configuration should only begin after scope, ownership, dependencies, and validation criteria are clear.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2. Implementation Steps</w:t>
      </w:r>
    </w:p>
    <w:p>
      <w:pPr>
        <w:pStyle w:val="ListNumber"/>
        <w:spacing w:after="60"/>
      </w:pPr>
      <w:r>
        <w:rPr>
          <w:color w:val="111827"/>
          <w:sz w:val="19"/>
        </w:rPr>
        <w:t>Confirm the business operating model and countries in scope.</w:t>
      </w:r>
    </w:p>
    <w:p>
      <w:pPr>
        <w:pStyle w:val="ListNumber"/>
        <w:spacing w:after="60"/>
      </w:pPr>
      <w:r>
        <w:rPr>
          <w:color w:val="111827"/>
          <w:sz w:val="19"/>
        </w:rPr>
        <w:t>Design enterprise, legal employer, business unit, department, location, job, position, and grade usage.</w:t>
      </w:r>
    </w:p>
    <w:p>
      <w:pPr>
        <w:pStyle w:val="ListNumber"/>
        <w:spacing w:after="60"/>
      </w:pPr>
      <w:r>
        <w:rPr>
          <w:color w:val="111827"/>
          <w:sz w:val="19"/>
        </w:rPr>
        <w:t>Map worker lifecycle transactions such as hire, transfer, promotion, termination, and rehire.</w:t>
      </w:r>
    </w:p>
    <w:p>
      <w:pPr>
        <w:pStyle w:val="ListNumber"/>
        <w:spacing w:after="60"/>
      </w:pPr>
      <w:r>
        <w:rPr>
          <w:color w:val="111827"/>
          <w:sz w:val="19"/>
        </w:rPr>
        <w:t>Define security personas for employee, manager, HR specialist, and administrator.</w:t>
      </w:r>
    </w:p>
    <w:p>
      <w:pPr>
        <w:pStyle w:val="ListNumber"/>
        <w:spacing w:after="60"/>
      </w:pPr>
      <w:r>
        <w:rPr>
          <w:color w:val="111827"/>
          <w:sz w:val="19"/>
        </w:rPr>
        <w:t>Plan migration, validation, approvals, reporting, integrations, and cutover support.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3. Step-by-Step Consulting Notes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1: Confirm the business operating model and countries in scope.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2: Design enterprise, legal employer, business unit, department, location, job, position, and grade usage.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3: Map worker lifecycle transactions such as hire, transfer, promotion, termination, and rehire.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4: Define security personas for employee, manager, HR specialist, and administrator.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5: Plan migration, validation, approvals, reporting, integrations, and cutover support.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4. Discovery Questions</w:t>
      </w:r>
    </w:p>
    <w:p>
      <w:pPr>
        <w:pStyle w:val="ListBullet"/>
        <w:spacing w:after="60"/>
      </w:pPr>
      <w:r>
        <w:rPr>
          <w:color w:val="111827"/>
          <w:sz w:val="19"/>
        </w:rPr>
        <w:t>Which worker populations, countries, legal employers, and business units are in scope for Core HR?</w:t>
      </w:r>
    </w:p>
    <w:p>
      <w:pPr>
        <w:pStyle w:val="ListBullet"/>
        <w:spacing w:after="60"/>
      </w:pPr>
      <w:r>
        <w:rPr>
          <w:color w:val="111827"/>
          <w:sz w:val="19"/>
        </w:rPr>
        <w:t>Which rules are global standards and which rules vary by country, worker type, location, union, or business unit?</w:t>
      </w:r>
    </w:p>
    <w:p>
      <w:pPr>
        <w:pStyle w:val="ListBullet"/>
        <w:spacing w:after="60"/>
      </w:pPr>
      <w:r>
        <w:rPr>
          <w:color w:val="111827"/>
          <w:sz w:val="19"/>
        </w:rPr>
        <w:t>Who owns configuration decisions, policy interpretation, data validation, and final sign-off?</w:t>
      </w:r>
    </w:p>
    <w:p>
      <w:pPr>
        <w:pStyle w:val="ListBullet"/>
        <w:spacing w:after="60"/>
      </w:pPr>
      <w:r>
        <w:rPr>
          <w:color w:val="111827"/>
          <w:sz w:val="19"/>
        </w:rPr>
        <w:t>Which upstream modules, downstream integrations, reports, approvals, and security roles are impacted?</w:t>
      </w:r>
    </w:p>
    <w:p>
      <w:pPr>
        <w:pStyle w:val="ListBullet"/>
        <w:spacing w:after="60"/>
      </w:pPr>
      <w:r>
        <w:rPr>
          <w:color w:val="111827"/>
          <w:sz w:val="19"/>
        </w:rPr>
        <w:t>What are the top business risks if this process is designed incorrectly?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5. Design Decisions</w:t>
      </w:r>
    </w:p>
    <w:p>
      <w:pPr>
        <w:pStyle w:val="ListBullet"/>
        <w:spacing w:after="60"/>
      </w:pPr>
      <w:r>
        <w:rPr>
          <w:color w:val="111827"/>
          <w:sz w:val="19"/>
        </w:rPr>
        <w:t>Scope: population, country, business unit, and rollout wave.</w:t>
      </w:r>
    </w:p>
    <w:p>
      <w:pPr>
        <w:pStyle w:val="ListBullet"/>
        <w:spacing w:after="60"/>
      </w:pPr>
      <w:r>
        <w:rPr>
          <w:color w:val="111827"/>
          <w:sz w:val="19"/>
        </w:rPr>
        <w:t>Security: who can view, create, approve, correct, and report.</w:t>
      </w:r>
    </w:p>
    <w:p>
      <w:pPr>
        <w:pStyle w:val="ListBullet"/>
        <w:spacing w:after="60"/>
      </w:pPr>
      <w:r>
        <w:rPr>
          <w:color w:val="111827"/>
          <w:sz w:val="19"/>
        </w:rPr>
        <w:t>Process: normal flow, exception flow, approvals, corrections, and support ownership.</w:t>
      </w:r>
    </w:p>
    <w:p>
      <w:pPr>
        <w:pStyle w:val="ListBullet"/>
        <w:spacing w:after="60"/>
      </w:pPr>
      <w:r>
        <w:rPr>
          <w:color w:val="111827"/>
          <w:sz w:val="19"/>
        </w:rPr>
        <w:t>Data: required fields, conversion rules, quality checks, and reconciliation.</w:t>
      </w:r>
    </w:p>
    <w:p>
      <w:pPr>
        <w:pStyle w:val="ListBullet"/>
        <w:spacing w:after="60"/>
      </w:pPr>
      <w:r>
        <w:rPr>
          <w:color w:val="111827"/>
          <w:sz w:val="19"/>
        </w:rPr>
        <w:t>Testing: positive, negative, edge, regression, and role-based scenarios.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6. Business Scenario Walkthrough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Scenario: </w:t>
      </w:r>
      <w:r>
        <w:rPr>
          <w:color w:val="5C667A"/>
        </w:rPr>
        <w:t>A multinational company is moving from spreadsheets and a legacy HR system into a single global HCM platform while keeping country-specific legal employer rules.</w:t>
      </w:r>
    </w:p>
    <w:p>
      <w:pPr>
        <w:pStyle w:val="ListBullet"/>
        <w:spacing w:after="60"/>
      </w:pPr>
      <w:r>
        <w:rPr>
          <w:color w:val="111827"/>
          <w:sz w:val="19"/>
        </w:rPr>
        <w:t>Translate the scenario into business requirements before touching setup.</w:t>
      </w:r>
    </w:p>
    <w:p>
      <w:pPr>
        <w:pStyle w:val="ListBullet"/>
        <w:spacing w:after="60"/>
      </w:pPr>
      <w:r>
        <w:rPr>
          <w:color w:val="111827"/>
          <w:sz w:val="19"/>
        </w:rPr>
        <w:t>Identify actors: employee, manager, HR specialist, administrator, payroll, recruiter, talent partner, or support team.</w:t>
      </w:r>
    </w:p>
    <w:p>
      <w:pPr>
        <w:pStyle w:val="ListBullet"/>
        <w:spacing w:after="60"/>
      </w:pPr>
      <w:r>
        <w:rPr>
          <w:color w:val="111827"/>
          <w:sz w:val="19"/>
        </w:rPr>
        <w:t>Define expected transaction, approval, data outcome, reporting outcome, and support path.</w:t>
      </w:r>
    </w:p>
    <w:p>
      <w:pPr>
        <w:pStyle w:val="ListBullet"/>
        <w:spacing w:after="60"/>
      </w:pPr>
      <w:r>
        <w:rPr>
          <w:color w:val="111827"/>
          <w:sz w:val="19"/>
        </w:rPr>
        <w:t>Write at least one normal case, one exception case, and one security case.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7. Testing Pack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Happy Path</w:t>
      </w:r>
    </w:p>
    <w:p>
      <w:pPr>
        <w:spacing w:after="100"/>
      </w:pPr>
      <w:r>
        <w:rPr>
          <w:b w:val="0"/>
          <w:color w:val="5C667A"/>
          <w:sz w:val="20"/>
        </w:rPr>
        <w:t>The standard process completes with expected approvals and data updates.</w:t>
      </w:r>
    </w:p>
    <w:p>
      <w:pPr>
        <w:pStyle w:val="ListBullet"/>
        <w:spacing w:after="60"/>
      </w:pPr>
      <w:r>
        <w:rPr>
          <w:color w:val="111827"/>
          <w:sz w:val="19"/>
        </w:rPr>
        <w:t>Use realistic worker data.</w:t>
      </w:r>
    </w:p>
    <w:p>
      <w:pPr>
        <w:pStyle w:val="ListBullet"/>
        <w:spacing w:after="60"/>
      </w:pPr>
      <w:r>
        <w:rPr>
          <w:color w:val="111827"/>
          <w:sz w:val="19"/>
        </w:rPr>
        <w:t>Validate role access.</w:t>
      </w:r>
    </w:p>
    <w:p>
      <w:pPr>
        <w:pStyle w:val="ListBullet"/>
        <w:spacing w:after="60"/>
      </w:pPr>
      <w:r>
        <w:rPr>
          <w:color w:val="111827"/>
          <w:sz w:val="19"/>
        </w:rPr>
        <w:t>Confirm expected reports or downstream outputs.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Exception Path</w:t>
      </w:r>
    </w:p>
    <w:p>
      <w:pPr>
        <w:spacing w:after="100"/>
      </w:pPr>
      <w:r>
        <w:rPr>
          <w:b w:val="0"/>
          <w:color w:val="5C667A"/>
          <w:sz w:val="20"/>
        </w:rPr>
        <w:t>Late, corrected, cancelled, rejected, or escalated transactions behave correctly.</w:t>
      </w:r>
    </w:p>
    <w:p>
      <w:pPr>
        <w:pStyle w:val="ListBullet"/>
        <w:spacing w:after="60"/>
      </w:pPr>
      <w:r>
        <w:rPr>
          <w:color w:val="111827"/>
          <w:sz w:val="19"/>
        </w:rPr>
        <w:t>Create negative cases.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handling.</w:t>
      </w:r>
    </w:p>
    <w:p>
      <w:pPr>
        <w:pStyle w:val="ListBullet"/>
        <w:spacing w:after="60"/>
      </w:pPr>
      <w:r>
        <w:rPr>
          <w:color w:val="111827"/>
          <w:sz w:val="19"/>
        </w:rPr>
        <w:t>Document support ownership.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Security Path</w:t>
      </w:r>
    </w:p>
    <w:p>
      <w:pPr>
        <w:spacing w:after="100"/>
      </w:pPr>
      <w:r>
        <w:rPr>
          <w:b w:val="0"/>
          <w:color w:val="5C667A"/>
          <w:sz w:val="20"/>
        </w:rPr>
        <w:t>Correct users can act; unauthorized users cannot view or update sensitive data.</w:t>
      </w:r>
    </w:p>
    <w:p>
      <w:pPr>
        <w:pStyle w:val="ListBullet"/>
        <w:spacing w:after="60"/>
      </w:pPr>
      <w:r>
        <w:rPr>
          <w:color w:val="111827"/>
          <w:sz w:val="19"/>
        </w:rPr>
        <w:t>Test employee, manager, HR specialist, and administrator views.</w:t>
      </w:r>
    </w:p>
    <w:p>
      <w:pPr>
        <w:pStyle w:val="ListBullet"/>
        <w:spacing w:after="60"/>
      </w:pPr>
      <w:r>
        <w:rPr>
          <w:color w:val="111827"/>
          <w:sz w:val="19"/>
        </w:rPr>
        <w:t>Confirm least-privilege access.</w:t>
      </w:r>
    </w:p>
    <w:p>
      <w:pPr>
        <w:pStyle w:val="ListBullet"/>
        <w:spacing w:after="60"/>
      </w:pPr>
      <w:r>
        <w:rPr>
          <w:color w:val="111827"/>
          <w:sz w:val="19"/>
        </w:rPr>
        <w:t>Capture evidence for sign-off.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Integration Path</w:t>
      </w:r>
    </w:p>
    <w:p>
      <w:pPr>
        <w:spacing w:after="100"/>
      </w:pPr>
      <w:r>
        <w:rPr>
          <w:b w:val="0"/>
          <w:color w:val="5C667A"/>
          <w:sz w:val="20"/>
        </w:rPr>
        <w:t>Downstream files, reports, or dependent modules receive expected data.</w:t>
      </w:r>
    </w:p>
    <w:p>
      <w:pPr>
        <w:pStyle w:val="ListBullet"/>
        <w:spacing w:after="60"/>
      </w:pPr>
      <w:r>
        <w:rPr>
          <w:color w:val="111827"/>
          <w:sz w:val="19"/>
        </w:rPr>
        <w:t>Check timing.</w:t>
      </w:r>
    </w:p>
    <w:p>
      <w:pPr>
        <w:pStyle w:val="ListBullet"/>
        <w:spacing w:after="60"/>
      </w:pPr>
      <w:r>
        <w:rPr>
          <w:color w:val="111827"/>
          <w:sz w:val="19"/>
        </w:rPr>
        <w:t>Check reconciliation totals.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 and reprocessing approach.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8. Deliverables</w:t>
      </w:r>
    </w:p>
    <w:p>
      <w:pPr>
        <w:pStyle w:val="ListBullet"/>
        <w:spacing w:after="60"/>
      </w:pPr>
      <w:r>
        <w:rPr>
          <w:color w:val="111827"/>
          <w:sz w:val="19"/>
        </w:rPr>
        <w:t>Enterprise structure decision log</w:t>
      </w:r>
    </w:p>
    <w:p>
      <w:pPr>
        <w:pStyle w:val="ListBullet"/>
        <w:spacing w:after="60"/>
      </w:pPr>
      <w:r>
        <w:rPr>
          <w:color w:val="111827"/>
          <w:sz w:val="19"/>
        </w:rPr>
        <w:t>Workforce structure workbook</w:t>
      </w:r>
    </w:p>
    <w:p>
      <w:pPr>
        <w:pStyle w:val="ListBullet"/>
        <w:spacing w:after="60"/>
      </w:pPr>
      <w:r>
        <w:rPr>
          <w:color w:val="111827"/>
          <w:sz w:val="19"/>
        </w:rPr>
        <w:t>Worker lifecycle test pack</w:t>
      </w:r>
    </w:p>
    <w:p>
      <w:pPr>
        <w:pStyle w:val="ListBullet"/>
        <w:spacing w:after="60"/>
      </w:pPr>
      <w:r>
        <w:rPr>
          <w:color w:val="111827"/>
          <w:sz w:val="19"/>
        </w:rPr>
        <w:t>Security and data access matrix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9. Common Risks And Controls</w:t>
      </w:r>
    </w:p>
    <w:p>
      <w:pPr>
        <w:pStyle w:val="ListBullet"/>
        <w:spacing w:after="60"/>
      </w:pPr>
      <w:r>
        <w:rPr>
          <w:color w:val="111827"/>
          <w:sz w:val="19"/>
        </w:rPr>
        <w:t>Unclear ownership: maintain a decision log with named approver and date.</w:t>
      </w:r>
    </w:p>
    <w:p>
      <w:pPr>
        <w:pStyle w:val="ListBullet"/>
        <w:spacing w:after="60"/>
      </w:pPr>
      <w:r>
        <w:rPr>
          <w:color w:val="111827"/>
          <w:sz w:val="19"/>
        </w:rPr>
        <w:t>Configuration before process clarity: require scenario sign-off before build.</w:t>
      </w:r>
    </w:p>
    <w:p>
      <w:pPr>
        <w:pStyle w:val="ListBullet"/>
        <w:spacing w:after="60"/>
      </w:pPr>
      <w:r>
        <w:rPr>
          <w:color w:val="111827"/>
          <w:sz w:val="19"/>
        </w:rPr>
        <w:t>Weak security testing: test by role and by data visibility, not only by transaction access.</w:t>
      </w:r>
    </w:p>
    <w:p>
      <w:pPr>
        <w:pStyle w:val="ListBullet"/>
        <w:spacing w:after="60"/>
      </w:pPr>
      <w:r>
        <w:rPr>
          <w:color w:val="111827"/>
          <w:sz w:val="19"/>
        </w:rPr>
        <w:t>Late integration discovery: review upstream and downstream dependencies during design.</w:t>
      </w:r>
    </w:p>
    <w:p>
      <w:pPr>
        <w:pStyle w:val="ListBullet"/>
        <w:spacing w:after="60"/>
      </w:pPr>
      <w:r>
        <w:rPr>
          <w:color w:val="111827"/>
          <w:sz w:val="19"/>
        </w:rPr>
        <w:t>Poor user adoption: prepare role-based examples, quick reference notes, and support handoff.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10. Interview Framing</w:t>
      </w:r>
    </w:p>
    <w:p>
      <w:pPr>
        <w:pStyle w:val="ListBullet"/>
        <w:spacing w:after="60"/>
      </w:pPr>
      <w:r>
        <w:rPr>
          <w:color w:val="111827"/>
          <w:sz w:val="19"/>
        </w:rPr>
        <w:t>When asked about Core HR, start with the business problem, not the screen name.</w:t>
      </w:r>
    </w:p>
    <w:p>
      <w:pPr>
        <w:pStyle w:val="ListBullet"/>
        <w:spacing w:after="60"/>
      </w:pPr>
      <w:r>
        <w:rPr>
          <w:color w:val="111827"/>
          <w:sz w:val="19"/>
        </w:rPr>
        <w:t>Mention discovery, design decisions, security, testing, and go-live readiness.</w:t>
      </w:r>
    </w:p>
    <w:p>
      <w:pPr>
        <w:pStyle w:val="ListBullet"/>
        <w:spacing w:after="60"/>
      </w:pPr>
      <w:r>
        <w:rPr>
          <w:color w:val="111827"/>
          <w:sz w:val="19"/>
        </w:rPr>
        <w:t>Use a small example from the business scenario to show practical experience.</w:t>
      </w:r>
    </w:p>
    <w:p>
      <w:pPr>
        <w:pStyle w:val="ListBullet"/>
        <w:spacing w:after="60"/>
      </w:pPr>
      <w:r>
        <w:rPr>
          <w:color w:val="111827"/>
          <w:sz w:val="19"/>
        </w:rPr>
        <w:t>Close your answer with risk controls and validation approach.</w:t>
      </w:r>
    </w:p>
    <w:p>
      <w:pPr>
        <w:sectPr>
          <w:footerReference w:type="default" r:id="rId9"/>
          <w:pgSz w:w="12240" w:h="15840"/>
          <w:pgMar w:top="1037" w:right="1181" w:bottom="1037" w:left="1181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FusionPrep AI - Original learner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