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766E"/>
          <w:sz w:val="28"/>
        </w:rPr>
        <w:t>FusionPrep AI</w:t>
      </w:r>
    </w:p>
    <w:p>
      <w:pPr>
        <w:spacing w:before="360" w:after="160"/>
      </w:pPr>
      <w:r>
        <w:rPr>
          <w:rFonts w:ascii="Aptos Display" w:hAnsi="Aptos Display"/>
          <w:b/>
          <w:color w:val="111827"/>
          <w:sz w:val="52"/>
        </w:rPr>
        <w:t>Redwood Experience Implementation Guide</w:t>
      </w:r>
    </w:p>
    <w:p>
      <w:pPr>
        <w:spacing w:after="100"/>
      </w:pPr>
      <w:r>
        <w:rPr>
          <w:b w:val="0"/>
          <w:color w:val="5C667A"/>
          <w:sz w:val="20"/>
        </w:rPr>
        <w:t>Original implementation playbook with business scenario, discovery steps, design decisions, testing, risks, deliverables, and interview framing.</w:t>
      </w:r>
    </w:p>
    <w:p>
      <w:pPr>
        <w:spacing w:before="100" w:after="160"/>
        <w:ind w:left="230" w:right="230"/>
      </w:pPr>
      <w:r>
        <w:rPr>
          <w:b/>
          <w:color w:val="2556A3"/>
        </w:rPr>
        <w:t xml:space="preserve">Module: </w:t>
      </w:r>
      <w:r>
        <w:rPr>
          <w:color w:val="5C667A"/>
        </w:rPr>
        <w:t>Redwood | Level: Intermediate | Format: Word implementation guide</w:t>
      </w:r>
    </w:p>
    <w:p>
      <w:pPr>
        <w:spacing w:before="100" w:after="160"/>
        <w:ind w:left="230" w:right="230"/>
      </w:pPr>
      <w:r>
        <w:rPr>
          <w:b/>
          <w:color w:val="2556A3"/>
        </w:rPr>
        <w:t xml:space="preserve">Business Scenario: </w:t>
      </w:r>
      <w:r>
        <w:rPr>
          <w:color w:val="5C667A"/>
        </w:rPr>
        <w:t>A client is moving users to a modernized HCM user experience and wants to avoid confusion during HR, manager, and employee transactions.</w:t>
      </w:r>
    </w:p>
    <w:p>
      <w:pPr>
        <w:spacing w:before="100" w:after="160"/>
        <w:ind w:left="230" w:right="230"/>
      </w:pPr>
      <w:r>
        <w:rPr>
          <w:b/>
          <w:color w:val="2556A3"/>
        </w:rPr>
        <w:t xml:space="preserve">Copyright-Safe Learning Policy: </w:t>
      </w:r>
      <w:r>
        <w:rPr>
          <w:color w:val="5C667A"/>
        </w:rPr>
        <w:t>This guide is original FusionPrep AI learning material. It avoids copied vendor documentation, screenshots, certification questions, restricted support content, and client-confidential material.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1. Module Overview</w:t>
      </w:r>
    </w:p>
    <w:p>
      <w:pPr>
        <w:spacing w:after="100"/>
      </w:pPr>
      <w:r>
        <w:rPr>
          <w:b w:val="0"/>
          <w:color w:val="111827"/>
          <w:sz w:val="20"/>
        </w:rPr>
        <w:t>Guide for Redwood readiness, user experience review, role-based testing, change communication, regression testing, and adoption support.</w:t>
      </w:r>
    </w:p>
    <w:p>
      <w:pPr>
        <w:spacing w:after="100"/>
      </w:pPr>
      <w:r>
        <w:rPr>
          <w:b w:val="0"/>
          <w:color w:val="5C667A"/>
          <w:sz w:val="20"/>
        </w:rPr>
        <w:t>Consultant mindset: for Redwood, start with the business process and people impact. Configuration should only begin after scope, ownership, dependencies, and validation criteria are clear.</w:t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2. Implementation Steps</w:t>
      </w:r>
    </w:p>
    <w:p>
      <w:pPr>
        <w:pStyle w:val="ListNumber"/>
        <w:spacing w:after="60"/>
      </w:pPr>
      <w:r>
        <w:rPr>
          <w:color w:val="111827"/>
          <w:sz w:val="19"/>
        </w:rPr>
        <w:t>Identify pages, roles, and transactions impacted by the experience change.</w:t>
      </w:r>
    </w:p>
    <w:p>
      <w:pPr>
        <w:pStyle w:val="ListNumber"/>
        <w:spacing w:after="60"/>
      </w:pPr>
      <w:r>
        <w:rPr>
          <w:color w:val="111827"/>
          <w:sz w:val="19"/>
        </w:rPr>
        <w:t>Compare current-state and target-state user journeys for employees, managers, and HR specialists.</w:t>
      </w:r>
    </w:p>
    <w:p>
      <w:pPr>
        <w:pStyle w:val="ListNumber"/>
        <w:spacing w:after="60"/>
      </w:pPr>
      <w:r>
        <w:rPr>
          <w:color w:val="111827"/>
          <w:sz w:val="19"/>
        </w:rPr>
        <w:t>Prepare role-based regression scenarios and support communications.</w:t>
      </w:r>
    </w:p>
    <w:p>
      <w:pPr>
        <w:pStyle w:val="ListNumber"/>
        <w:spacing w:after="60"/>
      </w:pPr>
      <w:r>
        <w:rPr>
          <w:color w:val="111827"/>
          <w:sz w:val="19"/>
        </w:rPr>
        <w:t>Review personalization, security, navigation, reports, and training material impact.</w:t>
      </w:r>
    </w:p>
    <w:p>
      <w:pPr>
        <w:pStyle w:val="ListNumber"/>
        <w:spacing w:after="60"/>
      </w:pPr>
      <w:r>
        <w:rPr>
          <w:color w:val="111827"/>
          <w:sz w:val="19"/>
        </w:rPr>
        <w:t>Pilot with representative users before broad deployment.</w:t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3. Step-by-Step Consulting Notes</w:t>
      </w:r>
    </w:p>
    <w:p>
      <w:pPr>
        <w:pStyle w:val="Heading2"/>
        <w:keepNext/>
        <w:spacing w:before="120" w:after="80"/>
      </w:pPr>
      <w:r>
        <w:rPr>
          <w:rFonts w:ascii="Aptos Display" w:hAnsi="Aptos Display"/>
          <w:color w:val="0F766E"/>
        </w:rPr>
        <w:t>Step 1: Identify pages, roles, and transactions impacted by the experience change.</w:t>
      </w:r>
    </w:p>
    <w:p>
      <w:pPr>
        <w:pStyle w:val="ListBullet"/>
        <w:spacing w:after="60"/>
      </w:pPr>
      <w:r>
        <w:rPr>
          <w:color w:val="111827"/>
          <w:sz w:val="19"/>
        </w:rPr>
        <w:t>Business scenario thinking: ask what policy, process, population, or control makes this step necessary.</w:t>
      </w:r>
    </w:p>
    <w:p>
      <w:pPr>
        <w:pStyle w:val="ListBullet"/>
        <w:spacing w:after="60"/>
      </w:pPr>
      <w:r>
        <w:rPr>
          <w:color w:val="111827"/>
          <w:sz w:val="19"/>
        </w:rPr>
        <w:t>Consultant action: confirm owner, decision rule, dependency, and evidence needed for sign-off.</w:t>
      </w:r>
    </w:p>
    <w:p>
      <w:pPr>
        <w:pStyle w:val="ListBullet"/>
        <w:spacing w:after="60"/>
      </w:pPr>
      <w:r>
        <w:rPr>
          <w:color w:val="111827"/>
          <w:sz w:val="19"/>
        </w:rPr>
        <w:t>Validation: write a test case with expected result, role, data condition, and pass/fail criteria.</w:t>
      </w:r>
    </w:p>
    <w:p>
      <w:pPr>
        <w:pStyle w:val="Heading2"/>
        <w:keepNext/>
        <w:spacing w:before="120" w:after="80"/>
      </w:pPr>
      <w:r>
        <w:rPr>
          <w:rFonts w:ascii="Aptos Display" w:hAnsi="Aptos Display"/>
          <w:color w:val="0F766E"/>
        </w:rPr>
        <w:t>Step 2: Compare current-state and target-state user journeys for employees, managers, and HR specialists.</w:t>
      </w:r>
    </w:p>
    <w:p>
      <w:pPr>
        <w:pStyle w:val="ListBullet"/>
        <w:spacing w:after="60"/>
      </w:pPr>
      <w:r>
        <w:rPr>
          <w:color w:val="111827"/>
          <w:sz w:val="19"/>
        </w:rPr>
        <w:t>Business scenario thinking: ask what policy, process, population, or control makes this step necessary.</w:t>
      </w:r>
    </w:p>
    <w:p>
      <w:pPr>
        <w:pStyle w:val="ListBullet"/>
        <w:spacing w:after="60"/>
      </w:pPr>
      <w:r>
        <w:rPr>
          <w:color w:val="111827"/>
          <w:sz w:val="19"/>
        </w:rPr>
        <w:t>Consultant action: confirm owner, decision rule, dependency, and evidence needed for sign-off.</w:t>
      </w:r>
    </w:p>
    <w:p>
      <w:pPr>
        <w:pStyle w:val="ListBullet"/>
        <w:spacing w:after="60"/>
      </w:pPr>
      <w:r>
        <w:rPr>
          <w:color w:val="111827"/>
          <w:sz w:val="19"/>
        </w:rPr>
        <w:t>Validation: write a test case with expected result, role, data condition, and pass/fail criteria.</w:t>
      </w:r>
    </w:p>
    <w:p>
      <w:pPr>
        <w:pStyle w:val="Heading2"/>
        <w:keepNext/>
        <w:spacing w:before="120" w:after="80"/>
      </w:pPr>
      <w:r>
        <w:rPr>
          <w:rFonts w:ascii="Aptos Display" w:hAnsi="Aptos Display"/>
          <w:color w:val="0F766E"/>
        </w:rPr>
        <w:t>Step 3: Prepare role-based regression scenarios and support communications.</w:t>
      </w:r>
    </w:p>
    <w:p>
      <w:pPr>
        <w:pStyle w:val="ListBullet"/>
        <w:spacing w:after="60"/>
      </w:pPr>
      <w:r>
        <w:rPr>
          <w:color w:val="111827"/>
          <w:sz w:val="19"/>
        </w:rPr>
        <w:t>Business scenario thinking: ask what policy, process, population, or control makes this step necessary.</w:t>
      </w:r>
    </w:p>
    <w:p>
      <w:pPr>
        <w:pStyle w:val="ListBullet"/>
        <w:spacing w:after="60"/>
      </w:pPr>
      <w:r>
        <w:rPr>
          <w:color w:val="111827"/>
          <w:sz w:val="19"/>
        </w:rPr>
        <w:t>Consultant action: confirm owner, decision rule, dependency, and evidence needed for sign-off.</w:t>
      </w:r>
    </w:p>
    <w:p>
      <w:pPr>
        <w:pStyle w:val="ListBullet"/>
        <w:spacing w:after="60"/>
      </w:pPr>
      <w:r>
        <w:rPr>
          <w:color w:val="111827"/>
          <w:sz w:val="19"/>
        </w:rPr>
        <w:t>Validation: write a test case with expected result, role, data condition, and pass/fail criteria.</w:t>
      </w:r>
    </w:p>
    <w:p>
      <w:pPr>
        <w:pStyle w:val="Heading2"/>
        <w:keepNext/>
        <w:spacing w:before="120" w:after="80"/>
      </w:pPr>
      <w:r>
        <w:rPr>
          <w:rFonts w:ascii="Aptos Display" w:hAnsi="Aptos Display"/>
          <w:color w:val="0F766E"/>
        </w:rPr>
        <w:t>Step 4: Review personalization, security, navigation, reports, and training material impact.</w:t>
      </w:r>
    </w:p>
    <w:p>
      <w:pPr>
        <w:pStyle w:val="ListBullet"/>
        <w:spacing w:after="60"/>
      </w:pPr>
      <w:r>
        <w:rPr>
          <w:color w:val="111827"/>
          <w:sz w:val="19"/>
        </w:rPr>
        <w:t>Business scenario thinking: ask what policy, process, population, or control makes this step necessary.</w:t>
      </w:r>
    </w:p>
    <w:p>
      <w:pPr>
        <w:pStyle w:val="ListBullet"/>
        <w:spacing w:after="60"/>
      </w:pPr>
      <w:r>
        <w:rPr>
          <w:color w:val="111827"/>
          <w:sz w:val="19"/>
        </w:rPr>
        <w:t>Consultant action: confirm owner, decision rule, dependency, and evidence needed for sign-off.</w:t>
      </w:r>
    </w:p>
    <w:p>
      <w:pPr>
        <w:pStyle w:val="ListBullet"/>
        <w:spacing w:after="60"/>
      </w:pPr>
      <w:r>
        <w:rPr>
          <w:color w:val="111827"/>
          <w:sz w:val="19"/>
        </w:rPr>
        <w:t>Validation: write a test case with expected result, role, data condition, and pass/fail criteria.</w:t>
      </w:r>
    </w:p>
    <w:p>
      <w:pPr>
        <w:pStyle w:val="Heading2"/>
        <w:keepNext/>
        <w:spacing w:before="120" w:after="80"/>
      </w:pPr>
      <w:r>
        <w:rPr>
          <w:rFonts w:ascii="Aptos Display" w:hAnsi="Aptos Display"/>
          <w:color w:val="0F766E"/>
        </w:rPr>
        <w:t>Step 5: Pilot with representative users before broad deployment.</w:t>
      </w:r>
    </w:p>
    <w:p>
      <w:pPr>
        <w:pStyle w:val="ListBullet"/>
        <w:spacing w:after="60"/>
      </w:pPr>
      <w:r>
        <w:rPr>
          <w:color w:val="111827"/>
          <w:sz w:val="19"/>
        </w:rPr>
        <w:t>Business scenario thinking: ask what policy, process, population, or control makes this step necessary.</w:t>
      </w:r>
    </w:p>
    <w:p>
      <w:pPr>
        <w:pStyle w:val="ListBullet"/>
        <w:spacing w:after="60"/>
      </w:pPr>
      <w:r>
        <w:rPr>
          <w:color w:val="111827"/>
          <w:sz w:val="19"/>
        </w:rPr>
        <w:t>Consultant action: confirm owner, decision rule, dependency, and evidence needed for sign-off.</w:t>
      </w:r>
    </w:p>
    <w:p>
      <w:pPr>
        <w:pStyle w:val="ListBullet"/>
        <w:spacing w:after="60"/>
      </w:pPr>
      <w:r>
        <w:rPr>
          <w:color w:val="111827"/>
          <w:sz w:val="19"/>
        </w:rPr>
        <w:t>Validation: write a test case with expected result, role, data condition, and pass/fail criteria.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4. Discovery Questions</w:t>
      </w:r>
    </w:p>
    <w:p>
      <w:pPr>
        <w:pStyle w:val="ListBullet"/>
        <w:spacing w:after="60"/>
      </w:pPr>
      <w:r>
        <w:rPr>
          <w:color w:val="111827"/>
          <w:sz w:val="19"/>
        </w:rPr>
        <w:t>Which worker populations, countries, legal employers, and business units are in scope for Redwood?</w:t>
      </w:r>
    </w:p>
    <w:p>
      <w:pPr>
        <w:pStyle w:val="ListBullet"/>
        <w:spacing w:after="60"/>
      </w:pPr>
      <w:r>
        <w:rPr>
          <w:color w:val="111827"/>
          <w:sz w:val="19"/>
        </w:rPr>
        <w:t>Which rules are global standards and which rules vary by country, worker type, location, union, or business unit?</w:t>
      </w:r>
    </w:p>
    <w:p>
      <w:pPr>
        <w:pStyle w:val="ListBullet"/>
        <w:spacing w:after="60"/>
      </w:pPr>
      <w:r>
        <w:rPr>
          <w:color w:val="111827"/>
          <w:sz w:val="19"/>
        </w:rPr>
        <w:t>Who owns configuration decisions, policy interpretation, data validation, and final sign-off?</w:t>
      </w:r>
    </w:p>
    <w:p>
      <w:pPr>
        <w:pStyle w:val="ListBullet"/>
        <w:spacing w:after="60"/>
      </w:pPr>
      <w:r>
        <w:rPr>
          <w:color w:val="111827"/>
          <w:sz w:val="19"/>
        </w:rPr>
        <w:t>Which upstream modules, downstream integrations, reports, approvals, and security roles are impacted?</w:t>
      </w:r>
    </w:p>
    <w:p>
      <w:pPr>
        <w:pStyle w:val="ListBullet"/>
        <w:spacing w:after="60"/>
      </w:pPr>
      <w:r>
        <w:rPr>
          <w:color w:val="111827"/>
          <w:sz w:val="19"/>
        </w:rPr>
        <w:t>What are the top business risks if this process is designed incorrectly?</w:t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5. Design Decisions</w:t>
      </w:r>
    </w:p>
    <w:p>
      <w:pPr>
        <w:pStyle w:val="ListBullet"/>
        <w:spacing w:after="60"/>
      </w:pPr>
      <w:r>
        <w:rPr>
          <w:color w:val="111827"/>
          <w:sz w:val="19"/>
        </w:rPr>
        <w:t>Scope: population, country, business unit, and rollout wave.</w:t>
      </w:r>
    </w:p>
    <w:p>
      <w:pPr>
        <w:pStyle w:val="ListBullet"/>
        <w:spacing w:after="60"/>
      </w:pPr>
      <w:r>
        <w:rPr>
          <w:color w:val="111827"/>
          <w:sz w:val="19"/>
        </w:rPr>
        <w:t>Security: who can view, create, approve, correct, and report.</w:t>
      </w:r>
    </w:p>
    <w:p>
      <w:pPr>
        <w:pStyle w:val="ListBullet"/>
        <w:spacing w:after="60"/>
      </w:pPr>
      <w:r>
        <w:rPr>
          <w:color w:val="111827"/>
          <w:sz w:val="19"/>
        </w:rPr>
        <w:t>Process: normal flow, exception flow, approvals, corrections, and support ownership.</w:t>
      </w:r>
    </w:p>
    <w:p>
      <w:pPr>
        <w:pStyle w:val="ListBullet"/>
        <w:spacing w:after="60"/>
      </w:pPr>
      <w:r>
        <w:rPr>
          <w:color w:val="111827"/>
          <w:sz w:val="19"/>
        </w:rPr>
        <w:t>Data: required fields, conversion rules, quality checks, and reconciliation.</w:t>
      </w:r>
    </w:p>
    <w:p>
      <w:pPr>
        <w:pStyle w:val="ListBullet"/>
        <w:spacing w:after="60"/>
      </w:pPr>
      <w:r>
        <w:rPr>
          <w:color w:val="111827"/>
          <w:sz w:val="19"/>
        </w:rPr>
        <w:t>Testing: positive, negative, edge, regression, and role-based scenarios.</w:t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6. Business Scenario Walkthrough</w:t>
      </w:r>
    </w:p>
    <w:p>
      <w:pPr>
        <w:spacing w:before="100" w:after="160"/>
        <w:ind w:left="230" w:right="230"/>
      </w:pPr>
      <w:r>
        <w:rPr>
          <w:b/>
          <w:color w:val="2556A3"/>
        </w:rPr>
        <w:t xml:space="preserve">Scenario: </w:t>
      </w:r>
      <w:r>
        <w:rPr>
          <w:color w:val="5C667A"/>
        </w:rPr>
        <w:t>A client is moving users to a modernized HCM user experience and wants to avoid confusion during HR, manager, and employee transactions.</w:t>
      </w:r>
    </w:p>
    <w:p>
      <w:pPr>
        <w:pStyle w:val="ListBullet"/>
        <w:spacing w:after="60"/>
      </w:pPr>
      <w:r>
        <w:rPr>
          <w:color w:val="111827"/>
          <w:sz w:val="19"/>
        </w:rPr>
        <w:t>Translate the scenario into business requirements before touching setup.</w:t>
      </w:r>
    </w:p>
    <w:p>
      <w:pPr>
        <w:pStyle w:val="ListBullet"/>
        <w:spacing w:after="60"/>
      </w:pPr>
      <w:r>
        <w:rPr>
          <w:color w:val="111827"/>
          <w:sz w:val="19"/>
        </w:rPr>
        <w:t>Identify actors: employee, manager, HR specialist, administrator, payroll, recruiter, talent partner, or support team.</w:t>
      </w:r>
    </w:p>
    <w:p>
      <w:pPr>
        <w:pStyle w:val="ListBullet"/>
        <w:spacing w:after="60"/>
      </w:pPr>
      <w:r>
        <w:rPr>
          <w:color w:val="111827"/>
          <w:sz w:val="19"/>
        </w:rPr>
        <w:t>Define expected transaction, approval, data outcome, reporting outcome, and support path.</w:t>
      </w:r>
    </w:p>
    <w:p>
      <w:pPr>
        <w:pStyle w:val="ListBullet"/>
        <w:spacing w:after="60"/>
      </w:pPr>
      <w:r>
        <w:rPr>
          <w:color w:val="111827"/>
          <w:sz w:val="19"/>
        </w:rPr>
        <w:t>Write at least one normal case, one exception case, and one security case.</w:t>
      </w:r>
    </w:p>
    <w:p>
      <w:r>
        <w:br w:type="page"/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7. Testing Pack</w:t>
      </w:r>
    </w:p>
    <w:p>
      <w:pPr>
        <w:pStyle w:val="Heading2"/>
        <w:keepNext/>
        <w:spacing w:before="120" w:after="80"/>
      </w:pPr>
      <w:r>
        <w:rPr>
          <w:rFonts w:ascii="Aptos Display" w:hAnsi="Aptos Display"/>
          <w:color w:val="0F766E"/>
        </w:rPr>
        <w:t>Happy Path</w:t>
      </w:r>
    </w:p>
    <w:p>
      <w:pPr>
        <w:spacing w:after="100"/>
      </w:pPr>
      <w:r>
        <w:rPr>
          <w:b w:val="0"/>
          <w:color w:val="5C667A"/>
          <w:sz w:val="20"/>
        </w:rPr>
        <w:t>The standard process completes with expected approvals and data updates.</w:t>
      </w:r>
    </w:p>
    <w:p>
      <w:pPr>
        <w:pStyle w:val="ListBullet"/>
        <w:spacing w:after="60"/>
      </w:pPr>
      <w:r>
        <w:rPr>
          <w:color w:val="111827"/>
          <w:sz w:val="19"/>
        </w:rPr>
        <w:t>Use realistic worker data.</w:t>
      </w:r>
    </w:p>
    <w:p>
      <w:pPr>
        <w:pStyle w:val="ListBullet"/>
        <w:spacing w:after="60"/>
      </w:pPr>
      <w:r>
        <w:rPr>
          <w:color w:val="111827"/>
          <w:sz w:val="19"/>
        </w:rPr>
        <w:t>Validate role access.</w:t>
      </w:r>
    </w:p>
    <w:p>
      <w:pPr>
        <w:pStyle w:val="ListBullet"/>
        <w:spacing w:after="60"/>
      </w:pPr>
      <w:r>
        <w:rPr>
          <w:color w:val="111827"/>
          <w:sz w:val="19"/>
        </w:rPr>
        <w:t>Confirm expected reports or downstream outputs.</w:t>
      </w:r>
    </w:p>
    <w:p>
      <w:pPr>
        <w:pStyle w:val="Heading2"/>
        <w:keepNext/>
        <w:spacing w:before="120" w:after="80"/>
      </w:pPr>
      <w:r>
        <w:rPr>
          <w:rFonts w:ascii="Aptos Display" w:hAnsi="Aptos Display"/>
          <w:color w:val="0F766E"/>
        </w:rPr>
        <w:t>Exception Path</w:t>
      </w:r>
    </w:p>
    <w:p>
      <w:pPr>
        <w:spacing w:after="100"/>
      </w:pPr>
      <w:r>
        <w:rPr>
          <w:b w:val="0"/>
          <w:color w:val="5C667A"/>
          <w:sz w:val="20"/>
        </w:rPr>
        <w:t>Late, corrected, cancelled, rejected, or escalated transactions behave correctly.</w:t>
      </w:r>
    </w:p>
    <w:p>
      <w:pPr>
        <w:pStyle w:val="ListBullet"/>
        <w:spacing w:after="60"/>
      </w:pPr>
      <w:r>
        <w:rPr>
          <w:color w:val="111827"/>
          <w:sz w:val="19"/>
        </w:rPr>
        <w:t>Create negative cases.</w:t>
      </w:r>
    </w:p>
    <w:p>
      <w:pPr>
        <w:pStyle w:val="ListBullet"/>
        <w:spacing w:after="60"/>
      </w:pPr>
      <w:r>
        <w:rPr>
          <w:color w:val="111827"/>
          <w:sz w:val="19"/>
        </w:rPr>
        <w:t>Confirm error handling.</w:t>
      </w:r>
    </w:p>
    <w:p>
      <w:pPr>
        <w:pStyle w:val="ListBullet"/>
        <w:spacing w:after="60"/>
      </w:pPr>
      <w:r>
        <w:rPr>
          <w:color w:val="111827"/>
          <w:sz w:val="19"/>
        </w:rPr>
        <w:t>Document support ownership.</w:t>
      </w:r>
    </w:p>
    <w:p>
      <w:pPr>
        <w:pStyle w:val="Heading2"/>
        <w:keepNext/>
        <w:spacing w:before="120" w:after="80"/>
      </w:pPr>
      <w:r>
        <w:rPr>
          <w:rFonts w:ascii="Aptos Display" w:hAnsi="Aptos Display"/>
          <w:color w:val="0F766E"/>
        </w:rPr>
        <w:t>Security Path</w:t>
      </w:r>
    </w:p>
    <w:p>
      <w:pPr>
        <w:spacing w:after="100"/>
      </w:pPr>
      <w:r>
        <w:rPr>
          <w:b w:val="0"/>
          <w:color w:val="5C667A"/>
          <w:sz w:val="20"/>
        </w:rPr>
        <w:t>Correct users can act; unauthorized users cannot view or update sensitive data.</w:t>
      </w:r>
    </w:p>
    <w:p>
      <w:pPr>
        <w:pStyle w:val="ListBullet"/>
        <w:spacing w:after="60"/>
      </w:pPr>
      <w:r>
        <w:rPr>
          <w:color w:val="111827"/>
          <w:sz w:val="19"/>
        </w:rPr>
        <w:t>Test employee, manager, HR specialist, and administrator views.</w:t>
      </w:r>
    </w:p>
    <w:p>
      <w:pPr>
        <w:pStyle w:val="ListBullet"/>
        <w:spacing w:after="60"/>
      </w:pPr>
      <w:r>
        <w:rPr>
          <w:color w:val="111827"/>
          <w:sz w:val="19"/>
        </w:rPr>
        <w:t>Confirm least-privilege access.</w:t>
      </w:r>
    </w:p>
    <w:p>
      <w:pPr>
        <w:pStyle w:val="ListBullet"/>
        <w:spacing w:after="60"/>
      </w:pPr>
      <w:r>
        <w:rPr>
          <w:color w:val="111827"/>
          <w:sz w:val="19"/>
        </w:rPr>
        <w:t>Capture evidence for sign-off.</w:t>
      </w:r>
    </w:p>
    <w:p>
      <w:pPr>
        <w:pStyle w:val="Heading2"/>
        <w:keepNext/>
        <w:spacing w:before="120" w:after="80"/>
      </w:pPr>
      <w:r>
        <w:rPr>
          <w:rFonts w:ascii="Aptos Display" w:hAnsi="Aptos Display"/>
          <w:color w:val="0F766E"/>
        </w:rPr>
        <w:t>Integration Path</w:t>
      </w:r>
    </w:p>
    <w:p>
      <w:pPr>
        <w:spacing w:after="100"/>
      </w:pPr>
      <w:r>
        <w:rPr>
          <w:b w:val="0"/>
          <w:color w:val="5C667A"/>
          <w:sz w:val="20"/>
        </w:rPr>
        <w:t>Downstream files, reports, or dependent modules receive expected data.</w:t>
      </w:r>
    </w:p>
    <w:p>
      <w:pPr>
        <w:pStyle w:val="ListBullet"/>
        <w:spacing w:after="60"/>
      </w:pPr>
      <w:r>
        <w:rPr>
          <w:color w:val="111827"/>
          <w:sz w:val="19"/>
        </w:rPr>
        <w:t>Check timing.</w:t>
      </w:r>
    </w:p>
    <w:p>
      <w:pPr>
        <w:pStyle w:val="ListBullet"/>
        <w:spacing w:after="60"/>
      </w:pPr>
      <w:r>
        <w:rPr>
          <w:color w:val="111827"/>
          <w:sz w:val="19"/>
        </w:rPr>
        <w:t>Check reconciliation totals.</w:t>
      </w:r>
    </w:p>
    <w:p>
      <w:pPr>
        <w:pStyle w:val="ListBullet"/>
        <w:spacing w:after="60"/>
      </w:pPr>
      <w:r>
        <w:rPr>
          <w:color w:val="111827"/>
          <w:sz w:val="19"/>
        </w:rPr>
        <w:t>Confirm error handling and reprocessing approach.</w:t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8. Deliverables</w:t>
      </w:r>
    </w:p>
    <w:p>
      <w:pPr>
        <w:pStyle w:val="ListBullet"/>
        <w:spacing w:after="60"/>
      </w:pPr>
      <w:r>
        <w:rPr>
          <w:color w:val="111827"/>
          <w:sz w:val="19"/>
        </w:rPr>
        <w:t>Redwood readiness matrix</w:t>
      </w:r>
    </w:p>
    <w:p>
      <w:pPr>
        <w:pStyle w:val="ListBullet"/>
        <w:spacing w:after="60"/>
      </w:pPr>
      <w:r>
        <w:rPr>
          <w:color w:val="111827"/>
          <w:sz w:val="19"/>
        </w:rPr>
        <w:t>Role-based regression plan</w:t>
      </w:r>
    </w:p>
    <w:p>
      <w:pPr>
        <w:pStyle w:val="ListBullet"/>
        <w:spacing w:after="60"/>
      </w:pPr>
      <w:r>
        <w:rPr>
          <w:color w:val="111827"/>
          <w:sz w:val="19"/>
        </w:rPr>
        <w:t>Change communication pack</w:t>
      </w:r>
    </w:p>
    <w:p>
      <w:pPr>
        <w:pStyle w:val="ListBullet"/>
        <w:spacing w:after="60"/>
      </w:pPr>
      <w:r>
        <w:rPr>
          <w:color w:val="111827"/>
          <w:sz w:val="19"/>
        </w:rPr>
        <w:t>User adoption feedback log</w:t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9. Common Risks And Controls</w:t>
      </w:r>
    </w:p>
    <w:p>
      <w:pPr>
        <w:pStyle w:val="ListBullet"/>
        <w:spacing w:after="60"/>
      </w:pPr>
      <w:r>
        <w:rPr>
          <w:color w:val="111827"/>
          <w:sz w:val="19"/>
        </w:rPr>
        <w:t>Unclear ownership: maintain a decision log with named approver and date.</w:t>
      </w:r>
    </w:p>
    <w:p>
      <w:pPr>
        <w:pStyle w:val="ListBullet"/>
        <w:spacing w:after="60"/>
      </w:pPr>
      <w:r>
        <w:rPr>
          <w:color w:val="111827"/>
          <w:sz w:val="19"/>
        </w:rPr>
        <w:t>Configuration before process clarity: require scenario sign-off before build.</w:t>
      </w:r>
    </w:p>
    <w:p>
      <w:pPr>
        <w:pStyle w:val="ListBullet"/>
        <w:spacing w:after="60"/>
      </w:pPr>
      <w:r>
        <w:rPr>
          <w:color w:val="111827"/>
          <w:sz w:val="19"/>
        </w:rPr>
        <w:t>Weak security testing: test by role and by data visibility, not only by transaction access.</w:t>
      </w:r>
    </w:p>
    <w:p>
      <w:pPr>
        <w:pStyle w:val="ListBullet"/>
        <w:spacing w:after="60"/>
      </w:pPr>
      <w:r>
        <w:rPr>
          <w:color w:val="111827"/>
          <w:sz w:val="19"/>
        </w:rPr>
        <w:t>Late integration discovery: review upstream and downstream dependencies during design.</w:t>
      </w:r>
    </w:p>
    <w:p>
      <w:pPr>
        <w:pStyle w:val="ListBullet"/>
        <w:spacing w:after="60"/>
      </w:pPr>
      <w:r>
        <w:rPr>
          <w:color w:val="111827"/>
          <w:sz w:val="19"/>
        </w:rPr>
        <w:t>Poor user adoption: prepare role-based examples, quick reference notes, and support handoff.</w:t>
      </w:r>
    </w:p>
    <w:p>
      <w:pPr>
        <w:pStyle w:val="Heading1"/>
        <w:keepNext/>
        <w:spacing w:before="200" w:after="80"/>
      </w:pPr>
      <w:r>
        <w:rPr>
          <w:rFonts w:ascii="Aptos Display" w:hAnsi="Aptos Display"/>
          <w:color w:val="111827"/>
        </w:rPr>
        <w:t>10. Interview Framing</w:t>
      </w:r>
    </w:p>
    <w:p>
      <w:pPr>
        <w:pStyle w:val="ListBullet"/>
        <w:spacing w:after="60"/>
      </w:pPr>
      <w:r>
        <w:rPr>
          <w:color w:val="111827"/>
          <w:sz w:val="19"/>
        </w:rPr>
        <w:t>When asked about Redwood, start with the business problem, not the screen name.</w:t>
      </w:r>
    </w:p>
    <w:p>
      <w:pPr>
        <w:pStyle w:val="ListBullet"/>
        <w:spacing w:after="60"/>
      </w:pPr>
      <w:r>
        <w:rPr>
          <w:color w:val="111827"/>
          <w:sz w:val="19"/>
        </w:rPr>
        <w:t>Mention discovery, design decisions, security, testing, and go-live readiness.</w:t>
      </w:r>
    </w:p>
    <w:p>
      <w:pPr>
        <w:pStyle w:val="ListBullet"/>
        <w:spacing w:after="60"/>
      </w:pPr>
      <w:r>
        <w:rPr>
          <w:color w:val="111827"/>
          <w:sz w:val="19"/>
        </w:rPr>
        <w:t>Use a small example from the business scenario to show practical experience.</w:t>
      </w:r>
    </w:p>
    <w:p>
      <w:pPr>
        <w:pStyle w:val="ListBullet"/>
        <w:spacing w:after="60"/>
      </w:pPr>
      <w:r>
        <w:rPr>
          <w:color w:val="111827"/>
          <w:sz w:val="19"/>
        </w:rPr>
        <w:t>Close your answer with risk controls and validation approach.</w:t>
      </w:r>
    </w:p>
    <w:p>
      <w:pPr>
        <w:sectPr>
          <w:footerReference w:type="default" r:id="rId9"/>
          <w:pgSz w:w="12240" w:h="15840"/>
          <w:pgMar w:top="1037" w:right="1181" w:bottom="1037" w:left="1181" w:header="720" w:footer="720" w:gutter="0"/>
          <w:cols w:space="720"/>
          <w:docGrid w:linePitch="360"/>
        </w:sectPr>
      </w:pPr>
    </w:p>
    <w:sectPr w:rsidR="00FC693F" w:rsidRPr="0006063C" w:rsidSect="00034616">
      <w:type w:val="continuous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FusionPrep AI - Original learner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