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888888"/>
          <w:sz w:val="20"/>
          <w:szCs w:val="20"/>
        </w:rPr>
        <w:t xml:space="preserve">EVNest</w:t>
      </w:r>
    </w:p>
    <w:p>
      <w:pPr>
        <w:spacing w:after="60"/>
      </w:pPr>
      <w:r>
        <w:rPr>
          <w:b/>
          <w:bCs/>
          <w:color w:val="1F5F6B"/>
          <w:sz w:val="44"/>
          <w:szCs w:val="44"/>
        </w:rPr>
        <w:t xml:space="preserve">Revenue Model</w:t>
      </w:r>
    </w:p>
    <w:p>
      <w:pPr>
        <w:spacing w:after="60"/>
      </w:pPr>
      <w:r>
        <w:rPr>
          <w:color w:val="333333"/>
          <w:sz w:val="26"/>
          <w:szCs w:val="26"/>
        </w:rPr>
        <w:t xml:space="preserve">Free pilot, then a society subscription — with no payments flowing through EVNest</w:t>
      </w:r>
    </w:p>
    <w:p>
      <w:pPr>
        <w:pBdr>
          <w:bottom w:val="single" w:color="1F5F6B" w:sz="8" w:space="6"/>
        </w:pBdr>
        <w:spacing w:after="220"/>
      </w:pPr>
      <w:r>
        <w:rPr>
          <w:i/>
          <w:iCs/>
          <w:color w:val="555555"/>
        </w:rPr>
        <w:t xml:space="preserve">Version 2.0  ·  30 September 2026  ·  Replaces the first revenue model (which assumed EVNest handled payments)</w:t>
      </w:r>
    </w:p>
    <w:p>
      <w:pPr>
        <w:pBdr>
          <w:left w:val="single" w:color="1F5F6B" w:sz="24" w:space="8"/>
        </w:pBdr>
        <w:shd w:fill="E6F0F2" w:color="auto" w:val="clear"/>
        <w:spacing w:after="160" w:before="120"/>
        <w:ind w:left="160" w:right="160"/>
      </w:pPr>
      <w:r>
        <w:rPr>
          <w:b/>
          <w:bCs/>
        </w:rPr>
        <w:t xml:space="preserve">Note: </w:t>
      </w:r>
      <w:r>
        <w:t xml:space="preserve">all prices and projections are illustrative assumptions to test in the pilot. Currency is Indian Rupees (₹).</w:t>
      </w:r>
    </w:p>
    <w:p>
      <w:pPr>
        <w:pStyle w:val="Heading1"/>
        <w:spacing w:after="140" w:before="320"/>
      </w:pPr>
      <w:r>
        <w:t xml:space="preserve">1. What Changed</w:t>
      </w:r>
    </w:p>
    <w:p>
      <w:pPr>
        <w:spacing w:after="120"/>
      </w:pPr>
      <w:r>
        <w:t xml:space="preserve">The first revenue model combined a subscription with a 4% fee on charging payments made in the app. Since then we learned that residents pay the charging company directly in its own app, and decided that EVNest will not handle money at all. So:</w:t>
      </w:r>
    </w:p>
    <w:p>
      <w:pPr>
        <w:pStyle w:val="ListParagraph"/>
        <w:numPr>
          <w:ilvl w:val="0"/>
          <w:numId w:val="2"/>
        </w:numPr>
        <w:spacing w:after="70"/>
      </w:pPr>
      <w:r>
        <w:rPr>
          <w:b/>
          <w:bCs/>
        </w:rPr>
        <w:t xml:space="preserve">The 4% platform fee is gone.</w:t>
      </w:r>
      <w:r>
        <w:t xml:space="preserve"> EVNest has no share of charging spend.</w:t>
      </w:r>
    </w:p>
    <w:p>
      <w:pPr>
        <w:pStyle w:val="ListParagraph"/>
        <w:numPr>
          <w:ilvl w:val="0"/>
          <w:numId w:val="2"/>
        </w:numPr>
        <w:spacing w:after="70"/>
      </w:pPr>
      <w:r>
        <w:rPr>
          <w:b/>
          <w:bCs/>
        </w:rPr>
        <w:t xml:space="preserve">EVNest must be worth paying for as a coordination and fairness tool</w:t>
      </w:r>
      <w:r>
        <w:t xml:space="preserve">: fewer disputes, less committee time, fair access.</w:t>
      </w:r>
    </w:p>
    <w:p>
      <w:pPr>
        <w:pStyle w:val="ListParagraph"/>
        <w:numPr>
          <w:ilvl w:val="0"/>
          <w:numId w:val="2"/>
        </w:numPr>
        <w:spacing w:after="70"/>
      </w:pPr>
      <w:r>
        <w:rPr>
          <w:b/>
          <w:bCs/>
        </w:rPr>
        <w:t xml:space="preserve">The main risk moves</w:t>
      </w:r>
      <w:r>
        <w:t xml:space="preserve"> from payment regulation (now avoided) to willingness to pay: will a committee pay for fairness?</w:t>
      </w:r>
    </w:p>
    <w:p>
      <w:pPr>
        <w:pStyle w:val="Heading1"/>
        <w:spacing w:after="140" w:before="320"/>
      </w:pPr>
      <w:r>
        <w:t xml:space="preserve">2. Recommended Model</w:t>
      </w:r>
    </w:p>
    <w:p>
      <w:pPr>
        <w:pStyle w:val="Heading2"/>
        <w:spacing w:after="100" w:before="220"/>
      </w:pPr>
      <w:r>
        <w:t xml:space="preserve">2.1 Pilot: free</w:t>
      </w:r>
    </w:p>
    <w:p>
      <w:pPr>
        <w:spacing w:after="120"/>
      </w:pPr>
      <w:r>
        <w:t xml:space="preserve">No charge during the 8-week pilot. At the pilot review, ask the committee directly whether they would pay the Standard price below, and if not, why not.</w:t>
      </w:r>
    </w:p>
    <w:p>
      <w:pPr>
        <w:pStyle w:val="Heading2"/>
        <w:spacing w:after="100" w:before="220"/>
      </w:pPr>
      <w:r>
        <w:t xml:space="preserve">2.2 After the pilot: society subscription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Plan</w:t>
            </w:r>
          </w:p>
        </w:tc>
        <w:tc>
          <w:tcPr>
            <w:tcW w:type="dxa" w:w="26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Price (illustrative)</w:t>
            </w:r>
          </w:p>
        </w:tc>
        <w:tc>
          <w:tcPr>
            <w:tcW w:type="dxa" w:w="44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Includes</w:t>
            </w:r>
          </w:p>
        </w:tc>
      </w:tr>
      <w:tr>
        <w:trPr>
          <w:tblHeader w:val="off"/>
        </w:trPr>
        <w:tc>
          <w:tcPr>
            <w:tcW w:type="dxa" w:w="2000"/>
            <w:tcBorders>
              <w:top w:val="single" w:color="BFBFBF" w:sz="4"/>
              <w:left w:val="single" w:color="BFBFBF" w:sz="4"/>
              <w:bottom w:val="single" w:color="BFBFBF" w:sz="4"/>
              <w:right w:val="single" w:color="BFBFBF" w:sz="4"/>
            </w:tcBorders>
            <w:shd w:fill="E6F0F2" w:color="auto" w:val="clear"/>
            <w:tcMar>
              <w:top w:type="dxa" w:w="70"/>
              <w:left w:type="dxa" w:w="100"/>
              <w:bottom w:type="dxa" w:w="70"/>
              <w:right w:type="dxa" w:w="100"/>
            </w:tcMar>
          </w:tcPr>
          <w:p>
            <w:r>
              <w:rPr>
                <w:b w:val="false"/>
                <w:bCs w:val="false"/>
                <w:sz w:val="18"/>
                <w:szCs w:val="18"/>
              </w:rPr>
              <w:t xml:space="preserve">Standard</w:t>
            </w:r>
          </w:p>
        </w:tc>
        <w:tc>
          <w:tcPr>
            <w:tcW w:type="dxa" w:w="2600"/>
            <w:tcBorders>
              <w:top w:val="single" w:color="BFBFBF" w:sz="4"/>
              <w:left w:val="single" w:color="BFBFBF" w:sz="4"/>
              <w:bottom w:val="single" w:color="BFBFBF" w:sz="4"/>
              <w:right w:val="single" w:color="BFBFBF" w:sz="4"/>
            </w:tcBorders>
            <w:shd w:fill="E6F0F2" w:color="auto" w:val="clear"/>
            <w:tcMar>
              <w:top w:type="dxa" w:w="70"/>
              <w:left w:type="dxa" w:w="100"/>
              <w:bottom w:type="dxa" w:w="70"/>
              <w:right w:type="dxa" w:w="100"/>
            </w:tcMar>
          </w:tcPr>
          <w:p>
            <w:r>
              <w:rPr>
                <w:b w:val="false"/>
                <w:bCs w:val="false"/>
                <w:sz w:val="18"/>
                <w:szCs w:val="18"/>
              </w:rPr>
              <w:t xml:space="preserve">₹1,999 per society per month (up to 4 shared chargers)</w:t>
            </w:r>
          </w:p>
        </w:tc>
        <w:tc>
          <w:tcPr>
            <w:tcW w:type="dxa" w:w="4426"/>
            <w:tcBorders>
              <w:top w:val="single" w:color="BFBFBF" w:sz="4"/>
              <w:left w:val="single" w:color="BFBFBF" w:sz="4"/>
              <w:bottom w:val="single" w:color="BFBFBF" w:sz="4"/>
              <w:right w:val="single" w:color="BFBFBF" w:sz="4"/>
            </w:tcBorders>
            <w:shd w:fill="E6F0F2" w:color="auto" w:val="clear"/>
            <w:tcMar>
              <w:top w:type="dxa" w:w="70"/>
              <w:left w:type="dxa" w:w="100"/>
              <w:bottom w:type="dxa" w:w="70"/>
              <w:right w:type="dxa" w:w="100"/>
            </w:tcMar>
          </w:tcPr>
          <w:p>
            <w:r>
              <w:rPr>
                <w:b w:val="false"/>
                <w:bCs w:val="false"/>
                <w:sz w:val="18"/>
                <w:szCs w:val="18"/>
              </w:rPr>
              <w:t xml:space="preserve">Everything in the pilot app: queue, turns, check-in, day/night limits, overstays, still-occupied reports, admin tools, charging-time log</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Extra chargers</w:t>
            </w:r>
          </w:p>
        </w:tc>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 ₹399 per charger per month beyond 4</w:t>
            </w:r>
          </w:p>
        </w:tc>
        <w:tc>
          <w:tcPr>
            <w:tcW w:type="dxa" w:w="4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Same</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Annual</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10 × monthly (2 months free)</w:t>
            </w:r>
          </w:p>
        </w:tc>
        <w:tc>
          <w:tcPr>
            <w:tcW w:type="dxa" w:w="4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Preferred: one decision per year for the committee</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Founding society</w:t>
            </w:r>
          </w:p>
        </w:tc>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50% off year 1</w:t>
            </w:r>
          </w:p>
        </w:tc>
        <w:tc>
          <w:tcPr>
            <w:tcW w:type="dxa" w:w="4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In exchange for a case study, a testimonial and 2 referrals</w:t>
            </w:r>
          </w:p>
        </w:tc>
      </w:tr>
    </w:tbl>
    <w:p>
      <w:pPr>
        <w:spacing w:after="100"/>
      </w:pPr>
    </w:p>
    <w:p>
      <w:pPr>
        <w:spacing w:after="120"/>
      </w:pPr>
      <w:r>
        <w:rPr>
          <w:b/>
          <w:bCs/>
        </w:rPr>
        <w:t xml:space="preserve">How to justify it to a committee: </w:t>
      </w:r>
      <w:r>
        <w:t xml:space="preserve">₹1,999 per month is about ₹4 per flat in a 500-flat society, or about ₹150–250 per EV owner. Compare it with the committee’s time spent on charger complaints and the cost of one serious neighbour dispute.</w:t>
      </w:r>
    </w:p>
    <w:p>
      <w:pPr>
        <w:pStyle w:val="Heading2"/>
        <w:spacing w:after="100" w:before="220"/>
      </w:pPr>
      <w:r>
        <w:t xml:space="preserve">2.3 Fallback if a committee will not pay</w:t>
      </w:r>
    </w:p>
    <w:p>
      <w:pPr>
        <w:pStyle w:val="ListParagraph"/>
        <w:numPr>
          <w:ilvl w:val="0"/>
          <w:numId w:val="2"/>
        </w:numPr>
        <w:spacing w:after="70"/>
      </w:pPr>
      <w:r>
        <w:t xml:space="preserve">Charge EV owners directly: </w:t>
      </w:r>
      <w:r>
        <w:rPr>
          <w:b/>
          <w:bCs/>
        </w:rPr>
        <w:t xml:space="preserve">₹49 per EV owner per month</w:t>
      </w:r>
      <w:r>
        <w:t xml:space="preserve">, collected by the society with maintenance or by UPI. Use only if the committee supports the app but won’t fund it.</w:t>
      </w:r>
    </w:p>
    <w:p>
      <w:pPr>
        <w:pStyle w:val="Heading1"/>
        <w:spacing w:after="140" w:before="320"/>
      </w:pPr>
      <w:r>
        <w:t xml:space="preserve">3. Unit Economics (per society, at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Item</w:t>
            </w:r>
          </w:p>
        </w:tc>
        <w:tc>
          <w:tcPr>
            <w:tcW w:type="dxa" w:w="35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Monthly</w:t>
            </w:r>
          </w:p>
        </w:tc>
      </w:tr>
      <w:tr>
        <w:trPr>
          <w:tblHeader w:val="off"/>
        </w:trPr>
        <w:tc>
          <w:tcPr>
            <w:tcW w:type="dxa" w:w="5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Revenue (Standard plan)</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₹1,999</w:t>
            </w:r>
          </w:p>
        </w:tc>
      </w:tr>
      <w:tr>
        <w:trPr>
          <w:tblHeader w:val="off"/>
        </w:trPr>
        <w:tc>
          <w:tcPr>
            <w:tcW w:type="dxa" w:w="5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Supabase Pro share (≈ US$25 split across ~50 societies)</w:t>
            </w:r>
          </w:p>
        </w:tc>
        <w:tc>
          <w:tcPr>
            <w:tcW w:type="dxa" w:w="3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 ₹45</w:t>
            </w:r>
          </w:p>
        </w:tc>
      </w:tr>
      <w:tr>
        <w:trPr>
          <w:tblHeader w:val="off"/>
        </w:trPr>
        <w:tc>
          <w:tcPr>
            <w:tcW w:type="dxa" w:w="5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Phone OTP messages (≈ 20 residents, occasional logins)</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 ₹50 (check current Firebase rates)</w:t>
            </w:r>
          </w:p>
        </w:tc>
      </w:tr>
      <w:tr>
        <w:trPr>
          <w:tblHeader w:val="off"/>
        </w:trPr>
        <w:tc>
          <w:tcPr>
            <w:tcW w:type="dxa" w:w="5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Support and onboarding time (≈ 1 hour/month)</w:t>
            </w:r>
          </w:p>
        </w:tc>
        <w:tc>
          <w:tcPr>
            <w:tcW w:type="dxa" w:w="3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 ₹500</w:t>
            </w:r>
          </w:p>
        </w:tc>
      </w:tr>
      <w:tr>
        <w:trPr>
          <w:tblHeader w:val="off"/>
        </w:trPr>
        <w:tc>
          <w:tcPr>
            <w:tcW w:type="dxa" w:w="5500"/>
            <w:tcBorders>
              <w:top w:val="single" w:color="BFBFBF" w:sz="4"/>
              <w:left w:val="single" w:color="BFBFBF" w:sz="4"/>
              <w:bottom w:val="single" w:color="BFBFBF" w:sz="4"/>
              <w:right w:val="single" w:color="BFBFBF" w:sz="4"/>
            </w:tcBorders>
            <w:shd w:fill="E6F0F2" w:color="auto" w:val="clear"/>
            <w:tcMar>
              <w:top w:type="dxa" w:w="70"/>
              <w:left w:type="dxa" w:w="100"/>
              <w:bottom w:type="dxa" w:w="70"/>
              <w:right w:type="dxa" w:w="100"/>
            </w:tcMar>
          </w:tcPr>
          <w:p>
            <w:r>
              <w:rPr>
                <w:b/>
                <w:bCs/>
                <w:sz w:val="18"/>
                <w:szCs w:val="18"/>
              </w:rPr>
              <w:t xml:space="preserve">Contribution</w:t>
            </w:r>
          </w:p>
        </w:tc>
        <w:tc>
          <w:tcPr>
            <w:tcW w:type="dxa" w:w="3526"/>
            <w:tcBorders>
              <w:top w:val="single" w:color="BFBFBF" w:sz="4"/>
              <w:left w:val="single" w:color="BFBFBF" w:sz="4"/>
              <w:bottom w:val="single" w:color="BFBFBF" w:sz="4"/>
              <w:right w:val="single" w:color="BFBFBF" w:sz="4"/>
            </w:tcBorders>
            <w:shd w:fill="E6F0F2" w:color="auto" w:val="clear"/>
            <w:tcMar>
              <w:top w:type="dxa" w:w="70"/>
              <w:left w:type="dxa" w:w="100"/>
              <w:bottom w:type="dxa" w:w="70"/>
              <w:right w:type="dxa" w:w="100"/>
            </w:tcMar>
          </w:tcPr>
          <w:p>
            <w:r>
              <w:rPr>
                <w:b/>
                <w:bCs/>
                <w:sz w:val="18"/>
                <w:szCs w:val="18"/>
              </w:rPr>
              <w:t xml:space="preserve">≈ ₹1,400 (~70%)</w:t>
            </w:r>
          </w:p>
        </w:tc>
      </w:tr>
    </w:tbl>
    <w:p>
      <w:pPr>
        <w:spacing w:after="100"/>
      </w:pPr>
    </w:p>
    <w:p>
      <w:pPr>
        <w:spacing w:after="120"/>
      </w:pPr>
      <w:r>
        <w:t xml:space="preserve">With a single pilot society, the fixed Supabase Pro cost (about ₹2,100 per month) is carried by that one society, so the pilot runs at a loss by design. The one-time build cost (developer milestones) is not included here.</w:t>
      </w:r>
    </w:p>
    <w:p>
      <w:pPr>
        <w:pStyle w:val="Heading1"/>
        <w:spacing w:after="140" w:before="320"/>
      </w:pPr>
      <w:r>
        <w:t xml:space="preserve">4. Illustrative Projection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
            </w:r>
          </w:p>
        </w:tc>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Year 1</w:t>
            </w:r>
          </w:p>
        </w:tc>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Year 2</w:t>
            </w:r>
          </w:p>
        </w:tc>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Year 3</w:t>
            </w:r>
          </w:p>
        </w:tc>
      </w:tr>
      <w:tr>
        <w:trPr>
          <w:tblHeader w:val="off"/>
        </w:trPr>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Paying societies (year end)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10</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60</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200</w:t>
            </w:r>
          </w:p>
        </w:tc>
      </w:tr>
      <w:tr>
        <w:trPr>
          <w:tblHeader w:val="off"/>
        </w:trPr>
        <w:tc>
          <w:tcPr>
            <w:tcW w:type="dxa" w:w="3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Average revenue per society per month</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₹2,000</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₹2,200</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₹2,400</w:t>
            </w:r>
          </w:p>
        </w:tc>
      </w:tr>
      <w:tr>
        <w:trPr>
          <w:tblHeader w:val="off"/>
        </w:trPr>
        <w:tc>
          <w:tcPr>
            <w:tcW w:type="dxa" w:w="3026"/>
            <w:tcBorders>
              <w:top w:val="single" w:color="BFBFBF" w:sz="4"/>
              <w:left w:val="single" w:color="BFBFBF" w:sz="4"/>
              <w:bottom w:val="single" w:color="BFBFBF" w:sz="4"/>
              <w:right w:val="single" w:color="BFBFBF" w:sz="4"/>
            </w:tcBorders>
            <w:shd w:fill="E6F0F2" w:color="auto" w:val="clear"/>
            <w:tcMar>
              <w:top w:type="dxa" w:w="70"/>
              <w:left w:type="dxa" w:w="100"/>
              <w:bottom w:type="dxa" w:w="70"/>
              <w:right w:type="dxa" w:w="100"/>
            </w:tcMar>
          </w:tcPr>
          <w:p>
            <w:r>
              <w:rPr>
                <w:b/>
                <w:bCs/>
                <w:sz w:val="18"/>
                <w:szCs w:val="18"/>
              </w:rPr>
              <w:t xml:space="preserve">Run-rate annual revenue</w:t>
            </w:r>
          </w:p>
        </w:tc>
        <w:tc>
          <w:tcPr>
            <w:tcW w:type="dxa" w:w="2000"/>
            <w:tcBorders>
              <w:top w:val="single" w:color="BFBFBF" w:sz="4"/>
              <w:left w:val="single" w:color="BFBFBF" w:sz="4"/>
              <w:bottom w:val="single" w:color="BFBFBF" w:sz="4"/>
              <w:right w:val="single" w:color="BFBFBF" w:sz="4"/>
            </w:tcBorders>
            <w:shd w:fill="E6F0F2" w:color="auto" w:val="clear"/>
            <w:tcMar>
              <w:top w:type="dxa" w:w="70"/>
              <w:left w:type="dxa" w:w="100"/>
              <w:bottom w:type="dxa" w:w="70"/>
              <w:right w:type="dxa" w:w="100"/>
            </w:tcMar>
          </w:tcPr>
          <w:p>
            <w:r>
              <w:rPr>
                <w:b/>
                <w:bCs/>
                <w:sz w:val="18"/>
                <w:szCs w:val="18"/>
              </w:rPr>
              <w:t xml:space="preserve">≈ ₹2.4 lakh</w:t>
            </w:r>
          </w:p>
        </w:tc>
        <w:tc>
          <w:tcPr>
            <w:tcW w:type="dxa" w:w="2000"/>
            <w:tcBorders>
              <w:top w:val="single" w:color="BFBFBF" w:sz="4"/>
              <w:left w:val="single" w:color="BFBFBF" w:sz="4"/>
              <w:bottom w:val="single" w:color="BFBFBF" w:sz="4"/>
              <w:right w:val="single" w:color="BFBFBF" w:sz="4"/>
            </w:tcBorders>
            <w:shd w:fill="E6F0F2" w:color="auto" w:val="clear"/>
            <w:tcMar>
              <w:top w:type="dxa" w:w="70"/>
              <w:left w:type="dxa" w:w="100"/>
              <w:bottom w:type="dxa" w:w="70"/>
              <w:right w:type="dxa" w:w="100"/>
            </w:tcMar>
          </w:tcPr>
          <w:p>
            <w:r>
              <w:rPr>
                <w:b/>
                <w:bCs/>
                <w:sz w:val="18"/>
                <w:szCs w:val="18"/>
              </w:rPr>
              <w:t xml:space="preserve">≈ ₹15.8 lakh</w:t>
            </w:r>
          </w:p>
        </w:tc>
        <w:tc>
          <w:tcPr>
            <w:tcW w:type="dxa" w:w="2000"/>
            <w:tcBorders>
              <w:top w:val="single" w:color="BFBFBF" w:sz="4"/>
              <w:left w:val="single" w:color="BFBFBF" w:sz="4"/>
              <w:bottom w:val="single" w:color="BFBFBF" w:sz="4"/>
              <w:right w:val="single" w:color="BFBFBF" w:sz="4"/>
            </w:tcBorders>
            <w:shd w:fill="E6F0F2" w:color="auto" w:val="clear"/>
            <w:tcMar>
              <w:top w:type="dxa" w:w="70"/>
              <w:left w:type="dxa" w:w="100"/>
              <w:bottom w:type="dxa" w:w="70"/>
              <w:right w:type="dxa" w:w="100"/>
            </w:tcMar>
          </w:tcPr>
          <w:p>
            <w:r>
              <w:rPr>
                <w:b/>
                <w:bCs/>
                <w:sz w:val="18"/>
                <w:szCs w:val="18"/>
              </w:rPr>
              <w:t xml:space="preserve">≈ ₹57.6 lakh</w:t>
            </w:r>
          </w:p>
        </w:tc>
      </w:tr>
    </w:tbl>
    <w:p>
      <w:pPr>
        <w:spacing w:after="100"/>
      </w:pPr>
    </w:p>
    <w:p>
      <w:pPr>
        <w:pBdr>
          <w:left w:val="single" w:color="C98A1B" w:sz="24" w:space="8"/>
        </w:pBdr>
        <w:shd w:fill="FFF4E0" w:color="auto" w:val="clear"/>
        <w:spacing w:after="160" w:before="120"/>
        <w:ind w:left="160" w:right="160"/>
      </w:pPr>
      <w:r>
        <w:rPr>
          <w:b/>
          <w:bCs/>
        </w:rPr>
        <w:t xml:space="preserve">Be honest about the size. </w:t>
      </w:r>
      <w:r>
        <w:t xml:space="preserve">Subscription-only revenue is modest compared with the first model. Growth beyond a few hundred societies most likely comes through the partnership channels in section 5, not society-by-society sales.</w:t>
      </w:r>
    </w:p>
    <w:p>
      <w:pPr>
        <w:pStyle w:val="Heading1"/>
        <w:spacing w:after="140" w:before="320"/>
      </w:pPr>
      <w:r>
        <w:t xml:space="preserve">5. Growth Channels After the Pilot</w:t>
      </w:r>
    </w:p>
    <w:p>
      <w:pPr>
        <w:spacing w:after="120"/>
      </w:pPr>
      <w:r>
        <w:t xml:space="preserve">Only approach these with pilot data (turns taken, disputes reduced, committee quote):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Channel</w:t>
            </w:r>
          </w:p>
        </w:tc>
        <w:tc>
          <w:tcPr>
            <w:tcW w:type="dxa" w:w="33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Model</w:t>
            </w:r>
          </w:p>
        </w:tc>
        <w:tc>
          <w:tcPr>
            <w:tcW w:type="dxa" w:w="31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Why they might buy</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Charging companies (Bolt.Earth, Kazam, Statiq, Tata Power)</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Licence the fairness queue for their society chargers: ₹100–200 per charger per month, or white-label</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Societies complain to them about hogging; a fair queue raises charger use</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Society apps (MyGate, NoBrokerHood, ADDA)</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EVNest queue as an add-on; revenue share</w:t>
            </w:r>
          </w:p>
        </w:tc>
        <w:tc>
          <w:tcPr>
            <w:tcW w:type="dxa" w:w="31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They already own the society relationship and show chargers, but have no fair queue</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Builders and facility managers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Annual contract across all their properties</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One decision covers many societies</w:t>
            </w:r>
          </w:p>
        </w:tc>
      </w:tr>
    </w:tbl>
    <w:p>
      <w:pPr>
        <w:pStyle w:val="Heading1"/>
        <w:spacing w:after="140" w:before="320"/>
      </w:pPr>
      <w:r>
        <w:t xml:space="preserve">6. What We Will Not Monetise</w:t>
      </w:r>
    </w:p>
    <w:p>
      <w:pPr>
        <w:pStyle w:val="ListParagraph"/>
        <w:numPr>
          <w:ilvl w:val="0"/>
          <w:numId w:val="2"/>
        </w:numPr>
        <w:spacing w:after="70"/>
      </w:pPr>
      <w:r>
        <w:t xml:space="preserve">Paid priority in the queue: it would destroy the fairness promise.</w:t>
      </w:r>
    </w:p>
    <w:p>
      <w:pPr>
        <w:pStyle w:val="ListParagraph"/>
        <w:numPr>
          <w:ilvl w:val="0"/>
          <w:numId w:val="2"/>
        </w:numPr>
        <w:spacing w:after="70"/>
      </w:pPr>
      <w:r>
        <w:t xml:space="preserve">Payments or fees on charging: residents already pay the charging company; handling money brings regulation and disputes.</w:t>
      </w:r>
    </w:p>
    <w:p>
      <w:pPr>
        <w:pStyle w:val="ListParagraph"/>
        <w:numPr>
          <w:ilvl w:val="0"/>
          <w:numId w:val="2"/>
        </w:numPr>
        <w:spacing w:after="70"/>
      </w:pPr>
      <w:r>
        <w:t xml:space="preserve">Selling residents’ data: location and usage are collected only for fairness, with consent.</w:t>
      </w:r>
    </w:p>
    <w:p>
      <w:pPr>
        <w:pStyle w:val="Heading1"/>
        <w:spacing w:after="140" w:before="320"/>
      </w:pPr>
      <w:r>
        <w:t xml:space="preserve">7. Questions for the Pilot Review</w:t>
      </w:r>
    </w:p>
    <w:p>
      <w:pPr>
        <w:pStyle w:val="ListParagraph"/>
        <w:numPr>
          <w:ilvl w:val="0"/>
          <w:numId w:val="3"/>
        </w:numPr>
        <w:spacing w:after="70"/>
      </w:pPr>
      <w:r>
        <w:t xml:space="preserve">Would the committee pay ₹1,999 per month (or ₹19,990 per year)? If not, what price or what missing feature?</w:t>
      </w:r>
    </w:p>
    <w:p>
      <w:pPr>
        <w:pStyle w:val="ListParagraph"/>
        <w:numPr>
          <w:ilvl w:val="0"/>
          <w:numId w:val="3"/>
        </w:numPr>
        <w:spacing w:after="70"/>
      </w:pPr>
      <w:r>
        <w:t xml:space="preserve">Would they rather the charging company or the society app provide this?</w:t>
      </w:r>
    </w:p>
    <w:p>
      <w:pPr>
        <w:pStyle w:val="ListParagraph"/>
        <w:numPr>
          <w:ilvl w:val="0"/>
          <w:numId w:val="3"/>
        </w:numPr>
        <w:spacing w:after="70"/>
      </w:pPr>
      <w:r>
        <w:t xml:space="preserve">How much committee time did charger issues take before and during the pilot?</w:t>
      </w:r>
    </w:p>
    <w:p>
      <w:pPr>
        <w:pStyle w:val="ListParagraph"/>
        <w:numPr>
          <w:ilvl w:val="0"/>
          <w:numId w:val="3"/>
        </w:numPr>
        <w:spacing w:after="70"/>
      </w:pPr>
      <w:r>
        <w:t xml:space="preserve">Would EV owners pay ₹49 per month themselves if the committee doesn’t?</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EVNest — Revenue Model v2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5F6B"/>
      <w:sz w:val="30"/>
      <w:szCs w:val="30"/>
    </w:rPr>
  </w:style>
  <w:style w:type="paragraph" w:styleId="Heading2">
    <w:name w:val="Heading 2"/>
    <w:basedOn w:val="Normal"/>
    <w:next w:val="Normal"/>
    <w:qFormat/>
    <w:rPr>
      <w:b/>
      <w:bCs/>
      <w:color w:val="333333"/>
      <w:sz w:val="24"/>
      <w:szCs w:val="24"/>
    </w:rPr>
  </w:style>
  <w:style w:type="paragraph" w:styleId="Heading3">
    <w:name w:val="Heading 3"/>
    <w:basedOn w:val="Normal"/>
    <w:next w:val="Normal"/>
    <w:qFormat/>
    <w:rPr>
      <w:b/>
      <w:bCs/>
      <w:color w:val="1F5F6B"/>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EVNest — Revenue Model v2</dc:title>
  <dc:creator>EVNest</dc:creator>
  <cp:lastModifiedBy>Un-named</cp:lastModifiedBy>
  <cp:revision>1</cp:revision>
  <dcterms:created xsi:type="dcterms:W3CDTF">2026-09-30T05:40:29.609Z</dcterms:created>
  <dcterms:modified xsi:type="dcterms:W3CDTF">2026-09-30T05:40:29.609Z</dcterms:modified>
</cp:coreProperties>
</file>

<file path=docProps/custom.xml><?xml version="1.0" encoding="utf-8"?>
<Properties xmlns="http://schemas.openxmlformats.org/officeDocument/2006/custom-properties" xmlns:vt="http://schemas.openxmlformats.org/officeDocument/2006/docPropsVTypes"/>
</file>