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5F6B"/>
          <w:sz w:val="56"/>
          <w:szCs w:val="56"/>
        </w:rPr>
        <w:t xml:space="preserve">EVNest</w:t>
      </w:r>
    </w:p>
    <w:p>
      <w:pPr>
        <w:spacing w:after="60"/>
      </w:pPr>
      <w:r>
        <w:rPr>
          <w:color w:val="333333"/>
          <w:sz w:val="36"/>
          <w:szCs w:val="36"/>
        </w:rPr>
        <w:t xml:space="preserve">Revenue Model</w:t>
      </w:r>
    </w:p>
    <w:p>
      <w:pPr>
        <w:pBdr>
          <w:bottom w:val="single" w:color="1F5F6B" w:sz="8" w:space="6"/>
        </w:pBdr>
        <w:spacing w:after="240"/>
      </w:pPr>
      <w:r>
        <w:rPr>
          <w:i/>
          <w:iCs/>
          <w:color w:val="555555"/>
        </w:rPr>
        <w:t xml:space="preserve">Smart EV Charging Management for Residential Communities  ·  Proposal draft, September 2026</w:t>
      </w:r>
    </w:p>
    <w:p>
      <w:pPr>
        <w:pBdr>
          <w:left w:val="single" w:color="1F5F6B" w:sz="24" w:space="8"/>
        </w:pBdr>
        <w:shd w:fill="E6F0F2" w:color="auto" w:val="clear"/>
        <w:spacing w:after="160" w:before="120"/>
        <w:ind w:left="160" w:right="160"/>
      </w:pPr>
      <w:r>
        <w:rPr>
          <w:b/>
          <w:bCs/>
        </w:rPr>
        <w:t xml:space="preserve">Note: </w:t>
      </w:r>
      <w:r>
        <w:t xml:space="preserve">All prices, volumes and projections in this document are illustrative assumptions, to be validated during the society pilot. They are not market data. Currency is Indian Rupees (₹).</w:t>
      </w:r>
    </w:p>
    <w:p>
      <w:pPr>
        <w:pStyle w:val="Heading1"/>
        <w:spacing w:after="140" w:before="320"/>
      </w:pPr>
      <w:r>
        <w:t xml:space="preserve">1. Summary</w:t>
      </w:r>
    </w:p>
    <w:p>
      <w:pPr>
        <w:spacing w:after="120"/>
      </w:pPr>
      <w:r>
        <w:t xml:space="preserve">EVNest is a software platform that lets residential societies run shared EV chargers fairly and with little manual work. The society owns the chargers and sets the charging rate. Residents book, queue, check in and pay through the app. EVNest provides the platform, automation, records and analytics.</w:t>
      </w:r>
    </w:p>
    <w:p>
      <w:pPr>
        <w:spacing w:after="120"/>
      </w:pPr>
      <w:r>
        <w:t xml:space="preserve">The recommended revenue model is a </w:t>
      </w:r>
      <w:r>
        <w:rPr>
          <w:b/>
          <w:bCs/>
        </w:rPr>
        <w:t xml:space="preserve">hybrid</w:t>
      </w:r>
      <w:r>
        <w:t xml:space="preserve">: a small monthly subscription per charger paid by the society, plus a </w:t>
      </w:r>
      <w:r>
        <w:rPr>
          <w:b/>
          <w:bCs/>
        </w:rPr>
        <w:t xml:space="preserve">4% platform fee</w:t>
      </w:r>
      <w:r>
        <w:t xml:space="preserve"> on charging payments made through the app. The subscription gives EVNest predictable income. The platform fee lets revenue grow as EV ownership and charger usage in each society increase.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BFBFBF" w:sz="4"/>
              <w:left w:val="single" w:color="BFBFBF" w:sz="4"/>
              <w:bottom w:val="single" w:color="BFBFBF" w:sz="4"/>
              <w:right w:val="single" w:color="BFBFBF" w:sz="4"/>
            </w:tcBorders>
            <w:shd w:fill="1F5F6B" w:color="auto" w:val="clear"/>
            <w:tcMar>
              <w:top w:type="dxa" w:w="80"/>
              <w:left w:type="dxa" w:w="110"/>
              <w:bottom w:type="dxa" w:w="80"/>
              <w:right w:type="dxa" w:w="110"/>
            </w:tcMar>
          </w:tcPr>
          <w:p>
            <w:r>
              <w:rPr>
                <w:b/>
                <w:bCs/>
                <w:color w:val="FFFFFF"/>
                <w:sz w:val="19"/>
                <w:szCs w:val="19"/>
              </w:rPr>
              <w:t xml:space="preserve">Headline metric</w:t>
            </w:r>
          </w:p>
        </w:tc>
        <w:tc>
          <w:tcPr>
            <w:tcW w:type="dxa" w:w="4513"/>
            <w:tcBorders>
              <w:top w:val="single" w:color="BFBFBF" w:sz="4"/>
              <w:left w:val="single" w:color="BFBFBF" w:sz="4"/>
              <w:bottom w:val="single" w:color="BFBFBF" w:sz="4"/>
              <w:right w:val="single" w:color="BFBFBF" w:sz="4"/>
            </w:tcBorders>
            <w:shd w:fill="1F5F6B" w:color="auto" w:val="clear"/>
            <w:tcMar>
              <w:top w:type="dxa" w:w="80"/>
              <w:left w:type="dxa" w:w="110"/>
              <w:bottom w:type="dxa" w:w="80"/>
              <w:right w:type="dxa" w:w="110"/>
            </w:tcMar>
          </w:tcPr>
          <w:p>
            <w:r>
              <w:rPr>
                <w:b/>
                <w:bCs/>
                <w:color w:val="FFFFFF"/>
                <w:sz w:val="19"/>
                <w:szCs w:val="19"/>
              </w:rPr>
              <w:t xml:space="preserve">Illustrative value</w:t>
            </w:r>
          </w:p>
        </w:tc>
      </w:tr>
      <w:tr>
        <w:trPr>
          <w:tblHeader w:val="off"/>
        </w:trPr>
        <w:tc>
          <w:tcPr>
            <w:tcW w:type="dxa" w:w="4513"/>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19"/>
                <w:szCs w:val="19"/>
              </w:rPr>
              <w:t xml:space="preserve">Revenue per mid-size society (6 chargers)</w:t>
            </w:r>
          </w:p>
        </w:tc>
        <w:tc>
          <w:tcPr>
            <w:tcW w:type="dxa" w:w="4513"/>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19"/>
                <w:szCs w:val="19"/>
              </w:rPr>
              <w:t xml:space="preserve">≈ ₹7,480 per month  (≈ ₹90,000 per year)</w:t>
            </w:r>
          </w:p>
        </w:tc>
      </w:tr>
      <w:tr>
        <w:trPr>
          <w:tblHeader w:val="off"/>
        </w:trPr>
        <w:tc>
          <w:tcPr>
            <w:tcW w:type="dxa" w:w="4513"/>
            <w:tcBorders>
              <w:top w:val="single" w:color="BFBFBF" w:sz="4"/>
              <w:left w:val="single" w:color="BFBFBF" w:sz="4"/>
              <w:bottom w:val="single" w:color="BFBFBF" w:sz="4"/>
              <w:right w:val="single" w:color="BFBFBF" w:sz="4"/>
            </w:tcBorders>
            <w:shd w:fill="F4F4F4" w:color="auto" w:val="clear"/>
            <w:tcMar>
              <w:top w:type="dxa" w:w="80"/>
              <w:left w:type="dxa" w:w="110"/>
              <w:bottom w:type="dxa" w:w="80"/>
              <w:right w:type="dxa" w:w="110"/>
            </w:tcMar>
          </w:tcPr>
          <w:p>
            <w:r>
              <w:rPr>
                <w:b w:val="false"/>
                <w:bCs w:val="false"/>
                <w:sz w:val="19"/>
                <w:szCs w:val="19"/>
              </w:rPr>
              <w:t xml:space="preserve">Contribution margin per society</w:t>
            </w:r>
          </w:p>
        </w:tc>
        <w:tc>
          <w:tcPr>
            <w:tcW w:type="dxa" w:w="4513"/>
            <w:tcBorders>
              <w:top w:val="single" w:color="BFBFBF" w:sz="4"/>
              <w:left w:val="single" w:color="BFBFBF" w:sz="4"/>
              <w:bottom w:val="single" w:color="BFBFBF" w:sz="4"/>
              <w:right w:val="single" w:color="BFBFBF" w:sz="4"/>
            </w:tcBorders>
            <w:shd w:fill="F4F4F4" w:color="auto" w:val="clear"/>
            <w:tcMar>
              <w:top w:type="dxa" w:w="80"/>
              <w:left w:type="dxa" w:w="110"/>
              <w:bottom w:type="dxa" w:w="80"/>
              <w:right w:type="dxa" w:w="110"/>
            </w:tcMar>
          </w:tcPr>
          <w:p>
            <w:r>
              <w:rPr>
                <w:b w:val="false"/>
                <w:bCs w:val="false"/>
                <w:sz w:val="19"/>
                <w:szCs w:val="19"/>
              </w:rPr>
              <w:t xml:space="preserve">≈ 73%</w:t>
            </w:r>
          </w:p>
        </w:tc>
      </w:tr>
      <w:tr>
        <w:trPr>
          <w:tblHeader w:val="off"/>
        </w:trPr>
        <w:tc>
          <w:tcPr>
            <w:tcW w:type="dxa" w:w="4513"/>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19"/>
                <w:szCs w:val="19"/>
              </w:rPr>
              <w:t xml:space="preserve">Cost to a 500-flat society (subscription only)</w:t>
            </w:r>
          </w:p>
        </w:tc>
        <w:tc>
          <w:tcPr>
            <w:tcW w:type="dxa" w:w="4513"/>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19"/>
                <w:szCs w:val="19"/>
              </w:rPr>
              <w:t xml:space="preserve">≈ ₹7 per flat per month</w:t>
            </w:r>
          </w:p>
        </w:tc>
      </w:tr>
      <w:tr>
        <w:trPr>
          <w:tblHeader w:val="off"/>
        </w:trPr>
        <w:tc>
          <w:tcPr>
            <w:tcW w:type="dxa" w:w="4513"/>
            <w:tcBorders>
              <w:top w:val="single" w:color="BFBFBF" w:sz="4"/>
              <w:left w:val="single" w:color="BFBFBF" w:sz="4"/>
              <w:bottom w:val="single" w:color="BFBFBF" w:sz="4"/>
              <w:right w:val="single" w:color="BFBFBF" w:sz="4"/>
            </w:tcBorders>
            <w:shd w:fill="F4F4F4" w:color="auto" w:val="clear"/>
            <w:tcMar>
              <w:top w:type="dxa" w:w="80"/>
              <w:left w:type="dxa" w:w="110"/>
              <w:bottom w:type="dxa" w:w="80"/>
              <w:right w:type="dxa" w:w="110"/>
            </w:tcMar>
          </w:tcPr>
          <w:p>
            <w:r>
              <w:rPr>
                <w:b w:val="false"/>
                <w:bCs w:val="false"/>
                <w:sz w:val="19"/>
                <w:szCs w:val="19"/>
              </w:rPr>
              <w:t xml:space="preserve">Run-rate ARR, Year 3 (250 societies)</w:t>
            </w:r>
          </w:p>
        </w:tc>
        <w:tc>
          <w:tcPr>
            <w:tcW w:type="dxa" w:w="4513"/>
            <w:tcBorders>
              <w:top w:val="single" w:color="BFBFBF" w:sz="4"/>
              <w:left w:val="single" w:color="BFBFBF" w:sz="4"/>
              <w:bottom w:val="single" w:color="BFBFBF" w:sz="4"/>
              <w:right w:val="single" w:color="BFBFBF" w:sz="4"/>
            </w:tcBorders>
            <w:shd w:fill="F4F4F4" w:color="auto" w:val="clear"/>
            <w:tcMar>
              <w:top w:type="dxa" w:w="80"/>
              <w:left w:type="dxa" w:w="110"/>
              <w:bottom w:type="dxa" w:w="80"/>
              <w:right w:type="dxa" w:w="110"/>
            </w:tcMar>
          </w:tcPr>
          <w:p>
            <w:r>
              <w:rPr>
                <w:b w:val="false"/>
                <w:bCs w:val="false"/>
                <w:sz w:val="19"/>
                <w:szCs w:val="19"/>
              </w:rPr>
              <w:t xml:space="preserve">≈ ₹2.7 crore</w:t>
            </w:r>
          </w:p>
        </w:tc>
      </w:tr>
    </w:tbl>
    <w:p>
      <w:pPr>
        <w:pStyle w:val="Heading1"/>
        <w:spacing w:after="140" w:before="320"/>
      </w:pPr>
      <w:r>
        <w:t xml:space="preserve">2. Product Overview</w:t>
      </w:r>
    </w:p>
    <w:p>
      <w:pPr>
        <w:spacing w:after="120"/>
      </w:pPr>
      <w:r>
        <w:t xml:space="preserve">Summarised from the EVNest society presentation:</w:t>
      </w:r>
    </w:p>
    <w:p>
      <w:pPr>
        <w:pStyle w:val="Heading2"/>
        <w:spacing w:after="100" w:before="220"/>
      </w:pPr>
      <w:r>
        <w:t xml:space="preserve">Problems addressed</w:t>
      </w:r>
    </w:p>
    <w:p>
      <w:pPr>
        <w:pStyle w:val="ListParagraph"/>
        <w:numPr>
          <w:ilvl w:val="0"/>
          <w:numId w:val="2"/>
        </w:numPr>
        <w:spacing w:after="80"/>
      </w:pPr>
      <w:r>
        <w:t xml:space="preserve">Limited charger availability causes booking conflicts between neighbours.</w:t>
      </w:r>
    </w:p>
    <w:p>
      <w:pPr>
        <w:pStyle w:val="ListParagraph"/>
        <w:numPr>
          <w:ilvl w:val="0"/>
          <w:numId w:val="2"/>
        </w:numPr>
        <w:spacing w:after="80"/>
      </w:pPr>
      <w:r>
        <w:t xml:space="preserve">Manual tracking of charging and billing is error-prone for society admins.</w:t>
      </w:r>
    </w:p>
    <w:p>
      <w:pPr>
        <w:pStyle w:val="ListParagraph"/>
        <w:numPr>
          <w:ilvl w:val="0"/>
          <w:numId w:val="2"/>
        </w:numPr>
        <w:spacing w:after="80"/>
      </w:pPr>
      <w:r>
        <w:t xml:space="preserve">Remote “hoarding” blocks chargers without any accountability.</w:t>
      </w:r>
    </w:p>
    <w:p>
      <w:pPr>
        <w:pStyle w:val="Heading2"/>
        <w:spacing w:after="100" w:before="220"/>
      </w:pPr>
      <w:r>
        <w:t xml:space="preserve">How it works</w:t>
      </w:r>
    </w:p>
    <w:p>
      <w:pPr>
        <w:pStyle w:val="ListParagraph"/>
        <w:numPr>
          <w:ilvl w:val="0"/>
          <w:numId w:val="3"/>
        </w:numPr>
        <w:spacing w:after="80"/>
      </w:pPr>
      <w:r>
        <w:rPr>
          <w:b/>
          <w:bCs/>
        </w:rPr>
        <w:t xml:space="preserve">Register: </w:t>
      </w:r>
      <w:r>
        <w:t xml:space="preserve">residents join with a unique society code and flat details. A society admin must approve each account.</w:t>
      </w:r>
    </w:p>
    <w:p>
      <w:pPr>
        <w:pStyle w:val="ListParagraph"/>
        <w:numPr>
          <w:ilvl w:val="0"/>
          <w:numId w:val="3"/>
        </w:numPr>
        <w:spacing w:after="80"/>
      </w:pPr>
      <w:r>
        <w:rPr>
          <w:b/>
          <w:bCs/>
        </w:rPr>
        <w:t xml:space="preserve">Match and book: </w:t>
      </w:r>
      <w:r>
        <w:t xml:space="preserve">chargers are filtered by vehicle connector type, with real-time availability on a map or list.</w:t>
      </w:r>
    </w:p>
    <w:p>
      <w:pPr>
        <w:pStyle w:val="ListParagraph"/>
        <w:numPr>
          <w:ilvl w:val="0"/>
          <w:numId w:val="3"/>
        </w:numPr>
        <w:spacing w:after="80"/>
      </w:pPr>
      <w:r>
        <w:rPr>
          <w:b/>
          <w:bCs/>
        </w:rPr>
        <w:t xml:space="preserve">Fair queue: </w:t>
      </w:r>
      <w:r>
        <w:t xml:space="preserve">when a charger frees up, the next resident gets a push notification and has 10 minutes to claim it, or it passes to the next person.</w:t>
      </w:r>
    </w:p>
    <w:p>
      <w:pPr>
        <w:pStyle w:val="ListParagraph"/>
        <w:numPr>
          <w:ilvl w:val="0"/>
          <w:numId w:val="3"/>
        </w:numPr>
        <w:spacing w:after="80"/>
      </w:pPr>
      <w:r>
        <w:rPr>
          <w:b/>
          <w:bCs/>
        </w:rPr>
        <w:t xml:space="preserve">Double-lock check-in: </w:t>
      </w:r>
      <w:r>
        <w:t xml:space="preserve">QR scan plus GPS proximity within a 10-minute arrival window, which prevents remote fake check-ins.</w:t>
      </w:r>
    </w:p>
    <w:p>
      <w:pPr>
        <w:pStyle w:val="ListParagraph"/>
        <w:numPr>
          <w:ilvl w:val="0"/>
          <w:numId w:val="3"/>
        </w:numPr>
        <w:spacing w:after="80"/>
      </w:pPr>
      <w:r>
        <w:rPr>
          <w:b/>
          <w:bCs/>
        </w:rPr>
        <w:t xml:space="preserve">Charge and pay: </w:t>
      </w:r>
      <w:r>
        <w:t xml:space="preserve">live session timer, checkout with the same QR and GPS scan, and automatic settlement from a wallet at the society’s configured rate.</w:t>
      </w:r>
    </w:p>
    <w:p>
      <w:pPr>
        <w:pStyle w:val="Heading2"/>
        <w:spacing w:after="100" w:before="220"/>
      </w:pPr>
      <w:r>
        <w:t xml:space="preserve">Stakeholders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513"/>
        <w:gridCol w:w="3513"/>
      </w:tblGrid>
      <w:tr>
        <w:trPr>
          <w:tblHeader/>
        </w:trPr>
        <w:tc>
          <w:tcPr>
            <w:tcW w:type="dxa" w:w="2000"/>
            <w:tcBorders>
              <w:top w:val="single" w:color="BFBFBF" w:sz="4"/>
              <w:left w:val="single" w:color="BFBFBF" w:sz="4"/>
              <w:bottom w:val="single" w:color="BFBFBF" w:sz="4"/>
              <w:right w:val="single" w:color="BFBFBF" w:sz="4"/>
            </w:tcBorders>
            <w:shd w:fill="1F5F6B" w:color="auto" w:val="clear"/>
            <w:tcMar>
              <w:top w:type="dxa" w:w="80"/>
              <w:left w:type="dxa" w:w="110"/>
              <w:bottom w:type="dxa" w:w="80"/>
              <w:right w:type="dxa" w:w="110"/>
            </w:tcMar>
          </w:tcPr>
          <w:p>
            <w:r>
              <w:rPr>
                <w:b/>
                <w:bCs/>
                <w:color w:val="FFFFFF"/>
                <w:sz w:val="19"/>
                <w:szCs w:val="19"/>
              </w:rPr>
              <w:t xml:space="preserve">Party</w:t>
            </w:r>
          </w:p>
        </w:tc>
        <w:tc>
          <w:tcPr>
            <w:tcW w:type="dxa" w:w="3513"/>
            <w:tcBorders>
              <w:top w:val="single" w:color="BFBFBF" w:sz="4"/>
              <w:left w:val="single" w:color="BFBFBF" w:sz="4"/>
              <w:bottom w:val="single" w:color="BFBFBF" w:sz="4"/>
              <w:right w:val="single" w:color="BFBFBF" w:sz="4"/>
            </w:tcBorders>
            <w:shd w:fill="1F5F6B" w:color="auto" w:val="clear"/>
            <w:tcMar>
              <w:top w:type="dxa" w:w="80"/>
              <w:left w:type="dxa" w:w="110"/>
              <w:bottom w:type="dxa" w:w="80"/>
              <w:right w:type="dxa" w:w="110"/>
            </w:tcMar>
          </w:tcPr>
          <w:p>
            <w:r>
              <w:rPr>
                <w:b/>
                <w:bCs/>
                <w:color w:val="FFFFFF"/>
                <w:sz w:val="19"/>
                <w:szCs w:val="19"/>
              </w:rPr>
              <w:t xml:space="preserve">Role</w:t>
            </w:r>
          </w:p>
        </w:tc>
        <w:tc>
          <w:tcPr>
            <w:tcW w:type="dxa" w:w="3513"/>
            <w:tcBorders>
              <w:top w:val="single" w:color="BFBFBF" w:sz="4"/>
              <w:left w:val="single" w:color="BFBFBF" w:sz="4"/>
              <w:bottom w:val="single" w:color="BFBFBF" w:sz="4"/>
              <w:right w:val="single" w:color="BFBFBF" w:sz="4"/>
            </w:tcBorders>
            <w:shd w:fill="1F5F6B" w:color="auto" w:val="clear"/>
            <w:tcMar>
              <w:top w:type="dxa" w:w="80"/>
              <w:left w:type="dxa" w:w="110"/>
              <w:bottom w:type="dxa" w:w="80"/>
              <w:right w:type="dxa" w:w="110"/>
            </w:tcMar>
          </w:tcPr>
          <w:p>
            <w:r>
              <w:rPr>
                <w:b/>
                <w:bCs/>
                <w:color w:val="FFFFFF"/>
                <w:sz w:val="19"/>
                <w:szCs w:val="19"/>
              </w:rPr>
              <w:t xml:space="preserve">Value received</w:t>
            </w:r>
          </w:p>
        </w:tc>
      </w:tr>
      <w:tr>
        <w:trPr>
          <w:tblHeader w:val="off"/>
        </w:trPr>
        <w:tc>
          <w:tcPr>
            <w:tcW w:type="dxa" w:w="20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19"/>
                <w:szCs w:val="19"/>
              </w:rPr>
              <w:t xml:space="preserve">Society</w:t>
            </w:r>
          </w:p>
        </w:tc>
        <w:tc>
          <w:tcPr>
            <w:tcW w:type="dxa" w:w="3513"/>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19"/>
                <w:szCs w:val="19"/>
              </w:rPr>
              <w:t xml:space="preserve">Owns and manages chargers; defines rules and rates</w:t>
            </w:r>
          </w:p>
        </w:tc>
        <w:tc>
          <w:tcPr>
            <w:tcW w:type="dxa" w:w="3513"/>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19"/>
                <w:szCs w:val="19"/>
              </w:rPr>
              <w:t xml:space="preserve">Less manual coordination, fewer disputes, usage visibility, better use of existing chargers</w:t>
            </w:r>
          </w:p>
        </w:tc>
      </w:tr>
      <w:tr>
        <w:trPr>
          <w:tblHeader w:val="off"/>
        </w:trPr>
        <w:tc>
          <w:tcPr>
            <w:tcW w:type="dxa" w:w="2000"/>
            <w:tcBorders>
              <w:top w:val="single" w:color="BFBFBF" w:sz="4"/>
              <w:left w:val="single" w:color="BFBFBF" w:sz="4"/>
              <w:bottom w:val="single" w:color="BFBFBF" w:sz="4"/>
              <w:right w:val="single" w:color="BFBFBF" w:sz="4"/>
            </w:tcBorders>
            <w:shd w:fill="F4F4F4" w:color="auto" w:val="clear"/>
            <w:tcMar>
              <w:top w:type="dxa" w:w="80"/>
              <w:left w:type="dxa" w:w="110"/>
              <w:bottom w:type="dxa" w:w="80"/>
              <w:right w:type="dxa" w:w="110"/>
            </w:tcMar>
          </w:tcPr>
          <w:p>
            <w:r>
              <w:rPr>
                <w:b w:val="false"/>
                <w:bCs w:val="false"/>
                <w:sz w:val="19"/>
                <w:szCs w:val="19"/>
              </w:rPr>
              <w:t xml:space="preserve">Residents</w:t>
            </w:r>
          </w:p>
        </w:tc>
        <w:tc>
          <w:tcPr>
            <w:tcW w:type="dxa" w:w="3513"/>
            <w:tcBorders>
              <w:top w:val="single" w:color="BFBFBF" w:sz="4"/>
              <w:left w:val="single" w:color="BFBFBF" w:sz="4"/>
              <w:bottom w:val="single" w:color="BFBFBF" w:sz="4"/>
              <w:right w:val="single" w:color="BFBFBF" w:sz="4"/>
            </w:tcBorders>
            <w:shd w:fill="F4F4F4" w:color="auto" w:val="clear"/>
            <w:tcMar>
              <w:top w:type="dxa" w:w="80"/>
              <w:left w:type="dxa" w:w="110"/>
              <w:bottom w:type="dxa" w:w="80"/>
              <w:right w:type="dxa" w:w="110"/>
            </w:tcMar>
          </w:tcPr>
          <w:p>
            <w:r>
              <w:rPr>
                <w:b w:val="false"/>
                <w:bCs w:val="false"/>
                <w:sz w:val="19"/>
                <w:szCs w:val="19"/>
              </w:rPr>
              <w:t xml:space="preserve">Book, queue, check in, pay per policy</w:t>
            </w:r>
          </w:p>
        </w:tc>
        <w:tc>
          <w:tcPr>
            <w:tcW w:type="dxa" w:w="3513"/>
            <w:tcBorders>
              <w:top w:val="single" w:color="BFBFBF" w:sz="4"/>
              <w:left w:val="single" w:color="BFBFBF" w:sz="4"/>
              <w:bottom w:val="single" w:color="BFBFBF" w:sz="4"/>
              <w:right w:val="single" w:color="BFBFBF" w:sz="4"/>
            </w:tcBorders>
            <w:shd w:fill="F4F4F4" w:color="auto" w:val="clear"/>
            <w:tcMar>
              <w:top w:type="dxa" w:w="80"/>
              <w:left w:type="dxa" w:w="110"/>
              <w:bottom w:type="dxa" w:w="80"/>
              <w:right w:type="dxa" w:w="110"/>
            </w:tcMar>
          </w:tcPr>
          <w:p>
            <w:r>
              <w:rPr>
                <w:b w:val="false"/>
                <w:bCs w:val="false"/>
                <w:sz w:val="19"/>
                <w:szCs w:val="19"/>
              </w:rPr>
              <w:t xml:space="preserve">Simple booking, fair queues, clear session status, transparent payments</w:t>
            </w:r>
          </w:p>
        </w:tc>
      </w:tr>
      <w:tr>
        <w:trPr>
          <w:tblHeader w:val="off"/>
        </w:trPr>
        <w:tc>
          <w:tcPr>
            <w:tcW w:type="dxa" w:w="20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19"/>
                <w:szCs w:val="19"/>
              </w:rPr>
              <w:t xml:space="preserve">EVNest</w:t>
            </w:r>
          </w:p>
        </w:tc>
        <w:tc>
          <w:tcPr>
            <w:tcW w:type="dxa" w:w="3513"/>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19"/>
                <w:szCs w:val="19"/>
              </w:rPr>
              <w:t xml:space="preserve">Provides the platform (Super Admin)</w:t>
            </w:r>
          </w:p>
        </w:tc>
        <w:tc>
          <w:tcPr>
            <w:tcW w:type="dxa" w:w="3513"/>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19"/>
                <w:szCs w:val="19"/>
              </w:rPr>
              <w:t xml:space="preserve">Recurring software revenue that scales across many societies</w:t>
            </w:r>
          </w:p>
        </w:tc>
      </w:tr>
    </w:tbl>
    <w:p>
      <w:pPr>
        <w:pStyle w:val="Heading1"/>
        <w:spacing w:after="140" w:before="320"/>
      </w:pPr>
      <w:r>
        <w:t xml:space="preserve">3. Recommended Pricing</w:t>
      </w:r>
    </w:p>
    <w:p>
      <w:pPr>
        <w:spacing w:after="120"/>
      </w:pPr>
      <w:r>
        <w:t xml:space="preserve">EVNest does not own chargers or sell electricity, so it earns from two things: a predictable software fee from the society, which pays for the admin and operations value, and a small share of charging payments processed in the app, which grows with usage.</w:t>
      </w:r>
    </w:p>
    <w:p>
      <w:pPr>
        <w:pStyle w:val="Heading2"/>
        <w:spacing w:after="100" w:before="220"/>
      </w:pPr>
      <w:r>
        <w:t xml:space="preserve">3.1 Pricing tiers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2300"/>
        <w:gridCol w:w="3326"/>
        <w:gridCol w:w="1900"/>
      </w:tblGrid>
      <w:tr>
        <w:trPr>
          <w:tblHeader/>
        </w:trPr>
        <w:tc>
          <w:tcPr>
            <w:tcW w:type="dxa" w:w="1500"/>
            <w:tcBorders>
              <w:top w:val="single" w:color="BFBFBF" w:sz="4"/>
              <w:left w:val="single" w:color="BFBFBF" w:sz="4"/>
              <w:bottom w:val="single" w:color="BFBFBF" w:sz="4"/>
              <w:right w:val="single" w:color="BFBFBF" w:sz="4"/>
            </w:tcBorders>
            <w:shd w:fill="1F5F6B" w:color="auto" w:val="clear"/>
            <w:tcMar>
              <w:top w:type="dxa" w:w="80"/>
              <w:left w:type="dxa" w:w="110"/>
              <w:bottom w:type="dxa" w:w="80"/>
              <w:right w:type="dxa" w:w="110"/>
            </w:tcMar>
          </w:tcPr>
          <w:p>
            <w:r>
              <w:rPr>
                <w:b/>
                <w:bCs/>
                <w:color w:val="FFFFFF"/>
                <w:sz w:val="19"/>
                <w:szCs w:val="19"/>
              </w:rPr>
              <w:t xml:space="preserve">Tier</w:t>
            </w:r>
          </w:p>
        </w:tc>
        <w:tc>
          <w:tcPr>
            <w:tcW w:type="dxa" w:w="2300"/>
            <w:tcBorders>
              <w:top w:val="single" w:color="BFBFBF" w:sz="4"/>
              <w:left w:val="single" w:color="BFBFBF" w:sz="4"/>
              <w:bottom w:val="single" w:color="BFBFBF" w:sz="4"/>
              <w:right w:val="single" w:color="BFBFBF" w:sz="4"/>
            </w:tcBorders>
            <w:shd w:fill="1F5F6B" w:color="auto" w:val="clear"/>
            <w:tcMar>
              <w:top w:type="dxa" w:w="80"/>
              <w:left w:type="dxa" w:w="110"/>
              <w:bottom w:type="dxa" w:w="80"/>
              <w:right w:type="dxa" w:w="110"/>
            </w:tcMar>
          </w:tcPr>
          <w:p>
            <w:r>
              <w:rPr>
                <w:b/>
                <w:bCs/>
                <w:color w:val="FFFFFF"/>
                <w:sz w:val="19"/>
                <w:szCs w:val="19"/>
              </w:rPr>
              <w:t xml:space="preserve">Price</w:t>
            </w:r>
          </w:p>
        </w:tc>
        <w:tc>
          <w:tcPr>
            <w:tcW w:type="dxa" w:w="3326"/>
            <w:tcBorders>
              <w:top w:val="single" w:color="BFBFBF" w:sz="4"/>
              <w:left w:val="single" w:color="BFBFBF" w:sz="4"/>
              <w:bottom w:val="single" w:color="BFBFBF" w:sz="4"/>
              <w:right w:val="single" w:color="BFBFBF" w:sz="4"/>
            </w:tcBorders>
            <w:shd w:fill="1F5F6B" w:color="auto" w:val="clear"/>
            <w:tcMar>
              <w:top w:type="dxa" w:w="80"/>
              <w:left w:type="dxa" w:w="110"/>
              <w:bottom w:type="dxa" w:w="80"/>
              <w:right w:type="dxa" w:w="110"/>
            </w:tcMar>
          </w:tcPr>
          <w:p>
            <w:r>
              <w:rPr>
                <w:b/>
                <w:bCs/>
                <w:color w:val="FFFFFF"/>
                <w:sz w:val="19"/>
                <w:szCs w:val="19"/>
              </w:rPr>
              <w:t xml:space="preserve">Includes</w:t>
            </w:r>
          </w:p>
        </w:tc>
        <w:tc>
          <w:tcPr>
            <w:tcW w:type="dxa" w:w="1900"/>
            <w:tcBorders>
              <w:top w:val="single" w:color="BFBFBF" w:sz="4"/>
              <w:left w:val="single" w:color="BFBFBF" w:sz="4"/>
              <w:bottom w:val="single" w:color="BFBFBF" w:sz="4"/>
              <w:right w:val="single" w:color="BFBFBF" w:sz="4"/>
            </w:tcBorders>
            <w:shd w:fill="1F5F6B" w:color="auto" w:val="clear"/>
            <w:tcMar>
              <w:top w:type="dxa" w:w="80"/>
              <w:left w:type="dxa" w:w="110"/>
              <w:bottom w:type="dxa" w:w="80"/>
              <w:right w:type="dxa" w:w="110"/>
            </w:tcMar>
          </w:tcPr>
          <w:p>
            <w:r>
              <w:rPr>
                <w:b/>
                <w:bCs/>
                <w:color w:val="FFFFFF"/>
                <w:sz w:val="19"/>
                <w:szCs w:val="19"/>
              </w:rPr>
              <w:t xml:space="preserve">Best for</w:t>
            </w:r>
          </w:p>
        </w:tc>
      </w:tr>
      <w:tr>
        <w:trPr>
          <w:tblHeader w:val="off"/>
        </w:trPr>
        <w:tc>
          <w:tcPr>
            <w:tcW w:type="dxa" w:w="15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19"/>
                <w:szCs w:val="19"/>
              </w:rPr>
              <w:t xml:space="preserve">Basic</w:t>
            </w:r>
          </w:p>
        </w:tc>
        <w:tc>
          <w:tcPr>
            <w:tcW w:type="dxa" w:w="23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19"/>
                <w:szCs w:val="19"/>
              </w:rPr>
              <w:t xml:space="preserve">₹299 per charger / month (minimum ₹999 per society)</w:t>
            </w:r>
          </w:p>
        </w:tc>
        <w:tc>
          <w:tcPr>
            <w:tcW w:type="dxa" w:w="3326"/>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19"/>
                <w:szCs w:val="19"/>
              </w:rPr>
              <w:t xml:space="preserve">Registration &amp; verification, booking, fair queue, QR+GPS check-in, issue reporting, session log export. No in-app payments; society collects offline.</w:t>
            </w:r>
          </w:p>
        </w:tc>
        <w:tc>
          <w:tcPr>
            <w:tcW w:type="dxa" w:w="19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19"/>
                <w:szCs w:val="19"/>
              </w:rPr>
              <w:t xml:space="preserve">Small societies (1–3 chargers) or those not ready for digital payments</w:t>
            </w:r>
          </w:p>
        </w:tc>
      </w:tr>
      <w:tr>
        <w:trPr>
          <w:tblHeader w:val="off"/>
        </w:trPr>
        <w:tc>
          <w:tcPr>
            <w:tcW w:type="dxa" w:w="1500"/>
            <w:tcBorders>
              <w:top w:val="single" w:color="BFBFBF" w:sz="4"/>
              <w:left w:val="single" w:color="BFBFBF" w:sz="4"/>
              <w:bottom w:val="single" w:color="BFBFBF" w:sz="4"/>
              <w:right w:val="single" w:color="BFBFBF" w:sz="4"/>
            </w:tcBorders>
            <w:shd w:fill="E6F0F2" w:color="auto" w:val="clear"/>
            <w:tcMar>
              <w:top w:type="dxa" w:w="80"/>
              <w:left w:type="dxa" w:w="110"/>
              <w:bottom w:type="dxa" w:w="80"/>
              <w:right w:type="dxa" w:w="110"/>
            </w:tcMar>
          </w:tcPr>
          <w:p>
            <w:r>
              <w:rPr>
                <w:b w:val="false"/>
                <w:bCs w:val="false"/>
                <w:sz w:val="19"/>
                <w:szCs w:val="19"/>
              </w:rPr>
              <w:t xml:space="preserve">Growth (default)</w:t>
            </w:r>
          </w:p>
        </w:tc>
        <w:tc>
          <w:tcPr>
            <w:tcW w:type="dxa" w:w="2300"/>
            <w:tcBorders>
              <w:top w:val="single" w:color="BFBFBF" w:sz="4"/>
              <w:left w:val="single" w:color="BFBFBF" w:sz="4"/>
              <w:bottom w:val="single" w:color="BFBFBF" w:sz="4"/>
              <w:right w:val="single" w:color="BFBFBF" w:sz="4"/>
            </w:tcBorders>
            <w:shd w:fill="E6F0F2" w:color="auto" w:val="clear"/>
            <w:tcMar>
              <w:top w:type="dxa" w:w="80"/>
              <w:left w:type="dxa" w:w="110"/>
              <w:bottom w:type="dxa" w:w="80"/>
              <w:right w:type="dxa" w:w="110"/>
            </w:tcMar>
          </w:tcPr>
          <w:p>
            <w:r>
              <w:rPr>
                <w:b w:val="false"/>
                <w:bCs w:val="false"/>
                <w:sz w:val="19"/>
                <w:szCs w:val="19"/>
              </w:rPr>
              <w:t xml:space="preserve">₹599 per charger / month + 4% of in-app charging value</w:t>
            </w:r>
          </w:p>
        </w:tc>
        <w:tc>
          <w:tcPr>
            <w:tcW w:type="dxa" w:w="3326"/>
            <w:tcBorders>
              <w:top w:val="single" w:color="BFBFBF" w:sz="4"/>
              <w:left w:val="single" w:color="BFBFBF" w:sz="4"/>
              <w:bottom w:val="single" w:color="BFBFBF" w:sz="4"/>
              <w:right w:val="single" w:color="BFBFBF" w:sz="4"/>
            </w:tcBorders>
            <w:shd w:fill="E6F0F2" w:color="auto" w:val="clear"/>
            <w:tcMar>
              <w:top w:type="dxa" w:w="80"/>
              <w:left w:type="dxa" w:w="110"/>
              <w:bottom w:type="dxa" w:w="80"/>
              <w:right w:type="dxa" w:w="110"/>
            </w:tcMar>
          </w:tcPr>
          <w:p>
            <w:r>
              <w:rPr>
                <w:b w:val="false"/>
                <w:bCs w:val="false"/>
                <w:sz w:val="19"/>
                <w:szCs w:val="19"/>
              </w:rPr>
              <w:t xml:space="preserve">Everything in Basic, plus wallet, automatic settlement at the society’s rate, no-show and overstay rules, full analytics dashboard</w:t>
            </w:r>
          </w:p>
        </w:tc>
        <w:tc>
          <w:tcPr>
            <w:tcW w:type="dxa" w:w="1900"/>
            <w:tcBorders>
              <w:top w:val="single" w:color="BFBFBF" w:sz="4"/>
              <w:left w:val="single" w:color="BFBFBF" w:sz="4"/>
              <w:bottom w:val="single" w:color="BFBFBF" w:sz="4"/>
              <w:right w:val="single" w:color="BFBFBF" w:sz="4"/>
            </w:tcBorders>
            <w:shd w:fill="E6F0F2" w:color="auto" w:val="clear"/>
            <w:tcMar>
              <w:top w:type="dxa" w:w="80"/>
              <w:left w:type="dxa" w:w="110"/>
              <w:bottom w:type="dxa" w:w="80"/>
              <w:right w:type="dxa" w:w="110"/>
            </w:tcMar>
          </w:tcPr>
          <w:p>
            <w:r>
              <w:rPr>
                <w:b w:val="false"/>
                <w:bCs w:val="false"/>
                <w:sz w:val="19"/>
                <w:szCs w:val="19"/>
              </w:rPr>
              <w:t xml:space="preserve">Most mid-to-large societies</w:t>
            </w:r>
          </w:p>
        </w:tc>
      </w:tr>
      <w:tr>
        <w:trPr>
          <w:tblHeader w:val="off"/>
        </w:trPr>
        <w:tc>
          <w:tcPr>
            <w:tcW w:type="dxa" w:w="15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19"/>
                <w:szCs w:val="19"/>
              </w:rPr>
              <w:t xml:space="preserve">Enterprise</w:t>
            </w:r>
          </w:p>
        </w:tc>
        <w:tc>
          <w:tcPr>
            <w:tcW w:type="dxa" w:w="23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19"/>
                <w:szCs w:val="19"/>
              </w:rPr>
              <w:t xml:space="preserve">Custom annual contract</w:t>
            </w:r>
          </w:p>
        </w:tc>
        <w:tc>
          <w:tcPr>
            <w:tcW w:type="dxa" w:w="3326"/>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19"/>
                <w:szCs w:val="19"/>
              </w:rPr>
              <w:t xml:space="preserve">Multi-site Super Admin view, white-label, API and OCPP smart-charger integration, dedicated support</w:t>
            </w:r>
          </w:p>
        </w:tc>
        <w:tc>
          <w:tcPr>
            <w:tcW w:type="dxa" w:w="19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19"/>
                <w:szCs w:val="19"/>
              </w:rPr>
              <w:t xml:space="preserve">Builders, facility management firms, large townships</w:t>
            </w:r>
          </w:p>
        </w:tc>
      </w:tr>
    </w:tbl>
    <w:p>
      <w:pPr>
        <w:spacing w:after="120"/>
      </w:pPr>
    </w:p>
    <w:p>
      <w:pPr>
        <w:pStyle w:val="Heading2"/>
        <w:spacing w:after="100" w:before="220"/>
      </w:pPr>
      <w:r>
        <w:t xml:space="preserve">3.2 Other fees</w:t>
      </w:r>
    </w:p>
    <w:p>
      <w:pPr>
        <w:pStyle w:val="ListParagraph"/>
        <w:numPr>
          <w:ilvl w:val="0"/>
          <w:numId w:val="2"/>
        </w:numPr>
        <w:spacing w:after="80"/>
      </w:pPr>
      <w:r>
        <w:rPr>
          <w:b/>
          <w:bCs/>
        </w:rPr>
        <w:t xml:space="preserve">Onboarding (one-time): </w:t>
      </w:r>
      <w:r>
        <w:t xml:space="preserve">₹10,000 per society for setup, charger configuration and admin training. Waived for pilots.</w:t>
      </w:r>
    </w:p>
    <w:p>
      <w:pPr>
        <w:pStyle w:val="ListParagraph"/>
        <w:numPr>
          <w:ilvl w:val="0"/>
          <w:numId w:val="2"/>
        </w:numPr>
        <w:spacing w:after="80"/>
      </w:pPr>
      <w:r>
        <w:rPr>
          <w:b/>
          <w:bCs/>
        </w:rPr>
        <w:t xml:space="preserve">Payment gateway charges (≈2%): </w:t>
      </w:r>
      <w:r>
        <w:t xml:space="preserve">passed through to residents as a convenience fee, or built into the society’s per-kWh rate. Not absorbed from EVNest’s 4%.</w:t>
      </w:r>
    </w:p>
    <w:p>
      <w:pPr>
        <w:pStyle w:val="ListParagraph"/>
        <w:numPr>
          <w:ilvl w:val="0"/>
          <w:numId w:val="2"/>
        </w:numPr>
        <w:spacing w:after="80"/>
      </w:pPr>
      <w:r>
        <w:rPr>
          <w:b/>
          <w:bCs/>
        </w:rPr>
        <w:t xml:space="preserve">Pay-per-use fallback: </w:t>
      </w:r>
      <w:r>
        <w:t xml:space="preserve">for societies that refuse any fixed cost, ₹0 subscription + 8% of in-app charging value.</w:t>
      </w:r>
    </w:p>
    <w:p>
      <w:pPr>
        <w:pStyle w:val="Heading1"/>
        <w:spacing w:after="140" w:before="320"/>
      </w:pPr>
      <w:r>
        <w:t xml:space="preserve">4. Unit Economics: One Society</w:t>
      </w:r>
    </w:p>
    <w:p>
      <w:pPr>
        <w:spacing w:after="120"/>
      </w:pPr>
      <w:r>
        <w:rPr>
          <w:b/>
          <w:bCs/>
        </w:rPr>
        <w:t xml:space="preserve">Assumptions: </w:t>
      </w:r>
      <w:r>
        <w:t xml:space="preserve">6 AC chargers (7.4 kW), 3 sessions per charger per day, 12 kWh per session on average, society rate ₹15 per kWh, Growth tier.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26"/>
        <w:gridCol w:w="3000"/>
      </w:tblGrid>
      <w:tr>
        <w:trPr>
          <w:tblHeader/>
        </w:trPr>
        <w:tc>
          <w:tcPr>
            <w:tcW w:type="dxa" w:w="6026"/>
            <w:tcBorders>
              <w:top w:val="single" w:color="BFBFBF" w:sz="4"/>
              <w:left w:val="single" w:color="BFBFBF" w:sz="4"/>
              <w:bottom w:val="single" w:color="BFBFBF" w:sz="4"/>
              <w:right w:val="single" w:color="BFBFBF" w:sz="4"/>
            </w:tcBorders>
            <w:shd w:fill="1F5F6B" w:color="auto" w:val="clear"/>
            <w:tcMar>
              <w:top w:type="dxa" w:w="80"/>
              <w:left w:type="dxa" w:w="110"/>
              <w:bottom w:type="dxa" w:w="80"/>
              <w:right w:type="dxa" w:w="110"/>
            </w:tcMar>
          </w:tcPr>
          <w:p>
            <w:r>
              <w:rPr>
                <w:b/>
                <w:bCs/>
                <w:color w:val="FFFFFF"/>
                <w:sz w:val="19"/>
                <w:szCs w:val="19"/>
              </w:rPr>
              <w:t xml:space="preserve">Item</w:t>
            </w:r>
          </w:p>
        </w:tc>
        <w:tc>
          <w:tcPr>
            <w:tcW w:type="dxa" w:w="3000"/>
            <w:tcBorders>
              <w:top w:val="single" w:color="BFBFBF" w:sz="4"/>
              <w:left w:val="single" w:color="BFBFBF" w:sz="4"/>
              <w:bottom w:val="single" w:color="BFBFBF" w:sz="4"/>
              <w:right w:val="single" w:color="BFBFBF" w:sz="4"/>
            </w:tcBorders>
            <w:shd w:fill="1F5F6B" w:color="auto" w:val="clear"/>
            <w:tcMar>
              <w:top w:type="dxa" w:w="80"/>
              <w:left w:type="dxa" w:w="110"/>
              <w:bottom w:type="dxa" w:w="80"/>
              <w:right w:type="dxa" w:w="110"/>
            </w:tcMar>
          </w:tcPr>
          <w:p>
            <w:r>
              <w:rPr>
                <w:b/>
                <w:bCs/>
                <w:color w:val="FFFFFF"/>
                <w:sz w:val="19"/>
                <w:szCs w:val="19"/>
              </w:rPr>
              <w:t xml:space="preserve">Monthly</w:t>
            </w:r>
          </w:p>
        </w:tc>
      </w:tr>
      <w:tr>
        <w:trPr>
          <w:tblHeader w:val="off"/>
        </w:trPr>
        <w:tc>
          <w:tcPr>
            <w:tcW w:type="dxa" w:w="6026"/>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19"/>
                <w:szCs w:val="19"/>
              </w:rPr>
              <w:t xml:space="preserve">Sessions (6 × 3 × 30)</w:t>
            </w:r>
          </w:p>
        </w:tc>
        <w:tc>
          <w:tcPr>
            <w:tcW w:type="dxa" w:w="30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19"/>
                <w:szCs w:val="19"/>
              </w:rPr>
              <w:t xml:space="preserve">540</w:t>
            </w:r>
          </w:p>
        </w:tc>
      </w:tr>
      <w:tr>
        <w:trPr>
          <w:tblHeader w:val="off"/>
        </w:trPr>
        <w:tc>
          <w:tcPr>
            <w:tcW w:type="dxa" w:w="6026"/>
            <w:tcBorders>
              <w:top w:val="single" w:color="BFBFBF" w:sz="4"/>
              <w:left w:val="single" w:color="BFBFBF" w:sz="4"/>
              <w:bottom w:val="single" w:color="BFBFBF" w:sz="4"/>
              <w:right w:val="single" w:color="BFBFBF" w:sz="4"/>
            </w:tcBorders>
            <w:shd w:fill="F4F4F4" w:color="auto" w:val="clear"/>
            <w:tcMar>
              <w:top w:type="dxa" w:w="80"/>
              <w:left w:type="dxa" w:w="110"/>
              <w:bottom w:type="dxa" w:w="80"/>
              <w:right w:type="dxa" w:w="110"/>
            </w:tcMar>
          </w:tcPr>
          <w:p>
            <w:r>
              <w:rPr>
                <w:b w:val="false"/>
                <w:bCs w:val="false"/>
                <w:sz w:val="19"/>
                <w:szCs w:val="19"/>
              </w:rPr>
              <w:t xml:space="preserve">Energy delivered (540 × 12 kWh)</w:t>
            </w:r>
          </w:p>
        </w:tc>
        <w:tc>
          <w:tcPr>
            <w:tcW w:type="dxa" w:w="3000"/>
            <w:tcBorders>
              <w:top w:val="single" w:color="BFBFBF" w:sz="4"/>
              <w:left w:val="single" w:color="BFBFBF" w:sz="4"/>
              <w:bottom w:val="single" w:color="BFBFBF" w:sz="4"/>
              <w:right w:val="single" w:color="BFBFBF" w:sz="4"/>
            </w:tcBorders>
            <w:shd w:fill="F4F4F4" w:color="auto" w:val="clear"/>
            <w:tcMar>
              <w:top w:type="dxa" w:w="80"/>
              <w:left w:type="dxa" w:w="110"/>
              <w:bottom w:type="dxa" w:w="80"/>
              <w:right w:type="dxa" w:w="110"/>
            </w:tcMar>
          </w:tcPr>
          <w:p>
            <w:r>
              <w:rPr>
                <w:b w:val="false"/>
                <w:bCs w:val="false"/>
                <w:sz w:val="19"/>
                <w:szCs w:val="19"/>
              </w:rPr>
              <w:t xml:space="preserve">6,480 kWh</w:t>
            </w:r>
          </w:p>
        </w:tc>
      </w:tr>
      <w:tr>
        <w:trPr>
          <w:tblHeader w:val="off"/>
        </w:trPr>
        <w:tc>
          <w:tcPr>
            <w:tcW w:type="dxa" w:w="6026"/>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19"/>
                <w:szCs w:val="19"/>
              </w:rPr>
              <w:t xml:space="preserve">Charging value paid in app (6,480 × ₹15)</w:t>
            </w:r>
          </w:p>
        </w:tc>
        <w:tc>
          <w:tcPr>
            <w:tcW w:type="dxa" w:w="30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19"/>
                <w:szCs w:val="19"/>
              </w:rPr>
              <w:t xml:space="preserve">₹97,200</w:t>
            </w:r>
          </w:p>
        </w:tc>
      </w:tr>
      <w:tr>
        <w:trPr>
          <w:tblHeader w:val="off"/>
        </w:trPr>
        <w:tc>
          <w:tcPr>
            <w:tcW w:type="dxa" w:w="6026"/>
            <w:tcBorders>
              <w:top w:val="single" w:color="BFBFBF" w:sz="4"/>
              <w:left w:val="single" w:color="BFBFBF" w:sz="4"/>
              <w:bottom w:val="single" w:color="BFBFBF" w:sz="4"/>
              <w:right w:val="single" w:color="BFBFBF" w:sz="4"/>
            </w:tcBorders>
            <w:shd w:fill="F4F4F4" w:color="auto" w:val="clear"/>
            <w:tcMar>
              <w:top w:type="dxa" w:w="80"/>
              <w:left w:type="dxa" w:w="110"/>
              <w:bottom w:type="dxa" w:w="80"/>
              <w:right w:type="dxa" w:w="110"/>
            </w:tcMar>
          </w:tcPr>
          <w:p>
            <w:r>
              <w:rPr>
                <w:b w:val="false"/>
                <w:bCs w:val="false"/>
                <w:sz w:val="19"/>
                <w:szCs w:val="19"/>
              </w:rPr>
              <w:t xml:space="preserve">EVNest subscription (6 × ₹599)</w:t>
            </w:r>
          </w:p>
        </w:tc>
        <w:tc>
          <w:tcPr>
            <w:tcW w:type="dxa" w:w="3000"/>
            <w:tcBorders>
              <w:top w:val="single" w:color="BFBFBF" w:sz="4"/>
              <w:left w:val="single" w:color="BFBFBF" w:sz="4"/>
              <w:bottom w:val="single" w:color="BFBFBF" w:sz="4"/>
              <w:right w:val="single" w:color="BFBFBF" w:sz="4"/>
            </w:tcBorders>
            <w:shd w:fill="F4F4F4" w:color="auto" w:val="clear"/>
            <w:tcMar>
              <w:top w:type="dxa" w:w="80"/>
              <w:left w:type="dxa" w:w="110"/>
              <w:bottom w:type="dxa" w:w="80"/>
              <w:right w:type="dxa" w:w="110"/>
            </w:tcMar>
          </w:tcPr>
          <w:p>
            <w:r>
              <w:rPr>
                <w:b w:val="false"/>
                <w:bCs w:val="false"/>
                <w:sz w:val="19"/>
                <w:szCs w:val="19"/>
              </w:rPr>
              <w:t xml:space="preserve">₹3,594</w:t>
            </w:r>
          </w:p>
        </w:tc>
      </w:tr>
      <w:tr>
        <w:trPr>
          <w:tblHeader w:val="off"/>
        </w:trPr>
        <w:tc>
          <w:tcPr>
            <w:tcW w:type="dxa" w:w="6026"/>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19"/>
                <w:szCs w:val="19"/>
              </w:rPr>
              <w:t xml:space="preserve">EVNest platform fee (4% × ₹97,200)</w:t>
            </w:r>
          </w:p>
        </w:tc>
        <w:tc>
          <w:tcPr>
            <w:tcW w:type="dxa" w:w="30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19"/>
                <w:szCs w:val="19"/>
              </w:rPr>
              <w:t xml:space="preserve">₹3,888</w:t>
            </w:r>
          </w:p>
        </w:tc>
      </w:tr>
      <w:tr>
        <w:trPr>
          <w:tblHeader w:val="off"/>
        </w:trPr>
        <w:tc>
          <w:tcPr>
            <w:tcW w:type="dxa" w:w="6026"/>
            <w:tcBorders>
              <w:top w:val="single" w:color="BFBFBF" w:sz="4"/>
              <w:left w:val="single" w:color="BFBFBF" w:sz="4"/>
              <w:bottom w:val="single" w:color="BFBFBF" w:sz="4"/>
              <w:right w:val="single" w:color="BFBFBF" w:sz="4"/>
            </w:tcBorders>
            <w:shd w:fill="E6F0F2" w:color="auto" w:val="clear"/>
            <w:tcMar>
              <w:top w:type="dxa" w:w="80"/>
              <w:left w:type="dxa" w:w="110"/>
              <w:bottom w:type="dxa" w:w="80"/>
              <w:right w:type="dxa" w:w="110"/>
            </w:tcMar>
          </w:tcPr>
          <w:p>
            <w:r>
              <w:rPr>
                <w:b/>
                <w:bCs/>
                <w:sz w:val="19"/>
                <w:szCs w:val="19"/>
              </w:rPr>
              <w:t xml:space="preserve">EVNest revenue per society</w:t>
            </w:r>
          </w:p>
        </w:tc>
        <w:tc>
          <w:tcPr>
            <w:tcW w:type="dxa" w:w="3000"/>
            <w:tcBorders>
              <w:top w:val="single" w:color="BFBFBF" w:sz="4"/>
              <w:left w:val="single" w:color="BFBFBF" w:sz="4"/>
              <w:bottom w:val="single" w:color="BFBFBF" w:sz="4"/>
              <w:right w:val="single" w:color="BFBFBF" w:sz="4"/>
            </w:tcBorders>
            <w:shd w:fill="E6F0F2" w:color="auto" w:val="clear"/>
            <w:tcMar>
              <w:top w:type="dxa" w:w="80"/>
              <w:left w:type="dxa" w:w="110"/>
              <w:bottom w:type="dxa" w:w="80"/>
              <w:right w:type="dxa" w:w="110"/>
            </w:tcMar>
          </w:tcPr>
          <w:p>
            <w:r>
              <w:rPr>
                <w:b/>
                <w:bCs/>
                <w:sz w:val="19"/>
                <w:szCs w:val="19"/>
              </w:rPr>
              <w:t xml:space="preserve">≈ ₹7,480</w:t>
            </w:r>
          </w:p>
        </w:tc>
      </w:tr>
      <w:tr>
        <w:trPr>
          <w:tblHeader w:val="off"/>
        </w:trPr>
        <w:tc>
          <w:tcPr>
            <w:tcW w:type="dxa" w:w="6026"/>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19"/>
                <w:szCs w:val="19"/>
              </w:rPr>
              <w:t xml:space="preserve">Cost to serve (cloud, SMS/push, support share)</w:t>
            </w:r>
          </w:p>
        </w:tc>
        <w:tc>
          <w:tcPr>
            <w:tcW w:type="dxa" w:w="30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19"/>
                <w:szCs w:val="19"/>
              </w:rPr>
              <w:t xml:space="preserve">≈ ₹2,000</w:t>
            </w:r>
          </w:p>
        </w:tc>
      </w:tr>
      <w:tr>
        <w:trPr>
          <w:tblHeader w:val="off"/>
        </w:trPr>
        <w:tc>
          <w:tcPr>
            <w:tcW w:type="dxa" w:w="6026"/>
            <w:tcBorders>
              <w:top w:val="single" w:color="BFBFBF" w:sz="4"/>
              <w:left w:val="single" w:color="BFBFBF" w:sz="4"/>
              <w:bottom w:val="single" w:color="BFBFBF" w:sz="4"/>
              <w:right w:val="single" w:color="BFBFBF" w:sz="4"/>
            </w:tcBorders>
            <w:shd w:fill="E6F0F2" w:color="auto" w:val="clear"/>
            <w:tcMar>
              <w:top w:type="dxa" w:w="80"/>
              <w:left w:type="dxa" w:w="110"/>
              <w:bottom w:type="dxa" w:w="80"/>
              <w:right w:type="dxa" w:w="110"/>
            </w:tcMar>
          </w:tcPr>
          <w:p>
            <w:r>
              <w:rPr>
                <w:b/>
                <w:bCs/>
                <w:sz w:val="19"/>
                <w:szCs w:val="19"/>
              </w:rPr>
              <w:t xml:space="preserve">Contribution margin</w:t>
            </w:r>
          </w:p>
        </w:tc>
        <w:tc>
          <w:tcPr>
            <w:tcW w:type="dxa" w:w="3000"/>
            <w:tcBorders>
              <w:top w:val="single" w:color="BFBFBF" w:sz="4"/>
              <w:left w:val="single" w:color="BFBFBF" w:sz="4"/>
              <w:bottom w:val="single" w:color="BFBFBF" w:sz="4"/>
              <w:right w:val="single" w:color="BFBFBF" w:sz="4"/>
            </w:tcBorders>
            <w:shd w:fill="E6F0F2" w:color="auto" w:val="clear"/>
            <w:tcMar>
              <w:top w:type="dxa" w:w="80"/>
              <w:left w:type="dxa" w:w="110"/>
              <w:bottom w:type="dxa" w:w="80"/>
              <w:right w:type="dxa" w:w="110"/>
            </w:tcMar>
          </w:tcPr>
          <w:p>
            <w:r>
              <w:rPr>
                <w:b/>
                <w:bCs/>
                <w:sz w:val="19"/>
                <w:szCs w:val="19"/>
              </w:rPr>
              <w:t xml:space="preserve">≈ ₹5,480  (~73%)</w:t>
            </w:r>
          </w:p>
        </w:tc>
      </w:tr>
    </w:tbl>
    <w:p>
      <w:pPr>
        <w:pBdr>
          <w:left w:val="single" w:color="1F5F6B" w:sz="24" w:space="8"/>
        </w:pBdr>
        <w:shd w:fill="E6F0F2" w:color="auto" w:val="clear"/>
        <w:spacing w:after="160" w:before="120"/>
        <w:ind w:left="160" w:right="160"/>
      </w:pPr>
      <w:r>
        <w:rPr>
          <w:b/>
          <w:bCs/>
        </w:rPr>
        <w:t xml:space="preserve">Sales pitch point: </w:t>
      </w:r>
      <w:r>
        <w:t xml:space="preserve">the subscription works out to roughly ₹7 per flat per month in a 500-flat society, which is easy to justify against the admin time and neighbour disputes it removes.</w:t>
      </w:r>
    </w:p>
    <w:p>
      <w:pPr>
        <w:pStyle w:val="Heading1"/>
        <w:spacing w:after="140" w:before="320"/>
      </w:pPr>
      <w:r>
        <w:t xml:space="preserve">5. Three-Year Projection (Illustrative)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26"/>
        <w:gridCol w:w="2000"/>
        <w:gridCol w:w="2000"/>
        <w:gridCol w:w="2000"/>
      </w:tblGrid>
      <w:tr>
        <w:trPr>
          <w:tblHeader/>
        </w:trPr>
        <w:tc>
          <w:tcPr>
            <w:tcW w:type="dxa" w:w="3026"/>
            <w:tcBorders>
              <w:top w:val="single" w:color="BFBFBF" w:sz="4"/>
              <w:left w:val="single" w:color="BFBFBF" w:sz="4"/>
              <w:bottom w:val="single" w:color="BFBFBF" w:sz="4"/>
              <w:right w:val="single" w:color="BFBFBF" w:sz="4"/>
            </w:tcBorders>
            <w:shd w:fill="1F5F6B" w:color="auto" w:val="clear"/>
            <w:tcMar>
              <w:top w:type="dxa" w:w="80"/>
              <w:left w:type="dxa" w:w="110"/>
              <w:bottom w:type="dxa" w:w="80"/>
              <w:right w:type="dxa" w:w="110"/>
            </w:tcMar>
          </w:tcPr>
          <w:p>
            <w:r>
              <w:rPr>
                <w:b/>
                <w:bCs/>
                <w:color w:val="FFFFFF"/>
                <w:sz w:val="19"/>
                <w:szCs w:val="19"/>
              </w:rPr>
              <w:t xml:space="preserve"/>
            </w:r>
          </w:p>
        </w:tc>
        <w:tc>
          <w:tcPr>
            <w:tcW w:type="dxa" w:w="2000"/>
            <w:tcBorders>
              <w:top w:val="single" w:color="BFBFBF" w:sz="4"/>
              <w:left w:val="single" w:color="BFBFBF" w:sz="4"/>
              <w:bottom w:val="single" w:color="BFBFBF" w:sz="4"/>
              <w:right w:val="single" w:color="BFBFBF" w:sz="4"/>
            </w:tcBorders>
            <w:shd w:fill="1F5F6B" w:color="auto" w:val="clear"/>
            <w:tcMar>
              <w:top w:type="dxa" w:w="80"/>
              <w:left w:type="dxa" w:w="110"/>
              <w:bottom w:type="dxa" w:w="80"/>
              <w:right w:type="dxa" w:w="110"/>
            </w:tcMar>
          </w:tcPr>
          <w:p>
            <w:r>
              <w:rPr>
                <w:b/>
                <w:bCs/>
                <w:color w:val="FFFFFF"/>
                <w:sz w:val="19"/>
                <w:szCs w:val="19"/>
              </w:rPr>
              <w:t xml:space="preserve">Year 1</w:t>
            </w:r>
          </w:p>
        </w:tc>
        <w:tc>
          <w:tcPr>
            <w:tcW w:type="dxa" w:w="2000"/>
            <w:tcBorders>
              <w:top w:val="single" w:color="BFBFBF" w:sz="4"/>
              <w:left w:val="single" w:color="BFBFBF" w:sz="4"/>
              <w:bottom w:val="single" w:color="BFBFBF" w:sz="4"/>
              <w:right w:val="single" w:color="BFBFBF" w:sz="4"/>
            </w:tcBorders>
            <w:shd w:fill="1F5F6B" w:color="auto" w:val="clear"/>
            <w:tcMar>
              <w:top w:type="dxa" w:w="80"/>
              <w:left w:type="dxa" w:w="110"/>
              <w:bottom w:type="dxa" w:w="80"/>
              <w:right w:type="dxa" w:w="110"/>
            </w:tcMar>
          </w:tcPr>
          <w:p>
            <w:r>
              <w:rPr>
                <w:b/>
                <w:bCs/>
                <w:color w:val="FFFFFF"/>
                <w:sz w:val="19"/>
                <w:szCs w:val="19"/>
              </w:rPr>
              <w:t xml:space="preserve">Year 2</w:t>
            </w:r>
          </w:p>
        </w:tc>
        <w:tc>
          <w:tcPr>
            <w:tcW w:type="dxa" w:w="2000"/>
            <w:tcBorders>
              <w:top w:val="single" w:color="BFBFBF" w:sz="4"/>
              <w:left w:val="single" w:color="BFBFBF" w:sz="4"/>
              <w:bottom w:val="single" w:color="BFBFBF" w:sz="4"/>
              <w:right w:val="single" w:color="BFBFBF" w:sz="4"/>
            </w:tcBorders>
            <w:shd w:fill="1F5F6B" w:color="auto" w:val="clear"/>
            <w:tcMar>
              <w:top w:type="dxa" w:w="80"/>
              <w:left w:type="dxa" w:w="110"/>
              <w:bottom w:type="dxa" w:w="80"/>
              <w:right w:type="dxa" w:w="110"/>
            </w:tcMar>
          </w:tcPr>
          <w:p>
            <w:r>
              <w:rPr>
                <w:b/>
                <w:bCs/>
                <w:color w:val="FFFFFF"/>
                <w:sz w:val="19"/>
                <w:szCs w:val="19"/>
              </w:rPr>
              <w:t xml:space="preserve">Year 3</w:t>
            </w:r>
          </w:p>
        </w:tc>
      </w:tr>
      <w:tr>
        <w:trPr>
          <w:tblHeader w:val="off"/>
        </w:trPr>
        <w:tc>
          <w:tcPr>
            <w:tcW w:type="dxa" w:w="3026"/>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19"/>
                <w:szCs w:val="19"/>
              </w:rPr>
              <w:t xml:space="preserve">Paying societies (year end)</w:t>
            </w:r>
          </w:p>
        </w:tc>
        <w:tc>
          <w:tcPr>
            <w:tcW w:type="dxa" w:w="20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19"/>
                <w:szCs w:val="19"/>
              </w:rPr>
              <w:t xml:space="preserve">15</w:t>
            </w:r>
          </w:p>
        </w:tc>
        <w:tc>
          <w:tcPr>
            <w:tcW w:type="dxa" w:w="20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19"/>
                <w:szCs w:val="19"/>
              </w:rPr>
              <w:t xml:space="preserve">80</w:t>
            </w:r>
          </w:p>
        </w:tc>
        <w:tc>
          <w:tcPr>
            <w:tcW w:type="dxa" w:w="20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19"/>
                <w:szCs w:val="19"/>
              </w:rPr>
              <w:t xml:space="preserve">250</w:t>
            </w:r>
          </w:p>
        </w:tc>
      </w:tr>
      <w:tr>
        <w:trPr>
          <w:tblHeader w:val="off"/>
        </w:trPr>
        <w:tc>
          <w:tcPr>
            <w:tcW w:type="dxa" w:w="3026"/>
            <w:tcBorders>
              <w:top w:val="single" w:color="BFBFBF" w:sz="4"/>
              <w:left w:val="single" w:color="BFBFBF" w:sz="4"/>
              <w:bottom w:val="single" w:color="BFBFBF" w:sz="4"/>
              <w:right w:val="single" w:color="BFBFBF" w:sz="4"/>
            </w:tcBorders>
            <w:shd w:fill="F4F4F4" w:color="auto" w:val="clear"/>
            <w:tcMar>
              <w:top w:type="dxa" w:w="80"/>
              <w:left w:type="dxa" w:w="110"/>
              <w:bottom w:type="dxa" w:w="80"/>
              <w:right w:type="dxa" w:w="110"/>
            </w:tcMar>
          </w:tcPr>
          <w:p>
            <w:r>
              <w:rPr>
                <w:b w:val="false"/>
                <w:bCs w:val="false"/>
                <w:sz w:val="19"/>
                <w:szCs w:val="19"/>
              </w:rPr>
              <w:t xml:space="preserve">Avg. revenue per society / month</w:t>
            </w:r>
          </w:p>
        </w:tc>
        <w:tc>
          <w:tcPr>
            <w:tcW w:type="dxa" w:w="2000"/>
            <w:tcBorders>
              <w:top w:val="single" w:color="BFBFBF" w:sz="4"/>
              <w:left w:val="single" w:color="BFBFBF" w:sz="4"/>
              <w:bottom w:val="single" w:color="BFBFBF" w:sz="4"/>
              <w:right w:val="single" w:color="BFBFBF" w:sz="4"/>
            </w:tcBorders>
            <w:shd w:fill="F4F4F4" w:color="auto" w:val="clear"/>
            <w:tcMar>
              <w:top w:type="dxa" w:w="80"/>
              <w:left w:type="dxa" w:w="110"/>
              <w:bottom w:type="dxa" w:w="80"/>
              <w:right w:type="dxa" w:w="110"/>
            </w:tcMar>
          </w:tcPr>
          <w:p>
            <w:r>
              <w:rPr>
                <w:b w:val="false"/>
                <w:bCs w:val="false"/>
                <w:sz w:val="19"/>
                <w:szCs w:val="19"/>
              </w:rPr>
              <w:t xml:space="preserve">₹6,000</w:t>
            </w:r>
          </w:p>
        </w:tc>
        <w:tc>
          <w:tcPr>
            <w:tcW w:type="dxa" w:w="2000"/>
            <w:tcBorders>
              <w:top w:val="single" w:color="BFBFBF" w:sz="4"/>
              <w:left w:val="single" w:color="BFBFBF" w:sz="4"/>
              <w:bottom w:val="single" w:color="BFBFBF" w:sz="4"/>
              <w:right w:val="single" w:color="BFBFBF" w:sz="4"/>
            </w:tcBorders>
            <w:shd w:fill="F4F4F4" w:color="auto" w:val="clear"/>
            <w:tcMar>
              <w:top w:type="dxa" w:w="80"/>
              <w:left w:type="dxa" w:w="110"/>
              <w:bottom w:type="dxa" w:w="80"/>
              <w:right w:type="dxa" w:w="110"/>
            </w:tcMar>
          </w:tcPr>
          <w:p>
            <w:r>
              <w:rPr>
                <w:b w:val="false"/>
                <w:bCs w:val="false"/>
                <w:sz w:val="19"/>
                <w:szCs w:val="19"/>
              </w:rPr>
              <w:t xml:space="preserve">₹7,500</w:t>
            </w:r>
          </w:p>
        </w:tc>
        <w:tc>
          <w:tcPr>
            <w:tcW w:type="dxa" w:w="2000"/>
            <w:tcBorders>
              <w:top w:val="single" w:color="BFBFBF" w:sz="4"/>
              <w:left w:val="single" w:color="BFBFBF" w:sz="4"/>
              <w:bottom w:val="single" w:color="BFBFBF" w:sz="4"/>
              <w:right w:val="single" w:color="BFBFBF" w:sz="4"/>
            </w:tcBorders>
            <w:shd w:fill="F4F4F4" w:color="auto" w:val="clear"/>
            <w:tcMar>
              <w:top w:type="dxa" w:w="80"/>
              <w:left w:type="dxa" w:w="110"/>
              <w:bottom w:type="dxa" w:w="80"/>
              <w:right w:type="dxa" w:w="110"/>
            </w:tcMar>
          </w:tcPr>
          <w:p>
            <w:r>
              <w:rPr>
                <w:b w:val="false"/>
                <w:bCs w:val="false"/>
                <w:sz w:val="19"/>
                <w:szCs w:val="19"/>
              </w:rPr>
              <w:t xml:space="preserve">₹9,000</w:t>
            </w:r>
          </w:p>
        </w:tc>
      </w:tr>
      <w:tr>
        <w:trPr>
          <w:tblHeader w:val="off"/>
        </w:trPr>
        <w:tc>
          <w:tcPr>
            <w:tcW w:type="dxa" w:w="3026"/>
            <w:tcBorders>
              <w:top w:val="single" w:color="BFBFBF" w:sz="4"/>
              <w:left w:val="single" w:color="BFBFBF" w:sz="4"/>
              <w:bottom w:val="single" w:color="BFBFBF" w:sz="4"/>
              <w:right w:val="single" w:color="BFBFBF" w:sz="4"/>
            </w:tcBorders>
            <w:shd w:fill="E6F0F2" w:color="auto" w:val="clear"/>
            <w:tcMar>
              <w:top w:type="dxa" w:w="80"/>
              <w:left w:type="dxa" w:w="110"/>
              <w:bottom w:type="dxa" w:w="80"/>
              <w:right w:type="dxa" w:w="110"/>
            </w:tcMar>
          </w:tcPr>
          <w:p>
            <w:r>
              <w:rPr>
                <w:b/>
                <w:bCs/>
                <w:sz w:val="19"/>
                <w:szCs w:val="19"/>
              </w:rPr>
              <w:t xml:space="preserve">Run-rate ARR</w:t>
            </w:r>
          </w:p>
        </w:tc>
        <w:tc>
          <w:tcPr>
            <w:tcW w:type="dxa" w:w="2000"/>
            <w:tcBorders>
              <w:top w:val="single" w:color="BFBFBF" w:sz="4"/>
              <w:left w:val="single" w:color="BFBFBF" w:sz="4"/>
              <w:bottom w:val="single" w:color="BFBFBF" w:sz="4"/>
              <w:right w:val="single" w:color="BFBFBF" w:sz="4"/>
            </w:tcBorders>
            <w:shd w:fill="E6F0F2" w:color="auto" w:val="clear"/>
            <w:tcMar>
              <w:top w:type="dxa" w:w="80"/>
              <w:left w:type="dxa" w:w="110"/>
              <w:bottom w:type="dxa" w:w="80"/>
              <w:right w:type="dxa" w:w="110"/>
            </w:tcMar>
          </w:tcPr>
          <w:p>
            <w:r>
              <w:rPr>
                <w:b/>
                <w:bCs/>
                <w:sz w:val="19"/>
                <w:szCs w:val="19"/>
              </w:rPr>
              <w:t xml:space="preserve">≈ ₹11 lakh</w:t>
            </w:r>
          </w:p>
        </w:tc>
        <w:tc>
          <w:tcPr>
            <w:tcW w:type="dxa" w:w="2000"/>
            <w:tcBorders>
              <w:top w:val="single" w:color="BFBFBF" w:sz="4"/>
              <w:left w:val="single" w:color="BFBFBF" w:sz="4"/>
              <w:bottom w:val="single" w:color="BFBFBF" w:sz="4"/>
              <w:right w:val="single" w:color="BFBFBF" w:sz="4"/>
            </w:tcBorders>
            <w:shd w:fill="E6F0F2" w:color="auto" w:val="clear"/>
            <w:tcMar>
              <w:top w:type="dxa" w:w="80"/>
              <w:left w:type="dxa" w:w="110"/>
              <w:bottom w:type="dxa" w:w="80"/>
              <w:right w:type="dxa" w:w="110"/>
            </w:tcMar>
          </w:tcPr>
          <w:p>
            <w:r>
              <w:rPr>
                <w:b/>
                <w:bCs/>
                <w:sz w:val="19"/>
                <w:szCs w:val="19"/>
              </w:rPr>
              <w:t xml:space="preserve">≈ ₹72 lakh</w:t>
            </w:r>
          </w:p>
        </w:tc>
        <w:tc>
          <w:tcPr>
            <w:tcW w:type="dxa" w:w="2000"/>
            <w:tcBorders>
              <w:top w:val="single" w:color="BFBFBF" w:sz="4"/>
              <w:left w:val="single" w:color="BFBFBF" w:sz="4"/>
              <w:bottom w:val="single" w:color="BFBFBF" w:sz="4"/>
              <w:right w:val="single" w:color="BFBFBF" w:sz="4"/>
            </w:tcBorders>
            <w:shd w:fill="E6F0F2" w:color="auto" w:val="clear"/>
            <w:tcMar>
              <w:top w:type="dxa" w:w="80"/>
              <w:left w:type="dxa" w:w="110"/>
              <w:bottom w:type="dxa" w:w="80"/>
              <w:right w:type="dxa" w:w="110"/>
            </w:tcMar>
          </w:tcPr>
          <w:p>
            <w:r>
              <w:rPr>
                <w:b/>
                <w:bCs/>
                <w:sz w:val="19"/>
                <w:szCs w:val="19"/>
              </w:rPr>
              <w:t xml:space="preserve">≈ ₹2.7 crore</w:t>
            </w:r>
          </w:p>
        </w:tc>
      </w:tr>
    </w:tbl>
    <w:p>
      <w:pPr>
        <w:spacing w:after="120"/>
      </w:pPr>
    </w:p>
    <w:p>
      <w:pPr>
        <w:spacing w:after="120"/>
      </w:pPr>
      <w:r>
        <w:t xml:space="preserve">Revenue per society rises without any price increase because societies add chargers and utilisation climbs as EV ownership grows. This is the main reason to keep the usage-based platform fee alongside the subscription.</w:t>
      </w:r>
    </w:p>
    <w:p>
      <w:pPr>
        <w:pStyle w:val="Heading1"/>
        <w:spacing w:after="140" w:before="320"/>
      </w:pPr>
      <w:r>
        <w:t xml:space="preserve">6. Secondary Revenue (Phase 2)</w:t>
      </w:r>
    </w:p>
    <w:p>
      <w:pPr>
        <w:spacing w:after="120"/>
      </w:pPr>
      <w:r>
        <w:t xml:space="preserve">Pursue these after the core product is proven:</w:t>
      </w:r>
    </w:p>
    <w:p>
      <w:pPr>
        <w:pStyle w:val="ListParagraph"/>
        <w:numPr>
          <w:ilvl w:val="0"/>
          <w:numId w:val="3"/>
        </w:numPr>
        <w:spacing w:after="80"/>
      </w:pPr>
      <w:r>
        <w:rPr>
          <w:b/>
          <w:bCs/>
        </w:rPr>
        <w:t xml:space="preserve">Charger referral fees: </w:t>
      </w:r>
      <w:r>
        <w:t xml:space="preserve">the analytics dashboard identifies when a society needs more chargers. Refer it to OEMs or installers for a commission of about ₹5,000–15,000 per charger installed.</w:t>
      </w:r>
    </w:p>
    <w:p>
      <w:pPr>
        <w:pStyle w:val="ListParagraph"/>
        <w:numPr>
          <w:ilvl w:val="0"/>
          <w:numId w:val="3"/>
        </w:numPr>
        <w:spacing w:after="80"/>
      </w:pPr>
      <w:r>
        <w:rPr>
          <w:b/>
          <w:bCs/>
        </w:rPr>
        <w:t xml:space="preserve">Smart-charger and load-management add-on: </w:t>
      </w:r>
      <w:r>
        <w:t xml:space="preserve">OCPP integration for automatic start/stop and load balancing, priced as a premium add-on per charger.</w:t>
      </w:r>
    </w:p>
    <w:p>
      <w:pPr>
        <w:pStyle w:val="ListParagraph"/>
        <w:numPr>
          <w:ilvl w:val="0"/>
          <w:numId w:val="3"/>
        </w:numPr>
        <w:spacing w:after="80"/>
      </w:pPr>
      <w:r>
        <w:rPr>
          <w:b/>
          <w:bCs/>
        </w:rPr>
        <w:t xml:space="preserve">Multi-site and white-label licences: </w:t>
      </w:r>
      <w:r>
        <w:t xml:space="preserve">for developers who want EVNest built into their own society apps.</w:t>
      </w:r>
    </w:p>
    <w:p>
      <w:pPr>
        <w:pStyle w:val="ListParagraph"/>
        <w:numPr>
          <w:ilvl w:val="0"/>
          <w:numId w:val="3"/>
        </w:numPr>
        <w:spacing w:after="80"/>
      </w:pPr>
      <w:r>
        <w:rPr>
          <w:b/>
          <w:bCs/>
        </w:rPr>
        <w:t xml:space="preserve">No-show and overstay fees: </w:t>
      </w:r>
      <w:r>
        <w:t xml:space="preserve">kept by the society. EVNest applies only its normal platform percentage so it stays a neutral operator.</w:t>
      </w:r>
    </w:p>
    <w:p>
      <w:pPr>
        <w:pStyle w:val="Heading1"/>
        <w:spacing w:after="140" w:before="320"/>
      </w:pPr>
      <w:r>
        <w:t xml:space="preserve">7. What Not to Monetise</w:t>
      </w:r>
    </w:p>
    <w:p>
      <w:pPr>
        <w:pStyle w:val="ListParagraph"/>
        <w:numPr>
          <w:ilvl w:val="0"/>
          <w:numId w:val="2"/>
        </w:numPr>
        <w:spacing w:after="80"/>
      </w:pPr>
      <w:r>
        <w:rPr>
          <w:b/>
          <w:bCs/>
        </w:rPr>
        <w:t xml:space="preserve">Paid queue priority. </w:t>
      </w:r>
      <w:r>
        <w:t xml:space="preserve">“Fair play” queues are the core promise. Selling priority would undercut it and create exactly the disputes EVNest is meant to prevent.</w:t>
      </w:r>
    </w:p>
    <w:p>
      <w:pPr>
        <w:pStyle w:val="ListParagraph"/>
        <w:numPr>
          <w:ilvl w:val="0"/>
          <w:numId w:val="2"/>
        </w:numPr>
        <w:spacing w:after="80"/>
      </w:pPr>
      <w:r>
        <w:rPr>
          <w:b/>
          <w:bCs/>
        </w:rPr>
        <w:t xml:space="preserve">Holding wallet balances directly. </w:t>
      </w:r>
      <w:r>
        <w:t xml:space="preserve">Use a payment aggregator with split settlement (for example Razorpay Route or Cashfree split payments) so money settles straight to the society’s account. This keeps EVNest outside RBI prepaid-instrument rules and supports the “auditable ledgers” promise. Confirm with a payments or legal advisor.</w:t>
      </w:r>
    </w:p>
    <w:p>
      <w:pPr>
        <w:pStyle w:val="ListParagraph"/>
        <w:numPr>
          <w:ilvl w:val="0"/>
          <w:numId w:val="2"/>
        </w:numPr>
        <w:spacing w:after="80"/>
      </w:pPr>
      <w:r>
        <w:rPr>
          <w:b/>
          <w:bCs/>
        </w:rPr>
        <w:t xml:space="preserve">Positioning as an electricity seller. </w:t>
      </w:r>
      <w:r>
        <w:t xml:space="preserve">EVNest charges for a software service. The society sets the per-kWh rate and should check it against its electricity board’s EV or commercial tariff.</w:t>
      </w:r>
    </w:p>
    <w:p>
      <w:pPr>
        <w:pStyle w:val="Heading1"/>
        <w:spacing w:after="140" w:before="320"/>
      </w:pPr>
      <w:r>
        <w:t xml:space="preserve">8. Pilot-to-Paid Path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4826"/>
      </w:tblGrid>
      <w:tr>
        <w:trPr>
          <w:tblHeader/>
        </w:trPr>
        <w:tc>
          <w:tcPr>
            <w:tcW w:type="dxa" w:w="2200"/>
            <w:tcBorders>
              <w:top w:val="single" w:color="BFBFBF" w:sz="4"/>
              <w:left w:val="single" w:color="BFBFBF" w:sz="4"/>
              <w:bottom w:val="single" w:color="BFBFBF" w:sz="4"/>
              <w:right w:val="single" w:color="BFBFBF" w:sz="4"/>
            </w:tcBorders>
            <w:shd w:fill="1F5F6B" w:color="auto" w:val="clear"/>
            <w:tcMar>
              <w:top w:type="dxa" w:w="80"/>
              <w:left w:type="dxa" w:w="110"/>
              <w:bottom w:type="dxa" w:w="80"/>
              <w:right w:type="dxa" w:w="110"/>
            </w:tcMar>
          </w:tcPr>
          <w:p>
            <w:r>
              <w:rPr>
                <w:b/>
                <w:bCs/>
                <w:color w:val="FFFFFF"/>
                <w:sz w:val="19"/>
                <w:szCs w:val="19"/>
              </w:rPr>
              <w:t xml:space="preserve">Stage</w:t>
            </w:r>
          </w:p>
        </w:tc>
        <w:tc>
          <w:tcPr>
            <w:tcW w:type="dxa" w:w="2000"/>
            <w:tcBorders>
              <w:top w:val="single" w:color="BFBFBF" w:sz="4"/>
              <w:left w:val="single" w:color="BFBFBF" w:sz="4"/>
              <w:bottom w:val="single" w:color="BFBFBF" w:sz="4"/>
              <w:right w:val="single" w:color="BFBFBF" w:sz="4"/>
            </w:tcBorders>
            <w:shd w:fill="1F5F6B" w:color="auto" w:val="clear"/>
            <w:tcMar>
              <w:top w:type="dxa" w:w="80"/>
              <w:left w:type="dxa" w:w="110"/>
              <w:bottom w:type="dxa" w:w="80"/>
              <w:right w:type="dxa" w:w="110"/>
            </w:tcMar>
          </w:tcPr>
          <w:p>
            <w:r>
              <w:rPr>
                <w:b/>
                <w:bCs/>
                <w:color w:val="FFFFFF"/>
                <w:sz w:val="19"/>
                <w:szCs w:val="19"/>
              </w:rPr>
              <w:t xml:space="preserve">Duration</w:t>
            </w:r>
          </w:p>
        </w:tc>
        <w:tc>
          <w:tcPr>
            <w:tcW w:type="dxa" w:w="4826"/>
            <w:tcBorders>
              <w:top w:val="single" w:color="BFBFBF" w:sz="4"/>
              <w:left w:val="single" w:color="BFBFBF" w:sz="4"/>
              <w:bottom w:val="single" w:color="BFBFBF" w:sz="4"/>
              <w:right w:val="single" w:color="BFBFBF" w:sz="4"/>
            </w:tcBorders>
            <w:shd w:fill="1F5F6B" w:color="auto" w:val="clear"/>
            <w:tcMar>
              <w:top w:type="dxa" w:w="80"/>
              <w:left w:type="dxa" w:w="110"/>
              <w:bottom w:type="dxa" w:w="80"/>
              <w:right w:type="dxa" w:w="110"/>
            </w:tcMar>
          </w:tcPr>
          <w:p>
            <w:r>
              <w:rPr>
                <w:b/>
                <w:bCs/>
                <w:color w:val="FFFFFF"/>
                <w:sz w:val="19"/>
                <w:szCs w:val="19"/>
              </w:rPr>
              <w:t xml:space="preserve">Commercial terms</w:t>
            </w:r>
          </w:p>
        </w:tc>
      </w:tr>
      <w:tr>
        <w:trPr>
          <w:tblHeader w:val="off"/>
        </w:trPr>
        <w:tc>
          <w:tcPr>
            <w:tcW w:type="dxa" w:w="22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19"/>
                <w:szCs w:val="19"/>
              </w:rPr>
              <w:t xml:space="preserve">Pilot</w:t>
            </w:r>
          </w:p>
        </w:tc>
        <w:tc>
          <w:tcPr>
            <w:tcW w:type="dxa" w:w="20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19"/>
                <w:szCs w:val="19"/>
              </w:rPr>
              <w:t xml:space="preserve">60–90 days</w:t>
            </w:r>
          </w:p>
        </w:tc>
        <w:tc>
          <w:tcPr>
            <w:tcW w:type="dxa" w:w="4826"/>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19"/>
                <w:szCs w:val="19"/>
              </w:rPr>
              <w:t xml:space="preserve">Free, onboarding fee waived. Measure sessions per charger per day, kWh per session, no-show rate and admin hours saved.</w:t>
            </w:r>
          </w:p>
        </w:tc>
      </w:tr>
      <w:tr>
        <w:trPr>
          <w:tblHeader w:val="off"/>
        </w:trPr>
        <w:tc>
          <w:tcPr>
            <w:tcW w:type="dxa" w:w="2200"/>
            <w:tcBorders>
              <w:top w:val="single" w:color="BFBFBF" w:sz="4"/>
              <w:left w:val="single" w:color="BFBFBF" w:sz="4"/>
              <w:bottom w:val="single" w:color="BFBFBF" w:sz="4"/>
              <w:right w:val="single" w:color="BFBFBF" w:sz="4"/>
            </w:tcBorders>
            <w:shd w:fill="F4F4F4" w:color="auto" w:val="clear"/>
            <w:tcMar>
              <w:top w:type="dxa" w:w="80"/>
              <w:left w:type="dxa" w:w="110"/>
              <w:bottom w:type="dxa" w:w="80"/>
              <w:right w:type="dxa" w:w="110"/>
            </w:tcMar>
          </w:tcPr>
          <w:p>
            <w:r>
              <w:rPr>
                <w:b w:val="false"/>
                <w:bCs w:val="false"/>
                <w:sz w:val="19"/>
                <w:szCs w:val="19"/>
              </w:rPr>
              <w:t xml:space="preserve">Founding society</w:t>
            </w:r>
          </w:p>
        </w:tc>
        <w:tc>
          <w:tcPr>
            <w:tcW w:type="dxa" w:w="2000"/>
            <w:tcBorders>
              <w:top w:val="single" w:color="BFBFBF" w:sz="4"/>
              <w:left w:val="single" w:color="BFBFBF" w:sz="4"/>
              <w:bottom w:val="single" w:color="BFBFBF" w:sz="4"/>
              <w:right w:val="single" w:color="BFBFBF" w:sz="4"/>
            </w:tcBorders>
            <w:shd w:fill="F4F4F4" w:color="auto" w:val="clear"/>
            <w:tcMar>
              <w:top w:type="dxa" w:w="80"/>
              <w:left w:type="dxa" w:w="110"/>
              <w:bottom w:type="dxa" w:w="80"/>
              <w:right w:type="dxa" w:w="110"/>
            </w:tcMar>
          </w:tcPr>
          <w:p>
            <w:r>
              <w:rPr>
                <w:b w:val="false"/>
                <w:bCs w:val="false"/>
                <w:sz w:val="19"/>
                <w:szCs w:val="19"/>
              </w:rPr>
              <w:t xml:space="preserve">Year 1</w:t>
            </w:r>
          </w:p>
        </w:tc>
        <w:tc>
          <w:tcPr>
            <w:tcW w:type="dxa" w:w="4826"/>
            <w:tcBorders>
              <w:top w:val="single" w:color="BFBFBF" w:sz="4"/>
              <w:left w:val="single" w:color="BFBFBF" w:sz="4"/>
              <w:bottom w:val="single" w:color="BFBFBF" w:sz="4"/>
              <w:right w:val="single" w:color="BFBFBF" w:sz="4"/>
            </w:tcBorders>
            <w:shd w:fill="F4F4F4" w:color="auto" w:val="clear"/>
            <w:tcMar>
              <w:top w:type="dxa" w:w="80"/>
              <w:left w:type="dxa" w:w="110"/>
              <w:bottom w:type="dxa" w:w="80"/>
              <w:right w:type="dxa" w:w="110"/>
            </w:tcMar>
          </w:tcPr>
          <w:p>
            <w:r>
              <w:rPr>
                <w:b w:val="false"/>
                <w:bCs w:val="false"/>
                <w:sz w:val="19"/>
                <w:szCs w:val="19"/>
              </w:rPr>
              <w:t xml:space="preserve">50% off subscription in exchange for a case study and referrals. 4% platform fee from day one so residents get used to it.</w:t>
            </w:r>
          </w:p>
        </w:tc>
      </w:tr>
      <w:tr>
        <w:trPr>
          <w:tblHeader w:val="off"/>
        </w:trPr>
        <w:tc>
          <w:tcPr>
            <w:tcW w:type="dxa" w:w="22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19"/>
                <w:szCs w:val="19"/>
              </w:rPr>
              <w:t xml:space="preserve">Full rollout</w:t>
            </w:r>
          </w:p>
        </w:tc>
        <w:tc>
          <w:tcPr>
            <w:tcW w:type="dxa" w:w="2000"/>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19"/>
                <w:szCs w:val="19"/>
              </w:rPr>
              <w:t xml:space="preserve">Year 2 onward</w:t>
            </w:r>
          </w:p>
        </w:tc>
        <w:tc>
          <w:tcPr>
            <w:tcW w:type="dxa" w:w="4826"/>
            <w:tcBorders>
              <w:top w:val="single" w:color="BFBFBF" w:sz="4"/>
              <w:left w:val="single" w:color="BFBFBF" w:sz="4"/>
              <w:bottom w:val="single" w:color="BFBFBF" w:sz="4"/>
              <w:right w:val="single" w:color="BFBFBF" w:sz="4"/>
            </w:tcBorders>
            <w:tcMar>
              <w:top w:type="dxa" w:w="80"/>
              <w:left w:type="dxa" w:w="110"/>
              <w:bottom w:type="dxa" w:w="80"/>
              <w:right w:type="dxa" w:w="110"/>
            </w:tcMar>
          </w:tcPr>
          <w:p>
            <w:r>
              <w:rPr>
                <w:b w:val="false"/>
                <w:bCs w:val="false"/>
                <w:sz w:val="19"/>
                <w:szCs w:val="19"/>
              </w:rPr>
              <w:t xml:space="preserve">Standard Growth pricing. Use the founding society’s results as the reference for new sales.</w:t>
            </w:r>
          </w:p>
        </w:tc>
      </w:tr>
    </w:tbl>
    <w:p>
      <w:pPr>
        <w:spacing w:after="120"/>
      </w:pPr>
    </w:p>
    <w:p>
      <w:pPr>
        <w:pStyle w:val="Heading2"/>
        <w:spacing w:after="100" w:before="220"/>
      </w:pPr>
      <w:r>
        <w:t xml:space="preserve">Metrics to validate before fixing prices</w:t>
      </w:r>
    </w:p>
    <w:p>
      <w:pPr>
        <w:pStyle w:val="ListParagraph"/>
        <w:numPr>
          <w:ilvl w:val="0"/>
          <w:numId w:val="2"/>
        </w:numPr>
        <w:spacing w:after="80"/>
      </w:pPr>
      <w:r>
        <w:t xml:space="preserve">Actual sessions per charger per day</w:t>
      </w:r>
    </w:p>
    <w:p>
      <w:pPr>
        <w:pStyle w:val="ListParagraph"/>
        <w:numPr>
          <w:ilvl w:val="0"/>
          <w:numId w:val="2"/>
        </w:numPr>
        <w:spacing w:after="80"/>
      </w:pPr>
      <w:r>
        <w:t xml:space="preserve">Average kWh per session</w:t>
      </w:r>
    </w:p>
    <w:p>
      <w:pPr>
        <w:pStyle w:val="ListParagraph"/>
        <w:numPr>
          <w:ilvl w:val="0"/>
          <w:numId w:val="2"/>
        </w:numPr>
        <w:spacing w:after="80"/>
      </w:pPr>
      <w:r>
        <w:t xml:space="preserve">The per-kWh rate the society charges residents</w:t>
      </w:r>
    </w:p>
    <w:p>
      <w:pPr>
        <w:pStyle w:val="ListParagraph"/>
        <w:numPr>
          <w:ilvl w:val="0"/>
          <w:numId w:val="2"/>
        </w:numPr>
        <w:spacing w:after="80"/>
      </w:pPr>
      <w:r>
        <w:t xml:space="preserve">Whether the society prefers a subscription or a pure pay-per-use model</w:t>
      </w:r>
    </w:p>
    <w:p>
      <w:pPr>
        <w:pStyle w:val="ListParagraph"/>
        <w:numPr>
          <w:ilvl w:val="0"/>
          <w:numId w:val="2"/>
        </w:numPr>
        <w:spacing w:after="80"/>
      </w:pPr>
      <w:r>
        <w:t xml:space="preserve">Admin hours saved per month (to support the value story)</w:t>
      </w:r>
    </w:p>
    <w:sectPr>
      <w:footerReference w:type="default" r:id="rId6"/>
      <w:pgSz w:w="11906" w:h="16838" w:orient="portrait"/>
      <w:pgMar w:top="1300" w:right="1440" w:bottom="130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888888"/>
        <w:sz w:val="16"/>
        <w:szCs w:val="16"/>
      </w:rPr>
      <w:t xml:space="preserve">EVNest · Revenue Model   |   Page </w:t>
    </w:r>
    <w:r>
      <w:rPr>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abstractNum w:abstractNumId="3" w15:restartNumberingAfterBreak="0">
    <w:multiLevelType w:val="hybridMultilevel"/>
    <w:lvl w:ilvl="0" w:tentative="1">
      <w:start w:val="1"/>
      <w:numFmt w:val="decimal"/>
      <w:lvlText w:val="%1."/>
      <w:lvlJc w:val="left"/>
      <w:pPr>
        <w:ind w:left="54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rPr>
      <w:b/>
      <w:bCs/>
      <w:color w:val="1F5F6B"/>
      <w:sz w:val="30"/>
      <w:szCs w:val="30"/>
    </w:rPr>
  </w:style>
  <w:style w:type="paragraph" w:styleId="Heading2">
    <w:name w:val="Heading 2"/>
    <w:basedOn w:val="Normal"/>
    <w:next w:val="Normal"/>
    <w:qFormat/>
    <w:rPr>
      <w:b/>
      <w:bCs/>
      <w:color w:val="333333"/>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EVNest Revenue Model</dc:title>
  <dc:creator>EVNest</dc:creator>
  <cp:lastModifiedBy>Un-named</cp:lastModifiedBy>
  <cp:revision>1</cp:revision>
  <dcterms:created xsi:type="dcterms:W3CDTF">2026-09-29T05:18:49.932Z</dcterms:created>
  <dcterms:modified xsi:type="dcterms:W3CDTF">2026-09-29T05:18:49.932Z</dcterms:modified>
</cp:coreProperties>
</file>

<file path=docProps/custom.xml><?xml version="1.0" encoding="utf-8"?>
<Properties xmlns="http://schemas.openxmlformats.org/officeDocument/2006/custom-properties" xmlns:vt="http://schemas.openxmlformats.org/officeDocument/2006/docPropsVTypes"/>
</file>