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6A0B3" w14:textId="6EA4F1DF" w:rsidR="00DD3459" w:rsidRPr="007F0E0A" w:rsidRDefault="00FB26E3">
      <w:pPr>
        <w:rPr>
          <w:b/>
          <w:bCs/>
          <w:sz w:val="24"/>
          <w:szCs w:val="24"/>
        </w:rPr>
      </w:pPr>
      <w:proofErr w:type="gramStart"/>
      <w:r w:rsidRPr="007F0E0A">
        <w:rPr>
          <w:b/>
          <w:bCs/>
          <w:sz w:val="24"/>
          <w:szCs w:val="24"/>
        </w:rPr>
        <w:t>Title:-</w:t>
      </w:r>
      <w:proofErr w:type="gramEnd"/>
      <w:r w:rsidRPr="007F0E0A">
        <w:rPr>
          <w:b/>
          <w:bCs/>
          <w:sz w:val="24"/>
          <w:szCs w:val="24"/>
        </w:rPr>
        <w:t xml:space="preserve"> A novel multi-site simulation methodology for streamflow applications and its applications to the Ohio River Basin.</w:t>
      </w:r>
    </w:p>
    <w:p w14:paraId="4B5EBD43" w14:textId="0C8F932D" w:rsidR="00FB26E3" w:rsidRPr="007F0E0A" w:rsidRDefault="00FB26E3">
      <w:pPr>
        <w:rPr>
          <w:sz w:val="24"/>
          <w:szCs w:val="24"/>
        </w:rPr>
      </w:pPr>
    </w:p>
    <w:p w14:paraId="7B0DE509" w14:textId="11BCB144" w:rsidR="00FB26E3" w:rsidRPr="007F0E0A" w:rsidRDefault="00FB26E3">
      <w:pPr>
        <w:rPr>
          <w:sz w:val="24"/>
          <w:szCs w:val="24"/>
        </w:rPr>
      </w:pPr>
      <w:r w:rsidRPr="007F0E0A">
        <w:rPr>
          <w:sz w:val="24"/>
          <w:szCs w:val="24"/>
        </w:rPr>
        <w:t>Keywords: - Multi-site Streamflow Simulations, Climate Extremes, Risk Analysis, NAO, Ohio River Basin</w:t>
      </w:r>
      <w:r w:rsidR="00E80257" w:rsidRPr="007F0E0A">
        <w:rPr>
          <w:sz w:val="24"/>
          <w:szCs w:val="24"/>
        </w:rPr>
        <w:t xml:space="preserve">. </w:t>
      </w:r>
    </w:p>
    <w:p w14:paraId="4BA5C761" w14:textId="16BC7762" w:rsidR="00FB26E3" w:rsidRPr="007F0E0A" w:rsidRDefault="00FB26E3">
      <w:pPr>
        <w:rPr>
          <w:sz w:val="24"/>
          <w:szCs w:val="24"/>
        </w:rPr>
      </w:pPr>
    </w:p>
    <w:p w14:paraId="573CA724" w14:textId="2FB9B46E" w:rsidR="003A4609" w:rsidRPr="007F0E0A" w:rsidRDefault="003A4609">
      <w:pPr>
        <w:rPr>
          <w:sz w:val="24"/>
          <w:szCs w:val="24"/>
        </w:rPr>
      </w:pPr>
      <w:proofErr w:type="gramStart"/>
      <w:r w:rsidRPr="007F0E0A">
        <w:rPr>
          <w:sz w:val="24"/>
          <w:szCs w:val="24"/>
        </w:rPr>
        <w:t>Abstract:-</w:t>
      </w:r>
      <w:proofErr w:type="gramEnd"/>
      <w:r w:rsidRPr="007F0E0A">
        <w:rPr>
          <w:sz w:val="24"/>
          <w:szCs w:val="24"/>
        </w:rPr>
        <w:t xml:space="preserve"> </w:t>
      </w:r>
      <w:r w:rsidR="00E80257" w:rsidRPr="007F0E0A">
        <w:rPr>
          <w:sz w:val="24"/>
          <w:szCs w:val="24"/>
        </w:rPr>
        <w:t xml:space="preserve">A novel methodology for the prediction and simulation of streamflow extremes has been proposed. This methodology has been applied to the Ohio River Basin. This method deals with multi-site simulations using dimensionally reduced components of the field. Further the spatial aspects of the region </w:t>
      </w:r>
      <w:proofErr w:type="gramStart"/>
      <w:r w:rsidR="00E80257" w:rsidRPr="007F0E0A">
        <w:rPr>
          <w:sz w:val="24"/>
          <w:szCs w:val="24"/>
        </w:rPr>
        <w:t>is</w:t>
      </w:r>
      <w:proofErr w:type="gramEnd"/>
      <w:r w:rsidR="00E80257" w:rsidRPr="007F0E0A">
        <w:rPr>
          <w:sz w:val="24"/>
          <w:szCs w:val="24"/>
        </w:rPr>
        <w:t xml:space="preserve"> also accounted in the method. The North American Oscillation</w:t>
      </w:r>
      <w:r w:rsidR="003C1453" w:rsidRPr="007F0E0A">
        <w:rPr>
          <w:sz w:val="24"/>
          <w:szCs w:val="24"/>
        </w:rPr>
        <w:t xml:space="preserve"> </w:t>
      </w:r>
      <w:r w:rsidR="00E80257" w:rsidRPr="007F0E0A">
        <w:rPr>
          <w:sz w:val="24"/>
          <w:szCs w:val="24"/>
        </w:rPr>
        <w:t xml:space="preserve">(NAO) has been shown to influence the extremes and provides predictability pathways across a multi-year </w:t>
      </w:r>
      <w:proofErr w:type="gramStart"/>
      <w:r w:rsidR="00E80257" w:rsidRPr="007F0E0A">
        <w:rPr>
          <w:sz w:val="24"/>
          <w:szCs w:val="24"/>
        </w:rPr>
        <w:t>horizons</w:t>
      </w:r>
      <w:proofErr w:type="gramEnd"/>
      <w:r w:rsidR="00E80257" w:rsidRPr="007F0E0A">
        <w:rPr>
          <w:sz w:val="24"/>
          <w:szCs w:val="24"/>
        </w:rPr>
        <w:t>.</w:t>
      </w:r>
      <w:r w:rsidR="003C1453" w:rsidRPr="007F0E0A">
        <w:rPr>
          <w:sz w:val="24"/>
          <w:szCs w:val="24"/>
        </w:rPr>
        <w:t xml:space="preserve"> The Ohio River Basin also reveals several </w:t>
      </w:r>
      <w:bookmarkStart w:id="0" w:name="_GoBack"/>
      <w:bookmarkEnd w:id="0"/>
      <w:r w:rsidR="003C1453" w:rsidRPr="007F0E0A">
        <w:rPr>
          <w:sz w:val="24"/>
          <w:szCs w:val="24"/>
        </w:rPr>
        <w:t xml:space="preserve">characteristic aspects of </w:t>
      </w:r>
      <w:proofErr w:type="gramStart"/>
      <w:r w:rsidR="003C1453" w:rsidRPr="007F0E0A">
        <w:rPr>
          <w:sz w:val="24"/>
          <w:szCs w:val="24"/>
        </w:rPr>
        <w:t>large scale</w:t>
      </w:r>
      <w:proofErr w:type="gramEnd"/>
      <w:r w:rsidR="003C1453" w:rsidRPr="007F0E0A">
        <w:rPr>
          <w:sz w:val="24"/>
          <w:szCs w:val="24"/>
        </w:rPr>
        <w:t xml:space="preserve"> hydrology sectors. </w:t>
      </w:r>
    </w:p>
    <w:p w14:paraId="46CBE6CF" w14:textId="7604A0A4" w:rsidR="00FB26E3" w:rsidRDefault="00FB26E3">
      <w:pPr>
        <w:rPr>
          <w:b/>
          <w:bCs/>
          <w:sz w:val="24"/>
          <w:szCs w:val="24"/>
        </w:rPr>
      </w:pPr>
      <w:proofErr w:type="gramStart"/>
      <w:r w:rsidRPr="003A4609">
        <w:rPr>
          <w:b/>
          <w:bCs/>
          <w:sz w:val="24"/>
          <w:szCs w:val="24"/>
        </w:rPr>
        <w:t>Introduction</w:t>
      </w:r>
      <w:r w:rsidR="003A4609" w:rsidRPr="003A4609">
        <w:rPr>
          <w:b/>
          <w:bCs/>
          <w:sz w:val="24"/>
          <w:szCs w:val="24"/>
        </w:rPr>
        <w:t>:-</w:t>
      </w:r>
      <w:proofErr w:type="gramEnd"/>
      <w:r w:rsidR="003A4609" w:rsidRPr="003A4609">
        <w:rPr>
          <w:b/>
          <w:bCs/>
          <w:sz w:val="24"/>
          <w:szCs w:val="24"/>
        </w:rPr>
        <w:t xml:space="preserve"> </w:t>
      </w:r>
    </w:p>
    <w:p w14:paraId="51A7FFE9" w14:textId="70357D05" w:rsidR="003A4609" w:rsidRDefault="003A4609">
      <w:pPr>
        <w:rPr>
          <w:sz w:val="24"/>
          <w:szCs w:val="24"/>
          <w:u w:val="single"/>
        </w:rPr>
      </w:pPr>
      <w:r w:rsidRPr="006243FD">
        <w:rPr>
          <w:sz w:val="24"/>
          <w:szCs w:val="24"/>
          <w:u w:val="single"/>
        </w:rPr>
        <w:t>Precipitation/Streamflow Importance</w:t>
      </w:r>
      <w:r w:rsidR="00EF5319" w:rsidRPr="006243FD">
        <w:rPr>
          <w:sz w:val="24"/>
          <w:szCs w:val="24"/>
          <w:u w:val="single"/>
        </w:rPr>
        <w:t xml:space="preserve"> </w:t>
      </w:r>
    </w:p>
    <w:p w14:paraId="4F0A1B4E" w14:textId="5C4286FD" w:rsidR="006243FD" w:rsidRPr="006243FD" w:rsidRDefault="006243FD">
      <w:pPr>
        <w:rPr>
          <w:sz w:val="24"/>
          <w:szCs w:val="24"/>
        </w:rPr>
      </w:pPr>
      <w:r>
        <w:rPr>
          <w:sz w:val="24"/>
          <w:szCs w:val="24"/>
        </w:rPr>
        <w:t xml:space="preserve">Floods </w:t>
      </w:r>
      <w:r w:rsidR="007F0E0A">
        <w:rPr>
          <w:sz w:val="24"/>
          <w:szCs w:val="24"/>
        </w:rPr>
        <w:t xml:space="preserve">account for large fraction of the losses included in natural hazards. As urbanization and land use change increases this risk is likely going to increase in the future. </w:t>
      </w:r>
    </w:p>
    <w:p w14:paraId="6D858491" w14:textId="705E794F" w:rsidR="003A4609" w:rsidRDefault="003A4609">
      <w:pPr>
        <w:rPr>
          <w:sz w:val="24"/>
          <w:szCs w:val="24"/>
          <w:u w:val="single"/>
        </w:rPr>
      </w:pPr>
      <w:r w:rsidRPr="001E2BF9">
        <w:rPr>
          <w:sz w:val="24"/>
          <w:szCs w:val="24"/>
          <w:u w:val="single"/>
        </w:rPr>
        <w:t>History of the Ohio River Basin</w:t>
      </w:r>
      <w:r w:rsidR="00EF5319" w:rsidRPr="001E2BF9">
        <w:rPr>
          <w:sz w:val="24"/>
          <w:szCs w:val="24"/>
          <w:u w:val="single"/>
        </w:rPr>
        <w:t xml:space="preserve">  </w:t>
      </w:r>
    </w:p>
    <w:p w14:paraId="7360BEA3" w14:textId="5B483CD7" w:rsidR="001E2BF9" w:rsidRPr="001E2BF9" w:rsidRDefault="001E2BF9" w:rsidP="001E2BF9">
      <w:pPr>
        <w:ind w:firstLine="720"/>
        <w:rPr>
          <w:sz w:val="24"/>
          <w:szCs w:val="24"/>
        </w:rPr>
      </w:pPr>
      <w:r>
        <w:rPr>
          <w:sz w:val="24"/>
          <w:szCs w:val="24"/>
        </w:rPr>
        <w:t>The Ohio River Basin has a long history of large-scale basin wide floods with major events occurring in 1927, 1945, 1997 and 2011. Unlike other common flooding mechanisms which rely on the land use characteristics, urban landscape and soil, the flooding in this region is dominated by persistent precipitation and/or snow melt events</w:t>
      </w:r>
      <w:r w:rsidR="006243FD">
        <w:rPr>
          <w:sz w:val="24"/>
          <w:szCs w:val="24"/>
        </w:rPr>
        <w:fldChar w:fldCharType="begin"/>
      </w:r>
      <w:r w:rsidR="006243FD">
        <w:rPr>
          <w:sz w:val="24"/>
          <w:szCs w:val="24"/>
        </w:rPr>
        <w:instrText xml:space="preserve"> ADDIN ZOTERO_ITEM CSL_CITATION {"citationID":"1lmdzt6X","properties":{"formattedCitation":"(Farnham, Doss\\uc0\\u8208{}Gollin, &amp; Lall, 2018; Nakamura, Lall, Kushnir, Robertson, &amp; Seager, 2013)","plainCitation":"(Farnham, Doss‐Gollin, &amp; Lall, 2018; Nakamura, Lall, Kushnir, Robertson, &amp; Seager, 2013)","noteIndex":0},"citationItems":[{"id":141,"uris":["http://zotero.org/users/4874514/items/DSWFNEWH"],"uri":["http://zotero.org/users/4874514/items/DSWFNEWH"],"itemData":{"id":141,"type":"article-journal","title":"Regional Extreme Precipitation Events: Robust Inference From Credibly Simulated GCM Variables","container-title":"Water Resources Research","page":"3809-3824","volume":"54","issue":"6","source":"Wiley Online Library","abstract":"General circulation models (GCMs) have been demonstrated to produce estimates of precipitation, including the frequency of extreme precipitation, with substantial bias and uncertainty relative to their representation of other fields. Thus, while theory predicts changes in the hydrologic cycle under anthropogenic warming, there is generally low confidence in future projections of extreme precipitation frequency for specific river basins. In this paper, we explore whether a GCM simulates large-scale atmospheric circulation indices that are associated with regional extreme precipitation (REP) days more accurately than it simulates REP days themselves, and thus whether conditional simulation of the precipitation events based on the circulation indices may improve the simulation of REP events. We show that a coupled Geophysical Fluid Dynamics Laboratory GCM simulates too many springtime REP days in the Ohio River Basin in historical (1950–2005) simulations. The GCM, however, does credibly simulate the distributional and persistence properties of several indices (which represent the large-scale atmospheric pressure features, local atmospheric moisture content, and local vertical velocity) that are shown to modulate the likelihood of REP occurrence in the reanalysis/observational record. We show that simulation of REP events based on the GCM-based atmospheric indices greatly reduces the bias of GCM REP frequency relative to the observed record. The simulation is conducted via a Bayesian regression model by imposing the empirical relationship between observed REP occurrence and the reanalysis-based atmospheric indices. Application of this model to future (2006–2100) representative concentration pathway 8.5 scenario suggests an increasing trend in springtime REP incidence in the study region. The proposed approach of simulating precipitation events of interest, particularly those poorly represented in GCMs, with a statistical model based on climate indices that are reasonably simulated by GCMs could be applied to subseasonal to seasonal forecasts as well as future projections.","DOI":"10.1002/2017WR021318","ISSN":"1944-7973","title-short":"Regional Extreme Precipitation Events","language":"en","author":[{"family":"Farnham","given":"David J."},{"family":"Doss‐Gollin","given":"James"},{"family":"Lall","given":"Upmanu"}],"issued":{"date-parts":[["2018",6,1]]}}},{"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6243FD">
        <w:rPr>
          <w:sz w:val="24"/>
          <w:szCs w:val="24"/>
        </w:rPr>
        <w:fldChar w:fldCharType="separate"/>
      </w:r>
      <w:r w:rsidR="006243FD" w:rsidRPr="006243FD">
        <w:rPr>
          <w:rFonts w:ascii="Calibri" w:hAnsi="Calibri" w:cs="Calibri"/>
          <w:sz w:val="24"/>
          <w:szCs w:val="24"/>
        </w:rPr>
        <w:t>(</w:t>
      </w:r>
      <w:proofErr w:type="spellStart"/>
      <w:r w:rsidR="006243FD" w:rsidRPr="006243FD">
        <w:rPr>
          <w:rFonts w:ascii="Calibri" w:hAnsi="Calibri" w:cs="Calibri"/>
          <w:sz w:val="24"/>
          <w:szCs w:val="24"/>
        </w:rPr>
        <w:t>Farnham</w:t>
      </w:r>
      <w:proofErr w:type="spellEnd"/>
      <w:r w:rsidR="006243FD" w:rsidRPr="006243FD">
        <w:rPr>
          <w:rFonts w:ascii="Calibri" w:hAnsi="Calibri" w:cs="Calibri"/>
          <w:sz w:val="24"/>
          <w:szCs w:val="24"/>
        </w:rPr>
        <w:t>, Doss‐</w:t>
      </w:r>
      <w:proofErr w:type="spellStart"/>
      <w:r w:rsidR="006243FD" w:rsidRPr="006243FD">
        <w:rPr>
          <w:rFonts w:ascii="Calibri" w:hAnsi="Calibri" w:cs="Calibri"/>
          <w:sz w:val="24"/>
          <w:szCs w:val="24"/>
        </w:rPr>
        <w:t>Gollin</w:t>
      </w:r>
      <w:proofErr w:type="spellEnd"/>
      <w:r w:rsidR="006243FD" w:rsidRPr="006243FD">
        <w:rPr>
          <w:rFonts w:ascii="Calibri" w:hAnsi="Calibri" w:cs="Calibri"/>
          <w:sz w:val="24"/>
          <w:szCs w:val="24"/>
        </w:rPr>
        <w:t xml:space="preserve">, &amp; </w:t>
      </w:r>
      <w:proofErr w:type="spellStart"/>
      <w:r w:rsidR="006243FD" w:rsidRPr="006243FD">
        <w:rPr>
          <w:rFonts w:ascii="Calibri" w:hAnsi="Calibri" w:cs="Calibri"/>
          <w:sz w:val="24"/>
          <w:szCs w:val="24"/>
        </w:rPr>
        <w:t>Lall</w:t>
      </w:r>
      <w:proofErr w:type="spellEnd"/>
      <w:r w:rsidR="006243FD" w:rsidRPr="006243FD">
        <w:rPr>
          <w:rFonts w:ascii="Calibri" w:hAnsi="Calibri" w:cs="Calibri"/>
          <w:sz w:val="24"/>
          <w:szCs w:val="24"/>
        </w:rPr>
        <w:t xml:space="preserve">, 2018; Nakamura, </w:t>
      </w:r>
      <w:proofErr w:type="spellStart"/>
      <w:r w:rsidR="006243FD" w:rsidRPr="006243FD">
        <w:rPr>
          <w:rFonts w:ascii="Calibri" w:hAnsi="Calibri" w:cs="Calibri"/>
          <w:sz w:val="24"/>
          <w:szCs w:val="24"/>
        </w:rPr>
        <w:t>Lall</w:t>
      </w:r>
      <w:proofErr w:type="spellEnd"/>
      <w:r w:rsidR="006243FD" w:rsidRPr="006243FD">
        <w:rPr>
          <w:rFonts w:ascii="Calibri" w:hAnsi="Calibri" w:cs="Calibri"/>
          <w:sz w:val="24"/>
          <w:szCs w:val="24"/>
        </w:rPr>
        <w:t xml:space="preserve">, </w:t>
      </w:r>
      <w:proofErr w:type="spellStart"/>
      <w:r w:rsidR="006243FD" w:rsidRPr="006243FD">
        <w:rPr>
          <w:rFonts w:ascii="Calibri" w:hAnsi="Calibri" w:cs="Calibri"/>
          <w:sz w:val="24"/>
          <w:szCs w:val="24"/>
        </w:rPr>
        <w:t>Kushnir</w:t>
      </w:r>
      <w:proofErr w:type="spellEnd"/>
      <w:r w:rsidR="006243FD" w:rsidRPr="006243FD">
        <w:rPr>
          <w:rFonts w:ascii="Calibri" w:hAnsi="Calibri" w:cs="Calibri"/>
          <w:sz w:val="24"/>
          <w:szCs w:val="24"/>
        </w:rPr>
        <w:t>, Robertson, &amp; Seager, 2013)</w:t>
      </w:r>
      <w:r w:rsidR="006243FD">
        <w:rPr>
          <w:sz w:val="24"/>
          <w:szCs w:val="24"/>
        </w:rPr>
        <w:fldChar w:fldCharType="end"/>
      </w:r>
      <w:r>
        <w:rPr>
          <w:sz w:val="24"/>
          <w:szCs w:val="24"/>
        </w:rPr>
        <w:t xml:space="preserve">. </w:t>
      </w:r>
    </w:p>
    <w:p w14:paraId="0D1D1B2D" w14:textId="24F07577" w:rsidR="003A4E3F" w:rsidRDefault="003A4E3F">
      <w:pPr>
        <w:rPr>
          <w:sz w:val="24"/>
          <w:szCs w:val="24"/>
          <w:u w:val="single"/>
        </w:rPr>
      </w:pPr>
      <w:r w:rsidRPr="00DC6118">
        <w:rPr>
          <w:sz w:val="24"/>
          <w:szCs w:val="24"/>
          <w:u w:val="single"/>
        </w:rPr>
        <w:t>Risk Analysis Component</w:t>
      </w:r>
    </w:p>
    <w:p w14:paraId="37D71E3D" w14:textId="09DCA862" w:rsidR="00DC6118" w:rsidRDefault="00DC6118">
      <w:pPr>
        <w:rPr>
          <w:sz w:val="24"/>
          <w:szCs w:val="24"/>
        </w:rPr>
      </w:pPr>
      <w:r>
        <w:rPr>
          <w:sz w:val="24"/>
          <w:szCs w:val="24"/>
        </w:rPr>
        <w:tab/>
        <w:t xml:space="preserve">Current state of the art </w:t>
      </w:r>
      <w:r w:rsidR="00006555">
        <w:rPr>
          <w:sz w:val="24"/>
          <w:szCs w:val="24"/>
        </w:rPr>
        <w:t xml:space="preserve">for risk analysis with respect to streamflow and precipitation involves point risk estimation at each site. This method ignores the </w:t>
      </w:r>
      <w:proofErr w:type="spellStart"/>
      <w:r w:rsidR="00006555">
        <w:rPr>
          <w:sz w:val="24"/>
          <w:szCs w:val="24"/>
        </w:rPr>
        <w:t>spatio</w:t>
      </w:r>
      <w:proofErr w:type="spellEnd"/>
      <w:r w:rsidR="00006555">
        <w:rPr>
          <w:sz w:val="24"/>
          <w:szCs w:val="24"/>
        </w:rPr>
        <w:t xml:space="preserve">-temporal aspect of risks consequently leading to underestimation of true risk faced at the site. Here we review the risk at a basin wide scale </w:t>
      </w:r>
      <w:r w:rsidR="00C86023">
        <w:rPr>
          <w:sz w:val="24"/>
          <w:szCs w:val="24"/>
        </w:rPr>
        <w:t>considering</w:t>
      </w:r>
      <w:r w:rsidR="00006555">
        <w:rPr>
          <w:sz w:val="24"/>
          <w:szCs w:val="24"/>
        </w:rPr>
        <w:t xml:space="preserve"> the non-stationarity in the hydroclimatic time series. A proper representation of this risk is important for crucial infrastructure systems to prevent the occurrence of cascading failures and </w:t>
      </w:r>
      <w:r w:rsidR="00C86023">
        <w:rPr>
          <w:sz w:val="24"/>
          <w:szCs w:val="24"/>
        </w:rPr>
        <w:t>large-scale</w:t>
      </w:r>
      <w:r w:rsidR="00006555">
        <w:rPr>
          <w:sz w:val="24"/>
          <w:szCs w:val="24"/>
        </w:rPr>
        <w:t xml:space="preserve"> losses. </w:t>
      </w:r>
    </w:p>
    <w:p w14:paraId="77388AB1" w14:textId="2F5E1D16" w:rsidR="00C86023" w:rsidRPr="00DC6118" w:rsidRDefault="00C86023">
      <w:pPr>
        <w:rPr>
          <w:sz w:val="24"/>
          <w:szCs w:val="24"/>
        </w:rPr>
      </w:pPr>
      <w:r>
        <w:rPr>
          <w:sz w:val="24"/>
          <w:szCs w:val="24"/>
        </w:rPr>
        <w:tab/>
        <w:t xml:space="preserve">A proper representation of risk should be able to capture the underlying non-linear, non-stationary </w:t>
      </w:r>
      <w:proofErr w:type="spellStart"/>
      <w:r>
        <w:rPr>
          <w:sz w:val="24"/>
          <w:szCs w:val="24"/>
        </w:rPr>
        <w:t>spatio</w:t>
      </w:r>
      <w:proofErr w:type="spellEnd"/>
      <w:r>
        <w:rPr>
          <w:sz w:val="24"/>
          <w:szCs w:val="24"/>
        </w:rPr>
        <w:t xml:space="preserve">-temporal structure across the entire basin and not just at individual sites. Traditional time series models like the Box-Jenkins which assumes stationarity in the data have failed in this aspect. </w:t>
      </w:r>
    </w:p>
    <w:p w14:paraId="2A939D14" w14:textId="19006CBA" w:rsidR="003A4609" w:rsidRPr="00DC6118" w:rsidRDefault="003A4E3F">
      <w:pPr>
        <w:rPr>
          <w:sz w:val="24"/>
          <w:szCs w:val="24"/>
          <w:u w:val="single"/>
        </w:rPr>
      </w:pPr>
      <w:r w:rsidRPr="00DC6118">
        <w:rPr>
          <w:sz w:val="24"/>
          <w:szCs w:val="24"/>
          <w:u w:val="single"/>
        </w:rPr>
        <w:lastRenderedPageBreak/>
        <w:t>Walkthrough the paper</w:t>
      </w:r>
      <w:r w:rsidR="003A4609" w:rsidRPr="00DC6118">
        <w:rPr>
          <w:sz w:val="24"/>
          <w:szCs w:val="24"/>
          <w:u w:val="single"/>
        </w:rPr>
        <w:t xml:space="preserve"> </w:t>
      </w:r>
    </w:p>
    <w:p w14:paraId="4057E081" w14:textId="63AAA7B3" w:rsidR="00DC6118" w:rsidRPr="00DC6118" w:rsidRDefault="00DC6118">
      <w:pPr>
        <w:rPr>
          <w:sz w:val="24"/>
          <w:szCs w:val="24"/>
        </w:rPr>
      </w:pPr>
      <w:r w:rsidRPr="00DC6118">
        <w:rPr>
          <w:sz w:val="24"/>
          <w:szCs w:val="24"/>
        </w:rPr>
        <w:tab/>
        <w:t>Section 2 elaborates on the data used in this study and the various methods to extract the underlying structure of streamflow extremities on a basin-wide level. The results are</w:t>
      </w:r>
      <w:r>
        <w:rPr>
          <w:sz w:val="24"/>
          <w:szCs w:val="24"/>
        </w:rPr>
        <w:t xml:space="preserve"> presented in Section 3 along with discussion on their meaning. The results section is further subdivided into parts which help evaluate the underlying non-linear structure, </w:t>
      </w:r>
      <w:proofErr w:type="gramStart"/>
      <w:r>
        <w:rPr>
          <w:sz w:val="24"/>
          <w:szCs w:val="24"/>
        </w:rPr>
        <w:t xml:space="preserve">the </w:t>
      </w:r>
      <w:r w:rsidRPr="00DC6118">
        <w:rPr>
          <w:sz w:val="24"/>
          <w:szCs w:val="24"/>
        </w:rPr>
        <w:t xml:space="preserve"> </w:t>
      </w:r>
      <w:r>
        <w:rPr>
          <w:sz w:val="24"/>
          <w:szCs w:val="24"/>
        </w:rPr>
        <w:t>simulating</w:t>
      </w:r>
      <w:proofErr w:type="gramEnd"/>
      <w:r>
        <w:rPr>
          <w:sz w:val="24"/>
          <w:szCs w:val="24"/>
        </w:rPr>
        <w:t xml:space="preserve"> the occurrence of extremes and finally in prediction of these extremes. The conclusion and possibilities of extension of this methodology to various river basins is covered in Section 4.  </w:t>
      </w:r>
    </w:p>
    <w:p w14:paraId="17B21CC1" w14:textId="77777777" w:rsidR="003A4E3F" w:rsidRDefault="003A4E3F">
      <w:pPr>
        <w:rPr>
          <w:b/>
          <w:bCs/>
          <w:sz w:val="24"/>
          <w:szCs w:val="24"/>
        </w:rPr>
      </w:pPr>
    </w:p>
    <w:p w14:paraId="251FEB24" w14:textId="25C1D26B" w:rsidR="00FB26E3" w:rsidRDefault="00FB26E3">
      <w:pPr>
        <w:rPr>
          <w:b/>
          <w:bCs/>
          <w:sz w:val="24"/>
          <w:szCs w:val="24"/>
        </w:rPr>
      </w:pPr>
      <w:r w:rsidRPr="003A4609">
        <w:rPr>
          <w:b/>
          <w:bCs/>
          <w:sz w:val="24"/>
          <w:szCs w:val="24"/>
        </w:rPr>
        <w:t xml:space="preserve">Data &amp; </w:t>
      </w:r>
      <w:proofErr w:type="gramStart"/>
      <w:r w:rsidRPr="003A4609">
        <w:rPr>
          <w:b/>
          <w:bCs/>
          <w:sz w:val="24"/>
          <w:szCs w:val="24"/>
        </w:rPr>
        <w:t>Methods</w:t>
      </w:r>
      <w:r w:rsidR="003A4609" w:rsidRPr="003A4609">
        <w:rPr>
          <w:b/>
          <w:bCs/>
          <w:sz w:val="24"/>
          <w:szCs w:val="24"/>
        </w:rPr>
        <w:t>:-</w:t>
      </w:r>
      <w:proofErr w:type="gramEnd"/>
      <w:r w:rsidR="003A4609" w:rsidRPr="003A4609">
        <w:rPr>
          <w:b/>
          <w:bCs/>
          <w:sz w:val="24"/>
          <w:szCs w:val="24"/>
        </w:rPr>
        <w:t xml:space="preserve"> </w:t>
      </w:r>
    </w:p>
    <w:p w14:paraId="33789140" w14:textId="390B4A97" w:rsidR="003A4E3F" w:rsidRPr="00D950AB" w:rsidRDefault="003A4E3F">
      <w:pPr>
        <w:rPr>
          <w:sz w:val="24"/>
          <w:szCs w:val="24"/>
          <w:u w:val="single"/>
        </w:rPr>
      </w:pPr>
      <w:r w:rsidRPr="00D950AB">
        <w:rPr>
          <w:sz w:val="24"/>
          <w:szCs w:val="24"/>
          <w:u w:val="single"/>
        </w:rPr>
        <w:t xml:space="preserve">Streamflow Data and Annual Maxima </w:t>
      </w:r>
    </w:p>
    <w:p w14:paraId="4177181E" w14:textId="28928B8D" w:rsidR="0083589F" w:rsidRDefault="00D950AB">
      <w:pPr>
        <w:rPr>
          <w:sz w:val="24"/>
          <w:szCs w:val="24"/>
        </w:rPr>
      </w:pPr>
      <w:r>
        <w:rPr>
          <w:sz w:val="24"/>
          <w:szCs w:val="24"/>
        </w:rPr>
        <w:tab/>
        <w:t>The streamflow data w</w:t>
      </w:r>
      <w:r w:rsidR="00DC6118">
        <w:rPr>
          <w:sz w:val="24"/>
          <w:szCs w:val="24"/>
        </w:rPr>
        <w:t>ere</w:t>
      </w:r>
      <w:r>
        <w:rPr>
          <w:sz w:val="24"/>
          <w:szCs w:val="24"/>
        </w:rPr>
        <w:t xml:space="preserve"> restricted to the Ohio River Basin, the region of interest in this study. </w:t>
      </w:r>
      <w:r w:rsidR="0083589F">
        <w:rPr>
          <w:sz w:val="24"/>
          <w:szCs w:val="24"/>
        </w:rPr>
        <w:t>The data were downloaded from USGS and EPA sources using the ‘</w:t>
      </w:r>
      <w:proofErr w:type="spellStart"/>
      <w:r w:rsidR="0083589F">
        <w:rPr>
          <w:sz w:val="24"/>
          <w:szCs w:val="24"/>
        </w:rPr>
        <w:t>dataRetrieval</w:t>
      </w:r>
      <w:proofErr w:type="spellEnd"/>
      <w:r w:rsidR="0083589F">
        <w:rPr>
          <w:sz w:val="24"/>
          <w:szCs w:val="24"/>
        </w:rPr>
        <w:t xml:space="preserve">’ </w:t>
      </w:r>
      <w:r w:rsidR="0083589F">
        <w:rPr>
          <w:sz w:val="24"/>
          <w:szCs w:val="24"/>
        </w:rPr>
        <w:fldChar w:fldCharType="begin"/>
      </w:r>
      <w:r w:rsidR="0083589F">
        <w:rPr>
          <w:sz w:val="24"/>
          <w:szCs w:val="24"/>
        </w:rPr>
        <w:instrText xml:space="preserve"> ADDIN ZOTERO_ITEM CSL_CITATION {"citationID":"EhwLiJs1","properties":{"formattedCitation":"(Hirsch &amp; De Cicco, 2015)","plainCitation":"(Hirsch &amp; De Cicco, 2015)","noteIndex":0},"citationItems":[{"id":551,"uris":["http://zotero.org/users/4874514/items/EJ2KVCM3"],"uri":["http://zotero.org/users/4874514/items/EJ2KVCM3"],"itemData":{"id":551,"type":"report","title":"User guide to Exploration and Graphics for RivEr Trends (EGRET) and dataRetrieval: R packages for hydrologic data","collection-title":"Techniques and Methods","publisher":"U.S. Geological Survey","publisher-place":"Reston, VA","page":"104","genre":"USGS Numbered Series","source":"pubs.er.usgs.gov","event-place":"Reston, VA","abstract":"Evaluating long-term changes in river conditions (water quality and discharge) is an important use of hydrologic data. To carry out such evaluations, the hydrologist needs tools to facilitate several key steps in the process: acquiring the data records from a variety of sources, structuring it in ways that facilitate the analysis, processing the data with routines that extract information about changes that may be happening, and displaying findings with graphical techniques. A pair of tightly linked R packages, called dataRetrieval and EGRET (Exploration and Graphics for RivEr Trends), have been developed for carrying out each of these steps in an integrated manner. They are designed to easily accept data from three sources: U.S. Geological Survey hydrologic data, U.S. Environmental Protection Agency (EPA) STORET data, and user-supplied flat files. The dataRetrieval package not only serves as a “front end” to the EGRET package, it can also be used to easily download many types of hydrologic data and organize it in ways that facilitate many other hydrologic applications. The EGRET package has components oriented towards the description of long-term changes in streamflow statistics (high flow, average flow, and low flow) as well as changes in water quality. For the water-quality analysis, it uses Weighted Regressions on Time, Discharge and Season (WRTDS) to describe long-term trends in both concentration and flux. EGRET also creates a wide range of graphical presentations of the water-quality data and of the WRTDS results. This report serves as a user guide to these two R packages, providing detailed guidance on installation and use of the software, documentation of the analysis methods used, as well as guidance on some of the kinds of questions and approaches that the software can facilitate.","URL":"http://pubs.er.usgs.gov/publication/tm4A10","note":"IP-056100","number":"4-A10","title-short":"User guide to Exploration and Graphics for RivEr Trends (EGRET) and dataRetrieval","author":[{"family":"Hirsch","given":"Robert M."},{"family":"De Cicco","given":"Laura A."}],"issued":{"date-parts":[["2015"]]},"accessed":{"date-parts":[["2019",6,12]]}}}],"schema":"https://github.com/citation-style-language/schema/raw/master/csl-citation.json"} </w:instrText>
      </w:r>
      <w:r w:rsidR="0083589F">
        <w:rPr>
          <w:sz w:val="24"/>
          <w:szCs w:val="24"/>
        </w:rPr>
        <w:fldChar w:fldCharType="separate"/>
      </w:r>
      <w:r w:rsidR="0083589F" w:rsidRPr="0083589F">
        <w:rPr>
          <w:rFonts w:ascii="Calibri" w:hAnsi="Calibri" w:cs="Calibri"/>
          <w:sz w:val="24"/>
        </w:rPr>
        <w:t>(Hirsch &amp; De Cicco, 2015)</w:t>
      </w:r>
      <w:r w:rsidR="0083589F">
        <w:rPr>
          <w:sz w:val="24"/>
          <w:szCs w:val="24"/>
        </w:rPr>
        <w:fldChar w:fldCharType="end"/>
      </w:r>
      <w:r w:rsidR="0083589F">
        <w:rPr>
          <w:sz w:val="24"/>
          <w:szCs w:val="24"/>
        </w:rPr>
        <w:t xml:space="preserve"> package in R </w:t>
      </w:r>
      <w:r w:rsidR="0083589F">
        <w:rPr>
          <w:sz w:val="24"/>
          <w:szCs w:val="24"/>
        </w:rPr>
        <w:fldChar w:fldCharType="begin"/>
      </w:r>
      <w:r w:rsidR="0083589F">
        <w:rPr>
          <w:sz w:val="24"/>
          <w:szCs w:val="24"/>
        </w:rPr>
        <w:instrText xml:space="preserve"> ADDIN ZOTERO_ITEM CSL_CITATION {"citationID":"ADIEy7HQ","properties":{"formattedCitation":"(R Core Team, 2016)","plainCitation":"(R Core Team, 2016)","noteIndex":0},"citationItems":[{"id":446,"uris":["http://zotero.org/users/4874514/items/646TJPUP"],"uri":["http://zotero.org/users/4874514/items/646TJPUP"],"itemData":{"id":446,"type":"article-journal","title":"R: A language and environment for   statistical computing. R Foundation for Statistical   Computing, Vienna, Austria.","URL":"https://www.R-project.org/","author":[{"literal":"R Core Team"}],"issued":{"date-parts":[["2016"]]}}}],"schema":"https://github.com/citation-style-language/schema/raw/master/csl-citation.json"} </w:instrText>
      </w:r>
      <w:r w:rsidR="0083589F">
        <w:rPr>
          <w:sz w:val="24"/>
          <w:szCs w:val="24"/>
        </w:rPr>
        <w:fldChar w:fldCharType="separate"/>
      </w:r>
      <w:r w:rsidR="0083589F" w:rsidRPr="0083589F">
        <w:rPr>
          <w:rFonts w:ascii="Calibri" w:hAnsi="Calibri" w:cs="Calibri"/>
          <w:sz w:val="24"/>
        </w:rPr>
        <w:t>(R Core Team, 2016)</w:t>
      </w:r>
      <w:r w:rsidR="0083589F">
        <w:rPr>
          <w:sz w:val="24"/>
          <w:szCs w:val="24"/>
        </w:rPr>
        <w:fldChar w:fldCharType="end"/>
      </w:r>
      <w:r w:rsidR="0083589F">
        <w:rPr>
          <w:sz w:val="24"/>
          <w:szCs w:val="24"/>
        </w:rPr>
        <w:t xml:space="preserve">. Only stream gauges which had no missing daily data from 01/01/1937 to 12/31/2017 were selected. At each site the time series was transformed from daily to annual, using the annual maximum for </w:t>
      </w:r>
      <w:r w:rsidR="006E12AD">
        <w:rPr>
          <w:sz w:val="24"/>
          <w:szCs w:val="24"/>
        </w:rPr>
        <w:t xml:space="preserve">each year as a measure of extreme streamflow. </w:t>
      </w:r>
      <w:r w:rsidR="00DC6118">
        <w:rPr>
          <w:sz w:val="24"/>
          <w:szCs w:val="24"/>
        </w:rPr>
        <w:t xml:space="preserve">Using these criteria, the final number of sites was 30 with each location having 81 years of data from 1937-2017. </w:t>
      </w:r>
    </w:p>
    <w:p w14:paraId="0DF6BB62" w14:textId="3AA51174" w:rsidR="003A4E3F" w:rsidRPr="00101476" w:rsidRDefault="003A4E3F">
      <w:pPr>
        <w:rPr>
          <w:sz w:val="24"/>
          <w:szCs w:val="24"/>
          <w:u w:val="single"/>
        </w:rPr>
      </w:pPr>
      <w:r w:rsidRPr="00101476">
        <w:rPr>
          <w:sz w:val="24"/>
          <w:szCs w:val="24"/>
          <w:u w:val="single"/>
        </w:rPr>
        <w:t>Climate Indices</w:t>
      </w:r>
    </w:p>
    <w:p w14:paraId="3B85E48B" w14:textId="6FE4D6A4" w:rsidR="00D950AB" w:rsidRDefault="00101476">
      <w:pPr>
        <w:rPr>
          <w:sz w:val="24"/>
          <w:szCs w:val="24"/>
        </w:rPr>
      </w:pPr>
      <w:r>
        <w:rPr>
          <w:sz w:val="24"/>
          <w:szCs w:val="24"/>
        </w:rPr>
        <w:tab/>
        <w:t>The climate indices used in this study are El-Nino Southern Oscillation (ENSO), Pacific Decadal Oscillation(PDO) and North Atlantic Oscillation(NAO) along with their interactions</w:t>
      </w:r>
      <w:r>
        <w:rPr>
          <w:sz w:val="24"/>
          <w:szCs w:val="24"/>
        </w:rPr>
        <w:fldChar w:fldCharType="begin"/>
      </w:r>
      <w:r>
        <w:rPr>
          <w:sz w:val="24"/>
          <w:szCs w:val="24"/>
        </w:rPr>
        <w:instrText xml:space="preserve"> ADDIN ZOTERO_ITEM CSL_CITATION {"citationID":"3A2O1zgM","properties":{"formattedCitation":"(Newman, Compo, &amp; Alexander, 2003)","plainCitation":"(Newman, Compo, &amp; Alexander, 2003)","noteIndex":0},"citationItems":[{"id":749,"uris":["http://zotero.org/users/4874514/items/TFFVDLYY"],"uri":["http://zotero.org/users/4874514/items/TFFVDLYY"],"itemData":{"id":749,"type":"article-journal","title":"ENSO-Forced Variability of the Pacific Decadal Oscillation","container-title":"Journal of Climate","page":"3853-3857","volume":"16","issue":"23","source":"journals.ametsoc.org (Atypon)","abstract":"Variability of the Pacific decadal oscillation (PDO), on both interannual and decadal timescales, is well modeled as the sum of direct forcing by El Niño–Southern Oscillation (ENSO), the “reemergence” of North Pacific sea surface temperature anomalies in subsequent winters, and white noise atmospheric forcing. This simple model may be taken as a null hypothesis for the PDO, and may also be relevant for other climate integrators that have been previously related to the PDO.","DOI":"10.1175/1520-0442(2003)016&lt;3853:EVOTPD&gt;2.0.CO;2","ISSN":"0894-8755","journalAbbreviation":"J. Climate","author":[{"family":"Newman","given":"Matthew"},{"family":"Compo","given":"Gilbert P."},{"family":"Alexander","given":"Michael A."}],"issued":{"date-parts":[["2003",12,1]]}}}],"schema":"https://github.com/citation-style-language/schema/raw/master/csl-citation.json"} </w:instrText>
      </w:r>
      <w:r>
        <w:rPr>
          <w:sz w:val="24"/>
          <w:szCs w:val="24"/>
        </w:rPr>
        <w:fldChar w:fldCharType="separate"/>
      </w:r>
      <w:r w:rsidRPr="00101476">
        <w:rPr>
          <w:rFonts w:ascii="Calibri" w:hAnsi="Calibri" w:cs="Calibri"/>
          <w:sz w:val="24"/>
        </w:rPr>
        <w:t>(Newman, Compo, &amp; Alexander, 2003)</w:t>
      </w:r>
      <w:r>
        <w:rPr>
          <w:sz w:val="24"/>
          <w:szCs w:val="24"/>
        </w:rPr>
        <w:fldChar w:fldCharType="end"/>
      </w:r>
      <w:r>
        <w:rPr>
          <w:sz w:val="24"/>
          <w:szCs w:val="24"/>
        </w:rPr>
        <w:t xml:space="preserve">. The ENSO SST anomaly time series was taken from </w:t>
      </w:r>
      <w:proofErr w:type="spellStart"/>
      <w:r>
        <w:rPr>
          <w:sz w:val="24"/>
          <w:szCs w:val="24"/>
        </w:rPr>
        <w:t>HadISST</w:t>
      </w:r>
      <w:proofErr w:type="spellEnd"/>
      <w:r>
        <w:rPr>
          <w:sz w:val="24"/>
          <w:szCs w:val="24"/>
        </w:rPr>
        <w:t xml:space="preserve"> Nino 3.4 index. The NAO data was computed as the pressure difference between Gibraltar and Iceland</w:t>
      </w:r>
      <w:r>
        <w:rPr>
          <w:sz w:val="24"/>
          <w:szCs w:val="24"/>
        </w:rPr>
        <w:fldChar w:fldCharType="begin"/>
      </w:r>
      <w:r>
        <w:rPr>
          <w:sz w:val="24"/>
          <w:szCs w:val="24"/>
        </w:rPr>
        <w:instrText xml:space="preserve"> ADDIN ZOTERO_ITEM CSL_CITATION {"citationID":"LIHEVRv1","properties":{"formattedCitation":"(Jones, Jonsson, &amp; Wheeler, 1997)","plainCitation":"(Jones, Jonsson, &amp; Wheeler, 1997)","noteIndex":0},"citationItems":[{"id":555,"uris":["http://zotero.org/users/4874514/items/8PW9ES87"],"uri":["http://zotero.org/users/4874514/items/8PW9ES87"],"itemData":{"id":555,"type":"article-journal","title":"Extension to the North Atlantic oscillation using early instrumental pressure observations from Gibraltar and south-west Iceland","container-title":"International Journal of Climatology","page":"1433-1450","volume":"17","issue":"13","source":"Crossref","DOI":"10.1002/(SICI)1097-0088(19971115)17:13&lt;1433::AID-JOC203&gt;3.0.CO;2-P","ISSN":"08998418, 10970088","language":"en","author":[{"family":"Jones","given":"P. D."},{"family":"Jonsson","given":"T."},{"family":"Wheeler","given":"D."}],"issued":{"date-parts":[["1997",11,15]]}}}],"schema":"https://github.com/citation-style-language/schema/raw/master/csl-citation.json"} </w:instrText>
      </w:r>
      <w:r>
        <w:rPr>
          <w:sz w:val="24"/>
          <w:szCs w:val="24"/>
        </w:rPr>
        <w:fldChar w:fldCharType="separate"/>
      </w:r>
      <w:r w:rsidRPr="00101476">
        <w:rPr>
          <w:rFonts w:ascii="Calibri" w:hAnsi="Calibri" w:cs="Calibri"/>
          <w:sz w:val="24"/>
        </w:rPr>
        <w:t>(Jones, Jonsson, &amp; Wheeler, 1997)</w:t>
      </w:r>
      <w:r>
        <w:rPr>
          <w:sz w:val="24"/>
          <w:szCs w:val="24"/>
        </w:rPr>
        <w:fldChar w:fldCharType="end"/>
      </w:r>
      <w:r>
        <w:rPr>
          <w:sz w:val="24"/>
          <w:szCs w:val="24"/>
        </w:rPr>
        <w:t xml:space="preserve">. The PDO was taken from NOAA ERSSTv5. </w:t>
      </w:r>
      <w:r w:rsidR="00D950AB">
        <w:rPr>
          <w:sz w:val="24"/>
          <w:szCs w:val="24"/>
        </w:rPr>
        <w:t xml:space="preserve">The index included was the mean Feb-May values for each index. The interactions between the three components were computed as the product of indices. </w:t>
      </w:r>
    </w:p>
    <w:p w14:paraId="2C835128" w14:textId="69F31F70" w:rsidR="003A4E3F" w:rsidRPr="001723E8" w:rsidRDefault="003A4E3F">
      <w:pPr>
        <w:rPr>
          <w:sz w:val="24"/>
          <w:szCs w:val="24"/>
          <w:u w:val="single"/>
        </w:rPr>
      </w:pPr>
      <w:r w:rsidRPr="001723E8">
        <w:rPr>
          <w:sz w:val="24"/>
          <w:szCs w:val="24"/>
          <w:u w:val="single"/>
        </w:rPr>
        <w:t>P</w:t>
      </w:r>
      <w:r w:rsidR="001723E8" w:rsidRPr="001723E8">
        <w:rPr>
          <w:sz w:val="24"/>
          <w:szCs w:val="24"/>
          <w:u w:val="single"/>
        </w:rPr>
        <w:t>rincipal Component Analysis</w:t>
      </w:r>
    </w:p>
    <w:p w14:paraId="61830A26" w14:textId="1367D88F" w:rsidR="002672F1" w:rsidRDefault="001723E8">
      <w:pPr>
        <w:rPr>
          <w:sz w:val="24"/>
          <w:szCs w:val="24"/>
        </w:rPr>
      </w:pPr>
      <w:r>
        <w:rPr>
          <w:sz w:val="24"/>
          <w:szCs w:val="24"/>
        </w:rPr>
        <w:tab/>
      </w:r>
      <w:r>
        <w:rPr>
          <w:sz w:val="24"/>
          <w:szCs w:val="24"/>
        </w:rPr>
        <w:tab/>
        <w:t>Principal Component Analysis is a</w:t>
      </w:r>
      <w:r w:rsidR="002C5A38">
        <w:rPr>
          <w:sz w:val="24"/>
          <w:szCs w:val="24"/>
        </w:rPr>
        <w:t xml:space="preserve"> commonly used</w:t>
      </w:r>
      <w:r>
        <w:rPr>
          <w:sz w:val="24"/>
          <w:szCs w:val="24"/>
        </w:rPr>
        <w:t xml:space="preserve"> linear dimension reduction</w:t>
      </w:r>
      <w:r w:rsidR="002C5A38">
        <w:rPr>
          <w:sz w:val="24"/>
          <w:szCs w:val="24"/>
        </w:rPr>
        <w:t xml:space="preserve"> and component e</w:t>
      </w:r>
      <w:r w:rsidR="0057084C">
        <w:rPr>
          <w:sz w:val="24"/>
          <w:szCs w:val="24"/>
        </w:rPr>
        <w:t>xtraction</w:t>
      </w:r>
      <w:r>
        <w:rPr>
          <w:sz w:val="24"/>
          <w:szCs w:val="24"/>
        </w:rPr>
        <w:t xml:space="preserve"> methodology</w:t>
      </w:r>
      <w:r w:rsidR="0057084C">
        <w:rPr>
          <w:sz w:val="24"/>
          <w:szCs w:val="24"/>
        </w:rPr>
        <w:t xml:space="preserve"> for multivariate and multidimensional datasets. </w:t>
      </w:r>
      <w:r>
        <w:rPr>
          <w:sz w:val="24"/>
          <w:szCs w:val="24"/>
        </w:rPr>
        <w:t xml:space="preserve"> </w:t>
      </w:r>
      <w:r w:rsidR="007A0584">
        <w:rPr>
          <w:sz w:val="24"/>
          <w:szCs w:val="24"/>
        </w:rPr>
        <w:t xml:space="preserve">Let x </w:t>
      </w:r>
      <w:r w:rsidR="00002A02">
        <w:rPr>
          <w:sz w:val="24"/>
          <w:szCs w:val="24"/>
        </w:rPr>
        <w:t>be the m-dimensional observation set.</w:t>
      </w:r>
      <w:r w:rsidR="002672F1">
        <w:rPr>
          <w:sz w:val="24"/>
          <w:szCs w:val="24"/>
        </w:rPr>
        <w:t xml:space="preserve"> The principal components (PC) of x are computed as follows. </w:t>
      </w:r>
    </w:p>
    <w:tbl>
      <w:tblPr>
        <w:tblStyle w:val="TableGrid"/>
        <w:tblW w:w="0" w:type="auto"/>
        <w:tblLook w:val="04A0" w:firstRow="1" w:lastRow="0" w:firstColumn="1" w:lastColumn="0" w:noHBand="0" w:noVBand="1"/>
      </w:tblPr>
      <w:tblGrid>
        <w:gridCol w:w="715"/>
        <w:gridCol w:w="7830"/>
        <w:gridCol w:w="805"/>
      </w:tblGrid>
      <w:tr w:rsidR="002672F1" w14:paraId="492E376F" w14:textId="77777777" w:rsidTr="0023672E">
        <w:tc>
          <w:tcPr>
            <w:tcW w:w="715" w:type="dxa"/>
            <w:tcBorders>
              <w:top w:val="nil"/>
              <w:left w:val="nil"/>
              <w:bottom w:val="nil"/>
              <w:right w:val="nil"/>
            </w:tcBorders>
          </w:tcPr>
          <w:p w14:paraId="7B293535" w14:textId="77777777" w:rsidR="002672F1" w:rsidRDefault="002672F1" w:rsidP="0023672E">
            <w:pPr>
              <w:rPr>
                <w:sz w:val="24"/>
                <w:szCs w:val="24"/>
              </w:rPr>
            </w:pPr>
          </w:p>
        </w:tc>
        <w:tc>
          <w:tcPr>
            <w:tcW w:w="7830" w:type="dxa"/>
            <w:tcBorders>
              <w:top w:val="nil"/>
              <w:left w:val="nil"/>
              <w:bottom w:val="nil"/>
              <w:right w:val="nil"/>
            </w:tcBorders>
          </w:tcPr>
          <w:p w14:paraId="76EB378C" w14:textId="09A3CD41" w:rsidR="002672F1" w:rsidRDefault="007F0E0A" w:rsidP="0023672E">
            <w:pPr>
              <w:rPr>
                <w:sz w:val="24"/>
                <w:szCs w:val="24"/>
              </w:rPr>
            </w:pPr>
            <m:oMathPara>
              <m:oMath>
                <m:sSub>
                  <m:sSubPr>
                    <m:ctrlPr>
                      <w:rPr>
                        <w:rFonts w:ascii="Cambria Math" w:hAnsi="Cambria Math"/>
                        <w:i/>
                        <w:sz w:val="24"/>
                        <w:szCs w:val="24"/>
                      </w:rPr>
                    </m:ctrlPr>
                  </m:sSubPr>
                  <m:e>
                    <m:r>
                      <w:rPr>
                        <w:rFonts w:ascii="Cambria Math" w:hAnsi="Cambria Math"/>
                        <w:sz w:val="24"/>
                        <w:szCs w:val="24"/>
                      </w:rPr>
                      <m:t>PC</m:t>
                    </m:r>
                  </m:e>
                  <m:sub>
                    <m:r>
                      <w:rPr>
                        <w:rFonts w:ascii="Cambria Math" w:hAnsi="Cambria Math"/>
                        <w:sz w:val="24"/>
                        <w:szCs w:val="24"/>
                      </w:rPr>
                      <m:t>i</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x</m:t>
                </m:r>
              </m:oMath>
            </m:oMathPara>
          </w:p>
        </w:tc>
        <w:tc>
          <w:tcPr>
            <w:tcW w:w="805" w:type="dxa"/>
            <w:tcBorders>
              <w:top w:val="nil"/>
              <w:left w:val="nil"/>
              <w:bottom w:val="nil"/>
              <w:right w:val="nil"/>
            </w:tcBorders>
          </w:tcPr>
          <w:p w14:paraId="11C18C40" w14:textId="77777777" w:rsidR="002672F1" w:rsidRDefault="002672F1" w:rsidP="0023672E">
            <w:pPr>
              <w:rPr>
                <w:sz w:val="24"/>
                <w:szCs w:val="24"/>
              </w:rPr>
            </w:pPr>
            <w:r>
              <w:rPr>
                <w:sz w:val="24"/>
                <w:szCs w:val="24"/>
              </w:rPr>
              <w:t>1</w:t>
            </w:r>
          </w:p>
        </w:tc>
      </w:tr>
      <w:tr w:rsidR="002672F1" w14:paraId="6AFBA468" w14:textId="77777777" w:rsidTr="0023672E">
        <w:tc>
          <w:tcPr>
            <w:tcW w:w="715" w:type="dxa"/>
            <w:tcBorders>
              <w:top w:val="nil"/>
              <w:left w:val="nil"/>
              <w:bottom w:val="nil"/>
              <w:right w:val="nil"/>
            </w:tcBorders>
          </w:tcPr>
          <w:p w14:paraId="2DB2B675" w14:textId="525DE745" w:rsidR="002672F1" w:rsidRDefault="002672F1" w:rsidP="0023672E">
            <w:pPr>
              <w:rPr>
                <w:sz w:val="24"/>
                <w:szCs w:val="24"/>
              </w:rPr>
            </w:pPr>
          </w:p>
        </w:tc>
        <w:tc>
          <w:tcPr>
            <w:tcW w:w="7830" w:type="dxa"/>
            <w:tcBorders>
              <w:top w:val="nil"/>
              <w:left w:val="nil"/>
              <w:bottom w:val="nil"/>
              <w:right w:val="nil"/>
            </w:tcBorders>
          </w:tcPr>
          <w:p w14:paraId="3C0E68D1" w14:textId="6534F339" w:rsidR="002672F1" w:rsidRPr="009256FF" w:rsidRDefault="002672F1" w:rsidP="0023672E">
            <w:pPr>
              <w:rPr>
                <w:rFonts w:ascii="Calibri" w:eastAsia="Calibri" w:hAnsi="Calibri" w:cs="Times New Roman"/>
                <w:sz w:val="24"/>
                <w:szCs w:val="24"/>
              </w:rPr>
            </w:pPr>
          </w:p>
        </w:tc>
        <w:tc>
          <w:tcPr>
            <w:tcW w:w="805" w:type="dxa"/>
            <w:tcBorders>
              <w:top w:val="nil"/>
              <w:left w:val="nil"/>
              <w:bottom w:val="nil"/>
              <w:right w:val="nil"/>
            </w:tcBorders>
          </w:tcPr>
          <w:p w14:paraId="0FD7F5C1" w14:textId="77777777" w:rsidR="002672F1" w:rsidRDefault="002672F1" w:rsidP="0023672E">
            <w:pPr>
              <w:rPr>
                <w:sz w:val="24"/>
                <w:szCs w:val="24"/>
              </w:rPr>
            </w:pPr>
          </w:p>
        </w:tc>
      </w:tr>
    </w:tbl>
    <w:p w14:paraId="39CB78B3" w14:textId="5E69DF59" w:rsidR="002672F1" w:rsidRDefault="002672F1" w:rsidP="002672F1">
      <w:pPr>
        <w:ind w:firstLine="720"/>
        <w:rPr>
          <w:rFonts w:ascii="Calibri" w:eastAsia="Calibri" w:hAnsi="Calibri" w:cs="Times New Roman"/>
          <w:sz w:val="24"/>
          <w:szCs w:val="24"/>
        </w:rPr>
      </w:pPr>
      <w:r>
        <w:rPr>
          <w:rFonts w:ascii="Calibri" w:eastAsia="Calibri" w:hAnsi="Calibri" w:cs="Times New Roman"/>
          <w:sz w:val="24"/>
          <w:szCs w:val="24"/>
        </w:rPr>
        <w:t xml:space="preserve">Here </w:t>
      </w:r>
      <m:oMath>
        <m:sSub>
          <m:sSubPr>
            <m:ctrlPr>
              <w:rPr>
                <w:rFonts w:ascii="Cambria Math" w:hAnsi="Cambria Math"/>
                <w:i/>
                <w:sz w:val="24"/>
                <w:szCs w:val="24"/>
              </w:rPr>
            </m:ctrlPr>
          </m:sSubPr>
          <m:e>
            <m:r>
              <w:rPr>
                <w:rFonts w:ascii="Cambria Math" w:hAnsi="Cambria Math"/>
                <w:sz w:val="24"/>
                <w:szCs w:val="24"/>
              </w:rPr>
              <m:t>PC</m:t>
            </m:r>
          </m:e>
          <m:sub>
            <m:r>
              <w:rPr>
                <w:rFonts w:ascii="Cambria Math" w:hAnsi="Cambria Math"/>
                <w:sz w:val="24"/>
                <w:szCs w:val="24"/>
              </w:rPr>
              <m:t>i</m:t>
            </m:r>
          </m:sub>
        </m:sSub>
      </m:oMath>
      <w:r>
        <w:rPr>
          <w:rFonts w:ascii="Calibri" w:eastAsia="Calibri" w:hAnsi="Calibri" w:cs="Times New Roman"/>
          <w:sz w:val="24"/>
          <w:szCs w:val="24"/>
        </w:rPr>
        <w:t xml:space="preserve"> is the </w:t>
      </w:r>
      <w:proofErr w:type="spellStart"/>
      <w:r>
        <w:rPr>
          <w:rFonts w:ascii="Calibri" w:eastAsia="Calibri" w:hAnsi="Calibri" w:cs="Times New Roman"/>
          <w:sz w:val="24"/>
          <w:szCs w:val="24"/>
        </w:rPr>
        <w:t>i’th</w:t>
      </w:r>
      <w:proofErr w:type="spellEnd"/>
      <w:r>
        <w:rPr>
          <w:rFonts w:ascii="Calibri" w:eastAsia="Calibri" w:hAnsi="Calibri" w:cs="Times New Roman"/>
          <w:sz w:val="24"/>
          <w:szCs w:val="24"/>
        </w:rPr>
        <w:t xml:space="preserve"> principal component and </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m:t>
            </m:r>
          </m:sub>
          <m:sup>
            <m:r>
              <w:rPr>
                <w:rFonts w:ascii="Cambria Math" w:hAnsi="Cambria Math"/>
                <w:sz w:val="24"/>
                <w:szCs w:val="24"/>
              </w:rPr>
              <m:t>T</m:t>
            </m:r>
          </m:sup>
        </m:sSubSup>
      </m:oMath>
      <w:r>
        <w:rPr>
          <w:rFonts w:ascii="Calibri" w:eastAsia="Calibri" w:hAnsi="Calibri" w:cs="Times New Roman"/>
          <w:sz w:val="24"/>
          <w:szCs w:val="24"/>
        </w:rPr>
        <w:t xml:space="preserve"> are the eigenvectors of the covariance matrix. The eigenvectors are ordered based on their corresponding eigenvalues, giving the successive PC’s the property of explaining lower residual variance. </w:t>
      </w:r>
      <w:r w:rsidR="0057084C">
        <w:rPr>
          <w:rFonts w:ascii="Calibri" w:eastAsia="Calibri" w:hAnsi="Calibri" w:cs="Times New Roman"/>
          <w:sz w:val="24"/>
          <w:szCs w:val="24"/>
        </w:rPr>
        <w:t xml:space="preserve">The PC’s also have the property of being mutually uncorrelated. </w:t>
      </w:r>
    </w:p>
    <w:p w14:paraId="612A7A66" w14:textId="5DBDF849" w:rsidR="007A0584" w:rsidRDefault="002672F1" w:rsidP="002672F1">
      <w:pPr>
        <w:ind w:firstLine="720"/>
        <w:rPr>
          <w:sz w:val="24"/>
          <w:szCs w:val="24"/>
        </w:rPr>
      </w:pPr>
      <w:r>
        <w:rPr>
          <w:rFonts w:ascii="Calibri" w:eastAsia="Calibri" w:hAnsi="Calibri" w:cs="Times New Roman"/>
          <w:sz w:val="24"/>
          <w:szCs w:val="24"/>
        </w:rPr>
        <w:lastRenderedPageBreak/>
        <w:t xml:space="preserve">This makes the computation of the PC’s a problem involving the computation of eigenvectors and the corresponding eigenvalues of the original m-dimensional dataset. Further, the descending ordering of the eigenvectors allows for dimensional reduction based on a variance cut-off.  </w:t>
      </w:r>
    </w:p>
    <w:p w14:paraId="64A86259" w14:textId="732A9ADA" w:rsidR="003A4E3F" w:rsidRDefault="003A4E3F">
      <w:pPr>
        <w:rPr>
          <w:sz w:val="24"/>
          <w:szCs w:val="24"/>
          <w:u w:val="single"/>
        </w:rPr>
      </w:pPr>
      <w:r w:rsidRPr="00AC199E">
        <w:rPr>
          <w:sz w:val="24"/>
          <w:szCs w:val="24"/>
          <w:u w:val="single"/>
        </w:rPr>
        <w:t xml:space="preserve">Wavelet </w:t>
      </w:r>
      <w:r w:rsidR="00261FA0" w:rsidRPr="00AC199E">
        <w:rPr>
          <w:sz w:val="24"/>
          <w:szCs w:val="24"/>
          <w:u w:val="single"/>
        </w:rPr>
        <w:t>Analysis</w:t>
      </w:r>
    </w:p>
    <w:p w14:paraId="4483A0C5" w14:textId="0EB1725D" w:rsidR="00AC199E" w:rsidRDefault="00AC199E" w:rsidP="00AC199E">
      <w:pPr>
        <w:ind w:firstLine="720"/>
        <w:rPr>
          <w:sz w:val="24"/>
          <w:szCs w:val="24"/>
        </w:rPr>
      </w:pPr>
      <w:r>
        <w:rPr>
          <w:sz w:val="24"/>
          <w:szCs w:val="24"/>
        </w:rPr>
        <w:t xml:space="preserve">Hydroclimatic time-series commonly are non-stationary and have low frequency variations and decadal cycles. Wavelet analysis is used as a frequency domain tool to capture and analyze the localized power variations in the time-series.  </w:t>
      </w:r>
      <w:r w:rsidR="00A44A9B">
        <w:rPr>
          <w:sz w:val="24"/>
          <w:szCs w:val="24"/>
        </w:rPr>
        <w:t xml:space="preserve">The analysis helps transform a unidimensional time series to a bi dimensional time-frequency spectrum. </w:t>
      </w:r>
    </w:p>
    <w:p w14:paraId="3F4597C7" w14:textId="7EAACD37" w:rsidR="00A44A9B" w:rsidRDefault="00A44A9B" w:rsidP="00AC199E">
      <w:pPr>
        <w:ind w:firstLine="720"/>
        <w:rPr>
          <w:sz w:val="24"/>
          <w:szCs w:val="24"/>
        </w:rPr>
      </w:pPr>
      <w:r>
        <w:rPr>
          <w:sz w:val="24"/>
          <w:szCs w:val="24"/>
        </w:rPr>
        <w:t>The wavelet analysis has a long history of use in the hydrology and climatological applications like El-Nino Southern Oscillation</w:t>
      </w:r>
      <w:r w:rsidR="001723E8">
        <w:rPr>
          <w:sz w:val="24"/>
          <w:szCs w:val="24"/>
        </w:rPr>
        <w:t xml:space="preserve"> and similar climate indices</w:t>
      </w:r>
      <w:r>
        <w:rPr>
          <w:sz w:val="24"/>
          <w:szCs w:val="24"/>
        </w:rPr>
        <w:t>,</w:t>
      </w:r>
      <w:r w:rsidR="001723E8">
        <w:rPr>
          <w:sz w:val="24"/>
          <w:szCs w:val="24"/>
        </w:rPr>
        <w:t xml:space="preserve"> streamflow and precipitation trends, atmospheric cold fronts and analysis of turbulent </w:t>
      </w:r>
      <w:commentRangeStart w:id="1"/>
      <w:r w:rsidR="001723E8">
        <w:rPr>
          <w:sz w:val="24"/>
          <w:szCs w:val="24"/>
        </w:rPr>
        <w:t>flows</w:t>
      </w:r>
      <w:commentRangeEnd w:id="1"/>
      <w:r w:rsidR="001723E8">
        <w:rPr>
          <w:rStyle w:val="CommentReference"/>
        </w:rPr>
        <w:commentReference w:id="1"/>
      </w:r>
      <w:r w:rsidR="001723E8">
        <w:rPr>
          <w:sz w:val="24"/>
          <w:szCs w:val="24"/>
        </w:rPr>
        <w:t xml:space="preserve">. </w:t>
      </w:r>
      <w:r>
        <w:rPr>
          <w:sz w:val="24"/>
          <w:szCs w:val="24"/>
        </w:rPr>
        <w:t xml:space="preserve"> </w:t>
      </w:r>
    </w:p>
    <w:p w14:paraId="03B9EF41" w14:textId="46A2E924" w:rsidR="00A44A9B" w:rsidRPr="00AC199E" w:rsidRDefault="00A44A9B" w:rsidP="00AC199E">
      <w:pPr>
        <w:ind w:firstLine="720"/>
        <w:rPr>
          <w:sz w:val="24"/>
          <w:szCs w:val="24"/>
        </w:rPr>
      </w:pPr>
      <w:r>
        <w:rPr>
          <w:sz w:val="24"/>
          <w:szCs w:val="24"/>
        </w:rPr>
        <w:t xml:space="preserve">The wavelet analysis was carried out using the code provided by </w:t>
      </w:r>
      <w:r>
        <w:rPr>
          <w:sz w:val="24"/>
          <w:szCs w:val="24"/>
        </w:rPr>
        <w:fldChar w:fldCharType="begin"/>
      </w:r>
      <w:r>
        <w:rPr>
          <w:sz w:val="24"/>
          <w:szCs w:val="24"/>
        </w:rPr>
        <w:instrText xml:space="preserve"> ADDIN ZOTERO_ITEM CSL_CITATION {"citationID":"CezoOlxn","properties":{"formattedCitation":"(Torrence &amp; Compo, 1998)","plainCitation":"(Torrence &amp; Compo, 1998)","noteIndex":0},"citationItems":[{"id":470,"uris":["http://zotero.org/users/4874514/items/UDGG5D2Z"],"uri":["http://zotero.org/users/4874514/items/UDGG5D2Z"],"itemData":{"id":470,"type":"article-journal","title":"A Practical Guide to Wavelet Analysis","container-title":"Bulletin of the American Meteorological Society","page":"61-78","volume":"79","issue":"1","source":"journals.ametsoc.org (Atypon)","abstract":"A practical step-by-step guide to wavelet analysis is given, with examples taken from time series of the El Niño–Southern Oscillation (ENSO). The guide includes a comparison to the windowed Fourier transform, the choice of an appropriate wavelet basis function, edge effects due to finite-length time series, and the relationship between wavelet scale and Fourier frequency. New statistical significance tests for wavelet power spectra are developed by deriving theoretical wavelet spectra for white and red noise processes and using these to establish significance levels and confidence intervals. It is shown that smoothing in time or scale can be used to increase the confidence of the wavelet spectrum. Empirical formulas are given for the effect of smoothing on significance levels and confidence intervals. Extensions to wavelet analysis such as filtering, the power Hovmöller, cross-wavelet spectra, and coherence are described. The statistical significance tests are used to give a quantitative measure of changes in ENSO variance on interdecadal timescales. Using new datasets that extend back to 1871, the Niño3 sea surface temperature and the Southern Oscillation index show significantly higher power during 1880–1920 and 1960–90, and lower power during 1920–60, as well as a possible 15-yr modulation of variance. The power Hovmöller of sea level pressure shows significant variations in 2–8-yr wavelet power in both longitude and time.","DOI":"10.1175/1520-0477(1998)079&lt;0061:APGTWA&gt;2.0.CO;2","ISSN":"0003-0007","journalAbbreviation":"Bull. Amer. Meteor. Soc.","author":[{"family":"Torrence","given":"Christopher"},{"family":"Compo","given":"Gilbert P."}],"issued":{"date-parts":[["1998",1,1]]}}}],"schema":"https://github.com/citation-style-language/schema/raw/master/csl-citation.json"} </w:instrText>
      </w:r>
      <w:r>
        <w:rPr>
          <w:sz w:val="24"/>
          <w:szCs w:val="24"/>
        </w:rPr>
        <w:fldChar w:fldCharType="separate"/>
      </w:r>
      <w:r w:rsidRPr="00A44A9B">
        <w:rPr>
          <w:rFonts w:ascii="Calibri" w:hAnsi="Calibri" w:cs="Calibri"/>
          <w:sz w:val="24"/>
        </w:rPr>
        <w:t>(Torrence &amp; Compo, 1998)</w:t>
      </w:r>
      <w:r>
        <w:rPr>
          <w:sz w:val="24"/>
          <w:szCs w:val="24"/>
        </w:rPr>
        <w:fldChar w:fldCharType="end"/>
      </w:r>
      <w:r>
        <w:rPr>
          <w:sz w:val="24"/>
          <w:szCs w:val="24"/>
        </w:rPr>
        <w:t xml:space="preserve"> </w:t>
      </w:r>
      <w:commentRangeStart w:id="2"/>
      <w:r>
        <w:rPr>
          <w:sz w:val="24"/>
          <w:szCs w:val="24"/>
        </w:rPr>
        <w:t>and</w:t>
      </w:r>
      <w:commentRangeEnd w:id="2"/>
      <w:r>
        <w:rPr>
          <w:rStyle w:val="CommentReference"/>
        </w:rPr>
        <w:commentReference w:id="2"/>
      </w:r>
      <w:r>
        <w:rPr>
          <w:sz w:val="24"/>
          <w:szCs w:val="24"/>
        </w:rPr>
        <w:t xml:space="preserve"> was implemented in R. </w:t>
      </w:r>
    </w:p>
    <w:p w14:paraId="4E051F02" w14:textId="5848491D" w:rsidR="00AA379F" w:rsidRDefault="00AA379F">
      <w:pPr>
        <w:rPr>
          <w:sz w:val="24"/>
          <w:szCs w:val="24"/>
          <w:u w:val="single"/>
        </w:rPr>
      </w:pPr>
      <w:r>
        <w:rPr>
          <w:sz w:val="24"/>
          <w:szCs w:val="24"/>
          <w:u w:val="single"/>
        </w:rPr>
        <w:t>Autoregressive Models</w:t>
      </w:r>
    </w:p>
    <w:p w14:paraId="7F3F7590" w14:textId="1BD91C97" w:rsidR="006A4939" w:rsidRDefault="006A4939" w:rsidP="00261FA0">
      <w:pPr>
        <w:ind w:firstLine="720"/>
        <w:rPr>
          <w:sz w:val="24"/>
          <w:szCs w:val="24"/>
        </w:rPr>
      </w:pPr>
      <w:r>
        <w:rPr>
          <w:sz w:val="24"/>
          <w:szCs w:val="24"/>
        </w:rPr>
        <w:t>A commonly used model</w:t>
      </w:r>
      <w:r w:rsidR="00AC199E">
        <w:rPr>
          <w:sz w:val="24"/>
          <w:szCs w:val="24"/>
        </w:rPr>
        <w:t xml:space="preserve"> for time series analysis</w:t>
      </w:r>
      <w:r>
        <w:rPr>
          <w:sz w:val="24"/>
          <w:szCs w:val="24"/>
        </w:rPr>
        <w:t xml:space="preserve"> is the Auto-regressive Moving Average(ARMA) models and has a long history of wide hydro-climatic applications</w:t>
      </w:r>
      <w:r>
        <w:rPr>
          <w:sz w:val="24"/>
          <w:szCs w:val="24"/>
        </w:rPr>
        <w:fldChar w:fldCharType="begin"/>
      </w:r>
      <w:r>
        <w:rPr>
          <w:sz w:val="24"/>
          <w:szCs w:val="24"/>
        </w:rPr>
        <w:instrText xml:space="preserve"> ADDIN ZOTERO_ITEM CSL_CITATION {"citationID":"9jRZhRRw","properties":{"formattedCitation":"(Kwon, Lall, &amp; Khalil, 2007; SALAS, 1993)","plainCitation":"(Kwon, Lall, &amp; Khalil, 2007; SALAS, 1993)","noteIndex":0},"citationItems":[{"id":591,"uris":["http://zotero.org/users/4874514/items/KZTYUKLL"],"uri":["http://zotero.org/users/4874514/items/KZTYUKLL"],"itemData":{"id":591,"type":"article-journal","title":"Stochastic simulation model for nonstationary time series using an autoregressive wavelet decomposition: Applications to rainfall and temperature","container-title":"Water Resources Research","volume":"43","issue":"5","source":"Wiley Online Library","abstract":"A time series simulation scheme based on wavelet decomposition coupled to an autoregressive model is presented for hydroclimatic series that exhibit band-limited low-frequency variability. Many nonlinear dynamical systems generate time series that appear to have amplitude- and frequency-modulated oscillations that may correspond to the recurrence of different solution regimes. The use of wavelet decomposition followed by an autoregressive model of each leading component is explored as a model for such time series. The first example considered is the Lorenz-84 low-order model of extratropical circulation, which has been used to illustrate how chaos and intransitivity (multiple stable solutions) can lead to low-frequency variability. The central England temperature (CET) time series, the NINO3.4 series that is a surrogate for El Nino–Southern Oscillation, and seasonal rainfall from Everglades National Park, Florida, are then modeled with this approach. The proposed simulation model yields better results than a traditional linear autoregressive (AR) time series model in terms of reproducing the time-frequency properties of the observed rainfall, while preserving the statistics usually reproduced by the AR models.","URL":"https://agupubs.onlinelibrary.wiley.com/doi/abs/10.1029/2006WR005258","DOI":"10.1029/2006WR005258","ISSN":"1944-7973","title-short":"Stochastic simulation model for nonstationary time series using an autoregressive wavelet decomposition","language":"en","author":[{"family":"Kwon","given":"Hyun-Han"},{"family":"Lall","given":"Upmanu"},{"family":"Khalil","given":"Abedalrazq F."}],"issued":{"date-parts":[["2007"]]},"accessed":{"date-parts":[["2019",7,2]]}}},{"id":741,"uris":["http://zotero.org/users/4874514/items/8KBWYHIU"],"uri":["http://zotero.org/users/4874514/items/8KBWYHIU"],"itemData":{"id":741,"type":"article-journal","title":"Analysis and modelling of hydrological time series","container-title":"Handbook of Hydrology","volume":"19","source":"CiNii","URL":"https://ci.nii.ac.jp/naid/10013176141/","author":[{"family":"SALAS","given":"J. D."}],"issued":{"date-parts":[["1993"]]},"accessed":{"date-parts":[["2019",9,20]]}}}],"schema":"https://github.com/citation-style-language/schema/raw/master/csl-citation.json"} </w:instrText>
      </w:r>
      <w:r>
        <w:rPr>
          <w:sz w:val="24"/>
          <w:szCs w:val="24"/>
        </w:rPr>
        <w:fldChar w:fldCharType="separate"/>
      </w:r>
      <w:r w:rsidRPr="006A4939">
        <w:rPr>
          <w:rFonts w:ascii="Calibri" w:hAnsi="Calibri" w:cs="Calibri"/>
          <w:sz w:val="24"/>
        </w:rPr>
        <w:t>(Kwon, Lall, &amp; Khalil, 2007; SALAS, 1993)</w:t>
      </w:r>
      <w:r>
        <w:rPr>
          <w:sz w:val="24"/>
          <w:szCs w:val="24"/>
        </w:rPr>
        <w:fldChar w:fldCharType="end"/>
      </w:r>
      <w:r>
        <w:rPr>
          <w:sz w:val="24"/>
          <w:szCs w:val="24"/>
        </w:rPr>
        <w:t>.The ARMA model can be further characterized by Auto-Regressive(AR) model and the Moving Average(MA) Model. An AR model of order p</w:t>
      </w:r>
      <w:r w:rsidR="00B01763">
        <w:rPr>
          <w:sz w:val="24"/>
          <w:szCs w:val="24"/>
        </w:rPr>
        <w:t xml:space="preserve"> written as AR(p)</w:t>
      </w:r>
      <w:r>
        <w:rPr>
          <w:sz w:val="24"/>
          <w:szCs w:val="24"/>
        </w:rPr>
        <w:t>,</w:t>
      </w:r>
      <w:r w:rsidR="00B01763">
        <w:rPr>
          <w:sz w:val="24"/>
          <w:szCs w:val="24"/>
        </w:rPr>
        <w:t xml:space="preserve"> and</w:t>
      </w:r>
      <w:r>
        <w:rPr>
          <w:sz w:val="24"/>
          <w:szCs w:val="24"/>
        </w:rPr>
        <w:t xml:space="preserve"> </w:t>
      </w:r>
      <w:r w:rsidR="00B01763">
        <w:rPr>
          <w:sz w:val="24"/>
          <w:szCs w:val="24"/>
        </w:rPr>
        <w:t xml:space="preserve">indicative in its name regresses itself with the previous p components, and </w:t>
      </w:r>
      <w:r>
        <w:rPr>
          <w:sz w:val="24"/>
          <w:szCs w:val="24"/>
        </w:rPr>
        <w:t>is represented as follows</w:t>
      </w:r>
    </w:p>
    <w:tbl>
      <w:tblPr>
        <w:tblStyle w:val="TableGrid"/>
        <w:tblW w:w="0" w:type="auto"/>
        <w:tblLook w:val="04A0" w:firstRow="1" w:lastRow="0" w:firstColumn="1" w:lastColumn="0" w:noHBand="0" w:noVBand="1"/>
      </w:tblPr>
      <w:tblGrid>
        <w:gridCol w:w="715"/>
        <w:gridCol w:w="7830"/>
        <w:gridCol w:w="805"/>
      </w:tblGrid>
      <w:tr w:rsidR="006A4939" w14:paraId="7CC59E66" w14:textId="77777777" w:rsidTr="006A4939">
        <w:tc>
          <w:tcPr>
            <w:tcW w:w="715" w:type="dxa"/>
            <w:tcBorders>
              <w:top w:val="nil"/>
              <w:left w:val="nil"/>
              <w:bottom w:val="nil"/>
              <w:right w:val="nil"/>
            </w:tcBorders>
          </w:tcPr>
          <w:p w14:paraId="1B70A1C1" w14:textId="77777777" w:rsidR="006A4939" w:rsidRDefault="006A4939">
            <w:pPr>
              <w:rPr>
                <w:sz w:val="24"/>
                <w:szCs w:val="24"/>
              </w:rPr>
            </w:pPr>
          </w:p>
        </w:tc>
        <w:tc>
          <w:tcPr>
            <w:tcW w:w="7830" w:type="dxa"/>
            <w:tcBorders>
              <w:top w:val="nil"/>
              <w:left w:val="nil"/>
              <w:bottom w:val="nil"/>
              <w:right w:val="nil"/>
            </w:tcBorders>
          </w:tcPr>
          <w:p w14:paraId="4AFA3C22" w14:textId="039470DF" w:rsidR="006A4939" w:rsidRDefault="007F0E0A">
            <w:pPr>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t-i</m:t>
                        </m:r>
                      </m:sub>
                    </m:sSub>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tc>
        <w:tc>
          <w:tcPr>
            <w:tcW w:w="805" w:type="dxa"/>
            <w:tcBorders>
              <w:top w:val="nil"/>
              <w:left w:val="nil"/>
              <w:bottom w:val="nil"/>
              <w:right w:val="nil"/>
            </w:tcBorders>
          </w:tcPr>
          <w:p w14:paraId="4B95CBCE" w14:textId="77777777" w:rsidR="00B01763" w:rsidRDefault="00B01763">
            <w:pPr>
              <w:rPr>
                <w:sz w:val="24"/>
                <w:szCs w:val="24"/>
              </w:rPr>
            </w:pPr>
          </w:p>
          <w:p w14:paraId="7CE1C814" w14:textId="70BADBF9" w:rsidR="006A4939" w:rsidRDefault="006A4939">
            <w:pPr>
              <w:rPr>
                <w:sz w:val="24"/>
                <w:szCs w:val="24"/>
              </w:rPr>
            </w:pPr>
            <w:r>
              <w:rPr>
                <w:sz w:val="24"/>
                <w:szCs w:val="24"/>
              </w:rPr>
              <w:t>1</w:t>
            </w:r>
          </w:p>
        </w:tc>
      </w:tr>
    </w:tbl>
    <w:p w14:paraId="0D3C33F0" w14:textId="2A51A593" w:rsidR="00AA379F" w:rsidRPr="00B01763" w:rsidRDefault="00B01763" w:rsidP="00261FA0">
      <w:pPr>
        <w:ind w:firstLine="720"/>
        <w:rPr>
          <w:sz w:val="24"/>
          <w:szCs w:val="24"/>
        </w:rPr>
      </w:pPr>
      <w:r>
        <w:rPr>
          <w:sz w:val="24"/>
          <w:szCs w:val="24"/>
        </w:rPr>
        <w:t xml:space="preserve">An inherent assumption of the Auto-Regressive model is that the errors </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w:r>
        <w:rPr>
          <w:rFonts w:eastAsiaTheme="minorEastAsia"/>
          <w:sz w:val="24"/>
          <w:szCs w:val="24"/>
        </w:rPr>
        <w:t xml:space="preserve"> are gaussian and independent of all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t-i</m:t>
            </m:r>
          </m:sub>
        </m:sSub>
      </m:oMath>
      <w:r>
        <w:rPr>
          <w:rFonts w:eastAsiaTheme="minorEastAsia"/>
          <w:sz w:val="24"/>
          <w:szCs w:val="24"/>
        </w:rPr>
        <w:t xml:space="preserve"> . The AR process is modelled as a stationary process if all the </w:t>
      </w:r>
      <w:r w:rsidR="00A532C8">
        <w:rPr>
          <w:rFonts w:eastAsiaTheme="minorEastAsia"/>
          <w:sz w:val="24"/>
          <w:szCs w:val="24"/>
        </w:rPr>
        <w:t xml:space="preserve">roots of the characteristic equation lie outside the unit circle. </w:t>
      </w:r>
    </w:p>
    <w:p w14:paraId="4D9114D0" w14:textId="35836811" w:rsidR="003A4E3F" w:rsidRPr="006959C6" w:rsidRDefault="00F77A16">
      <w:pPr>
        <w:rPr>
          <w:sz w:val="24"/>
          <w:szCs w:val="24"/>
          <w:u w:val="single"/>
        </w:rPr>
      </w:pPr>
      <w:r w:rsidRPr="006959C6">
        <w:rPr>
          <w:sz w:val="24"/>
          <w:szCs w:val="24"/>
          <w:u w:val="single"/>
        </w:rPr>
        <w:t>Self-Exciting Threshold Autoregressive Models</w:t>
      </w:r>
    </w:p>
    <w:p w14:paraId="7447783A" w14:textId="1F81F95E" w:rsidR="00F77A16" w:rsidRDefault="00F77A16">
      <w:pPr>
        <w:rPr>
          <w:sz w:val="24"/>
          <w:szCs w:val="24"/>
        </w:rPr>
      </w:pPr>
      <w:r>
        <w:rPr>
          <w:sz w:val="24"/>
          <w:szCs w:val="24"/>
        </w:rPr>
        <w:tab/>
        <w:t xml:space="preserve">Self-Exciting Threshold Autoregressive (SETAR) Models, a </w:t>
      </w:r>
      <w:r w:rsidR="00D104DD">
        <w:rPr>
          <w:sz w:val="24"/>
          <w:szCs w:val="24"/>
        </w:rPr>
        <w:t>subset</w:t>
      </w:r>
      <w:r>
        <w:rPr>
          <w:sz w:val="24"/>
          <w:szCs w:val="24"/>
        </w:rPr>
        <w:t xml:space="preserve"> Threshold Auto-regressive (TAR) models, using the concept of piecewise linearity to model much more complex behavior compared to the traditional auto-regressive </w:t>
      </w:r>
      <w:r w:rsidR="00B248E2">
        <w:rPr>
          <w:sz w:val="24"/>
          <w:szCs w:val="24"/>
        </w:rPr>
        <w:t>model</w:t>
      </w:r>
      <w:r w:rsidR="009D017A">
        <w:rPr>
          <w:sz w:val="24"/>
          <w:szCs w:val="24"/>
        </w:rPr>
        <w:fldChar w:fldCharType="begin"/>
      </w:r>
      <w:r w:rsidR="009D017A">
        <w:rPr>
          <w:sz w:val="24"/>
          <w:szCs w:val="24"/>
        </w:rPr>
        <w:instrText xml:space="preserve"> ADDIN ZOTERO_ITEM CSL_CITATION {"citationID":"pL3AUATF","properties":{"formattedCitation":"(Tong, 1990)","plainCitation":"(Tong, 1990)","noteIndex":0},"citationItems":[{"id":736,"uris":["http://zotero.org/users/4874514/items/KTF75EKQ"],"uri":["http://zotero.org/users/4874514/items/KTF75EKQ"],"itemData":{"id":736,"type":"book","title":"Non-linear time series: a dynamical system approach","publisher":"Oxford University Press","publisher-place":"Oxford, UK","number-of-pages":"564","source":"eprints.lse.ac.uk","event-place":"Oxford, UK","URL":"http://eprints.lse.ac.uk/6212/","ISBN":"978-0-19-852224-9","title-short":"Non-linear time series","language":"eng","author":[{"family":"Tong","given":"Howell"}],"issued":{"date-parts":[["1990"]]},"accessed":{"date-parts":[["2019",9,20]]}}}],"schema":"https://github.com/citation-style-language/schema/raw/master/csl-citation.json"} </w:instrText>
      </w:r>
      <w:r w:rsidR="009D017A">
        <w:rPr>
          <w:sz w:val="24"/>
          <w:szCs w:val="24"/>
        </w:rPr>
        <w:fldChar w:fldCharType="separate"/>
      </w:r>
      <w:r w:rsidR="009D017A" w:rsidRPr="009D017A">
        <w:rPr>
          <w:rFonts w:ascii="Calibri" w:hAnsi="Calibri" w:cs="Calibri"/>
          <w:sz w:val="24"/>
        </w:rPr>
        <w:t>(Tong, 1990)</w:t>
      </w:r>
      <w:r w:rsidR="009D017A">
        <w:rPr>
          <w:sz w:val="24"/>
          <w:szCs w:val="24"/>
        </w:rPr>
        <w:fldChar w:fldCharType="end"/>
      </w:r>
      <w:r w:rsidR="00B248E2">
        <w:rPr>
          <w:sz w:val="24"/>
          <w:szCs w:val="24"/>
        </w:rPr>
        <w:t>.</w:t>
      </w:r>
      <w:r>
        <w:rPr>
          <w:sz w:val="24"/>
          <w:szCs w:val="24"/>
        </w:rPr>
        <w:t xml:space="preserve"> </w:t>
      </w:r>
    </w:p>
    <w:p w14:paraId="157ECBA9" w14:textId="5540901A" w:rsidR="00B248E2" w:rsidRDefault="00B248E2">
      <w:pPr>
        <w:rPr>
          <w:sz w:val="24"/>
          <w:szCs w:val="24"/>
        </w:rPr>
      </w:pPr>
      <w:r>
        <w:rPr>
          <w:sz w:val="24"/>
          <w:szCs w:val="24"/>
        </w:rPr>
        <w:tab/>
        <w:t xml:space="preserve">Based on the threshold variable and threshold value the dynamics of the system is different. For SETAR models, this threshold variable is one of the lag variables, hence the name self-exciting. </w:t>
      </w:r>
    </w:p>
    <w:p w14:paraId="26D3C88F" w14:textId="3FC9398D" w:rsidR="003A4E3F" w:rsidRPr="00B248E2" w:rsidRDefault="007F0E0A" w:rsidP="00B248E2">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0</m:t>
              </m:r>
            </m:sub>
            <m:sup>
              <m:r>
                <w:rPr>
                  <w:rFonts w:ascii="Cambria Math" w:hAnsi="Cambria Math"/>
                  <w:sz w:val="24"/>
                  <w:szCs w:val="24"/>
                </w:rPr>
                <m:t>k</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1</m:t>
              </m:r>
            </m:sub>
            <m:sup>
              <m:r>
                <w:rPr>
                  <w:rFonts w:ascii="Cambria Math" w:hAnsi="Cambria Math"/>
                  <w:sz w:val="24"/>
                  <w:szCs w:val="24"/>
                </w:rPr>
                <m:t>k</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t-τ</m:t>
              </m:r>
            </m:sub>
            <m:sup>
              <m:r>
                <w:rPr>
                  <w:rFonts w:ascii="Cambria Math" w:hAnsi="Cambria Math"/>
                  <w:sz w:val="24"/>
                  <w:szCs w:val="24"/>
                </w:rPr>
                <m:t>k</m:t>
              </m:r>
            </m:sup>
          </m:sSubSup>
          <m:r>
            <w:rPr>
              <w:rFonts w:ascii="Cambria Math" w:eastAsiaTheme="minorEastAsia"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2</m:t>
              </m:r>
            </m:sub>
            <m:sup>
              <m:r>
                <w:rPr>
                  <w:rFonts w:ascii="Cambria Math" w:hAnsi="Cambria Math"/>
                  <w:sz w:val="24"/>
                  <w:szCs w:val="24"/>
                </w:rPr>
                <m:t>k</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t-2τ</m:t>
              </m:r>
            </m:sub>
            <m:sup>
              <m:r>
                <w:rPr>
                  <w:rFonts w:ascii="Cambria Math" w:hAnsi="Cambria Math"/>
                  <w:sz w:val="24"/>
                  <w:szCs w:val="24"/>
                </w:rPr>
                <m:t>k</m:t>
              </m:r>
            </m:sup>
          </m:sSubSup>
          <m:r>
            <w:rPr>
              <w:rFonts w:ascii="Cambria Math" w:hAnsi="Cambria Math"/>
              <w:sz w:val="24"/>
              <w:szCs w:val="24"/>
            </w:rPr>
            <m:t>+…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d</m:t>
              </m:r>
            </m:sub>
            <m:sup>
              <m:r>
                <w:rPr>
                  <w:rFonts w:ascii="Cambria Math" w:hAnsi="Cambria Math"/>
                  <w:sz w:val="24"/>
                  <w:szCs w:val="24"/>
                </w:rPr>
                <m:t>k</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t-dτ</m:t>
              </m:r>
            </m:sub>
            <m:sup>
              <m:r>
                <w:rPr>
                  <w:rFonts w:ascii="Cambria Math" w:hAnsi="Cambria Math"/>
                  <w:sz w:val="24"/>
                  <w:szCs w:val="24"/>
                </w:rPr>
                <m:t>k</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ε</m:t>
              </m:r>
            </m:e>
            <m:sub>
              <m:r>
                <w:rPr>
                  <w:rFonts w:ascii="Cambria Math" w:eastAsiaTheme="minorEastAsia" w:hAnsi="Cambria Math"/>
                  <w:sz w:val="24"/>
                  <w:szCs w:val="24"/>
                </w:rPr>
                <m:t>t</m:t>
              </m:r>
            </m:sub>
            <m:sup>
              <m:r>
                <w:rPr>
                  <w:rFonts w:ascii="Cambria Math" w:eastAsiaTheme="minorEastAsia" w:hAnsi="Cambria Math"/>
                  <w:sz w:val="24"/>
                  <w:szCs w:val="24"/>
                </w:rPr>
                <m:t>k</m:t>
              </m:r>
            </m:sup>
          </m:sSubSup>
        </m:oMath>
      </m:oMathPara>
    </w:p>
    <w:p w14:paraId="25B199CF" w14:textId="70563B0B" w:rsidR="00B248E2" w:rsidRDefault="00B248E2" w:rsidP="00B248E2">
      <w:pPr>
        <w:rPr>
          <w:rFonts w:eastAsiaTheme="minorEastAsia"/>
          <w:sz w:val="24"/>
          <w:szCs w:val="24"/>
        </w:rPr>
      </w:pPr>
      <w:r>
        <w:rPr>
          <w:sz w:val="24"/>
          <w:szCs w:val="24"/>
        </w:rPr>
        <w:lastRenderedPageBreak/>
        <w:tab/>
        <w:t xml:space="preserve">Here, </w:t>
      </w:r>
      <m:oMath>
        <m:r>
          <w:rPr>
            <w:rFonts w:ascii="Cambria Math" w:hAnsi="Cambria Math"/>
            <w:sz w:val="24"/>
            <w:szCs w:val="24"/>
          </w:rPr>
          <m:t>k</m:t>
        </m:r>
      </m:oMath>
      <w:r w:rsidR="00116F91">
        <w:rPr>
          <w:rFonts w:eastAsiaTheme="minorEastAsia"/>
          <w:sz w:val="24"/>
          <w:szCs w:val="24"/>
        </w:rPr>
        <w:t xml:space="preserve"> is the threshold regime, </w:t>
      </w:r>
      <m:oMath>
        <m:r>
          <w:rPr>
            <w:rFonts w:ascii="Cambria Math" w:hAnsi="Cambria Math"/>
            <w:sz w:val="24"/>
            <w:szCs w:val="24"/>
          </w:rPr>
          <m:t>d</m:t>
        </m:r>
      </m:oMath>
      <w:r w:rsidR="00116F91">
        <w:rPr>
          <w:rFonts w:eastAsiaTheme="minorEastAsia"/>
          <w:sz w:val="24"/>
          <w:szCs w:val="24"/>
        </w:rPr>
        <w:t xml:space="preserve"> is the embedding dimension, </w:t>
      </w:r>
      <m:oMath>
        <m:r>
          <w:rPr>
            <w:rFonts w:ascii="Cambria Math" w:hAnsi="Cambria Math"/>
            <w:sz w:val="24"/>
            <w:szCs w:val="24"/>
          </w:rPr>
          <m:t>τ</m:t>
        </m:r>
      </m:oMath>
      <w:r w:rsidR="00116F91">
        <w:rPr>
          <w:rFonts w:eastAsiaTheme="minorEastAsia"/>
          <w:sz w:val="24"/>
          <w:szCs w:val="24"/>
        </w:rPr>
        <w:t xml:space="preserve"> is the lag, </w:t>
      </w:r>
      <m:oMath>
        <m:r>
          <w:rPr>
            <w:rFonts w:ascii="Cambria Math" w:hAnsi="Cambria Math"/>
            <w:sz w:val="24"/>
            <w:szCs w:val="24"/>
          </w:rPr>
          <m:t>α</m:t>
        </m:r>
      </m:oMath>
      <w:r w:rsidR="00116F91">
        <w:rPr>
          <w:rFonts w:eastAsiaTheme="minorEastAsia"/>
          <w:sz w:val="24"/>
          <w:szCs w:val="24"/>
        </w:rPr>
        <w:t xml:space="preserve"> are the coefficients associated with the various lag parameters,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ε</m:t>
            </m:r>
          </m:e>
          <m:sub>
            <m:r>
              <w:rPr>
                <w:rFonts w:ascii="Cambria Math" w:eastAsiaTheme="minorEastAsia" w:hAnsi="Cambria Math"/>
                <w:sz w:val="24"/>
                <w:szCs w:val="24"/>
              </w:rPr>
              <m:t>t</m:t>
            </m:r>
          </m:sub>
          <m:sup>
            <m:r>
              <w:rPr>
                <w:rFonts w:ascii="Cambria Math" w:eastAsiaTheme="minorEastAsia" w:hAnsi="Cambria Math"/>
                <w:sz w:val="24"/>
                <w:szCs w:val="24"/>
              </w:rPr>
              <m:t>k</m:t>
            </m:r>
          </m:sup>
        </m:sSubSup>
      </m:oMath>
      <w:r w:rsidR="00116F91">
        <w:rPr>
          <w:rFonts w:eastAsiaTheme="minorEastAsia"/>
          <w:sz w:val="24"/>
          <w:szCs w:val="24"/>
        </w:rPr>
        <w:t xml:space="preserve"> is the error associated with the k</w:t>
      </w:r>
      <w:r w:rsidR="00116F91" w:rsidRPr="00116F91">
        <w:rPr>
          <w:rFonts w:eastAsiaTheme="minorEastAsia"/>
          <w:sz w:val="24"/>
          <w:szCs w:val="24"/>
          <w:vertAlign w:val="superscript"/>
        </w:rPr>
        <w:t>th</w:t>
      </w:r>
      <w:r w:rsidR="00116F91">
        <w:rPr>
          <w:rFonts w:eastAsiaTheme="minorEastAsia"/>
          <w:sz w:val="24"/>
          <w:szCs w:val="24"/>
        </w:rPr>
        <w:t xml:space="preserve"> regime. </w:t>
      </w:r>
      <w:r w:rsidR="00DC332E">
        <w:rPr>
          <w:rFonts w:eastAsiaTheme="minorEastAsia"/>
          <w:sz w:val="24"/>
          <w:szCs w:val="24"/>
        </w:rPr>
        <w:t xml:space="preserve">Thus, for each threshold regime k the dynamics is modelled using an auto-regressive model with different values of </w:t>
      </w:r>
      <m:oMath>
        <m:r>
          <w:rPr>
            <w:rFonts w:ascii="Cambria Math" w:hAnsi="Cambria Math"/>
            <w:sz w:val="24"/>
            <w:szCs w:val="24"/>
          </w:rPr>
          <m:t>α</m:t>
        </m:r>
      </m:oMath>
      <w:r w:rsidR="00DC332E">
        <w:rPr>
          <w:rFonts w:eastAsiaTheme="minorEastAsia"/>
          <w:sz w:val="24"/>
          <w:szCs w:val="24"/>
        </w:rPr>
        <w:t xml:space="preserve"> and </w:t>
      </w:r>
      <m:oMath>
        <m:r>
          <w:rPr>
            <w:rFonts w:ascii="Cambria Math" w:eastAsiaTheme="minorEastAsia" w:hAnsi="Cambria Math"/>
            <w:sz w:val="24"/>
            <w:szCs w:val="24"/>
          </w:rPr>
          <m:t>ε</m:t>
        </m:r>
      </m:oMath>
      <w:r w:rsidR="00DC332E">
        <w:rPr>
          <w:rFonts w:eastAsiaTheme="minorEastAsia"/>
          <w:sz w:val="24"/>
          <w:szCs w:val="24"/>
        </w:rPr>
        <w:t>.</w:t>
      </w:r>
    </w:p>
    <w:p w14:paraId="372413ED" w14:textId="647E297E" w:rsidR="00D339CB" w:rsidRDefault="00D339CB" w:rsidP="00B248E2">
      <w:pPr>
        <w:rPr>
          <w:rFonts w:eastAsiaTheme="minorEastAsia"/>
          <w:sz w:val="24"/>
          <w:szCs w:val="24"/>
        </w:rPr>
      </w:pPr>
      <w:r>
        <w:rPr>
          <w:rFonts w:eastAsiaTheme="minorEastAsia"/>
          <w:sz w:val="24"/>
          <w:szCs w:val="24"/>
        </w:rPr>
        <w:tab/>
        <w:t xml:space="preserve">For a </w:t>
      </w:r>
      <w:proofErr w:type="gramStart"/>
      <w:r>
        <w:rPr>
          <w:rFonts w:eastAsiaTheme="minorEastAsia"/>
          <w:sz w:val="24"/>
          <w:szCs w:val="24"/>
        </w:rPr>
        <w:t>SETAR(</w:t>
      </w:r>
      <w:proofErr w:type="gramEnd"/>
      <w:r>
        <w:rPr>
          <w:rFonts w:eastAsiaTheme="minorEastAsia"/>
          <w:sz w:val="24"/>
          <w:szCs w:val="24"/>
        </w:rPr>
        <w:t>2,2) model with the 1</w:t>
      </w:r>
      <w:r w:rsidRPr="00D339CB">
        <w:rPr>
          <w:rFonts w:eastAsiaTheme="minorEastAsia"/>
          <w:sz w:val="24"/>
          <w:szCs w:val="24"/>
          <w:vertAlign w:val="superscript"/>
        </w:rPr>
        <w:t>st</w:t>
      </w:r>
      <w:r>
        <w:rPr>
          <w:rFonts w:eastAsiaTheme="minorEastAsia"/>
          <w:sz w:val="24"/>
          <w:szCs w:val="24"/>
        </w:rPr>
        <w:t xml:space="preserve"> 2 denoting the number of threshold regimes and second 2 denoting the AR model associated with each regime, would be written as:</w:t>
      </w:r>
    </w:p>
    <w:p w14:paraId="570ABDFC" w14:textId="4A53FD79" w:rsidR="00D339CB" w:rsidRPr="00D339CB" w:rsidRDefault="007F0E0A" w:rsidP="00B248E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0</m:t>
                      </m:r>
                    </m:sub>
                    <m:sup>
                      <m:r>
                        <w:rPr>
                          <w:rFonts w:ascii="Cambria Math" w:hAnsi="Cambria Math"/>
                          <w:sz w:val="24"/>
                          <w:szCs w:val="24"/>
                        </w:rPr>
                        <m:t>1</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1</m:t>
                      </m:r>
                    </m:sub>
                    <m:sup>
                      <m:r>
                        <w:rPr>
                          <w:rFonts w:ascii="Cambria Math" w:hAnsi="Cambria Math"/>
                          <w:sz w:val="24"/>
                          <w:szCs w:val="24"/>
                        </w:rPr>
                        <m:t>1</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1</m:t>
                      </m:r>
                    </m:sub>
                    <m:sup>
                      <m:r>
                        <w:rPr>
                          <w:rFonts w:ascii="Cambria Math" w:hAnsi="Cambria Math"/>
                          <w:sz w:val="24"/>
                          <w:szCs w:val="24"/>
                        </w:rPr>
                        <m:t>1</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t</m:t>
                      </m:r>
                    </m:sub>
                    <m:sup>
                      <m:r>
                        <w:rPr>
                          <w:rFonts w:ascii="Cambria Math" w:hAnsi="Cambria Math"/>
                          <w:sz w:val="24"/>
                          <w:szCs w:val="24"/>
                        </w:rPr>
                        <m:t>1</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&lt;threshold value</m:t>
                  </m:r>
                </m:e>
                <m:e>
                  <m:r>
                    <w:rPr>
                      <w:rFonts w:ascii="Cambria Math" w:hAnsi="Cambria Math"/>
                      <w:sz w:val="24"/>
                      <w:szCs w:val="24"/>
                    </w:rPr>
                    <m:t xml:space="preserve"> </m:t>
                  </m:r>
                  <m:ctrlPr>
                    <w:rPr>
                      <w:rFonts w:ascii="Cambria Math" w:eastAsia="Cambria Math" w:hAnsi="Cambria Math" w:cs="Cambria Math"/>
                      <w:i/>
                      <w:sz w:val="24"/>
                      <w:szCs w:val="24"/>
                    </w:rPr>
                  </m:ctrlPr>
                </m:e>
                <m:e>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0</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t</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&gt;threshold value</m:t>
                  </m:r>
                </m:e>
              </m:eqArr>
            </m:e>
          </m:d>
        </m:oMath>
      </m:oMathPara>
    </w:p>
    <w:p w14:paraId="132FD896" w14:textId="2F1F0293" w:rsidR="00D339CB" w:rsidRPr="003A4E3F" w:rsidRDefault="00D339CB" w:rsidP="00B248E2">
      <w:pPr>
        <w:rPr>
          <w:sz w:val="24"/>
          <w:szCs w:val="24"/>
        </w:rPr>
      </w:pPr>
      <w:r>
        <w:rPr>
          <w:rFonts w:eastAsiaTheme="minorEastAsia"/>
          <w:sz w:val="24"/>
          <w:szCs w:val="24"/>
        </w:rPr>
        <w:tab/>
        <w:t xml:space="preserve">The above example has the threshold on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oMath>
      <w:r>
        <w:rPr>
          <w:rFonts w:eastAsiaTheme="minorEastAsia"/>
          <w:sz w:val="24"/>
          <w:szCs w:val="24"/>
        </w:rPr>
        <w:t xml:space="preserve"> for this example and the threshold can be on any one of the lag parameters. Furthermore, there is no constraint that the order of the AR models should be the same for all the variables. </w:t>
      </w:r>
    </w:p>
    <w:p w14:paraId="2A449944" w14:textId="0224D327" w:rsidR="00FB26E3" w:rsidRDefault="00FB26E3">
      <w:pPr>
        <w:rPr>
          <w:b/>
          <w:bCs/>
          <w:sz w:val="24"/>
          <w:szCs w:val="24"/>
        </w:rPr>
      </w:pPr>
      <w:r w:rsidRPr="003A4609">
        <w:rPr>
          <w:b/>
          <w:bCs/>
          <w:sz w:val="24"/>
          <w:szCs w:val="24"/>
        </w:rPr>
        <w:t xml:space="preserve">Results &amp; </w:t>
      </w:r>
      <w:r w:rsidR="00B7057A" w:rsidRPr="003A4609">
        <w:rPr>
          <w:b/>
          <w:bCs/>
          <w:sz w:val="24"/>
          <w:szCs w:val="24"/>
        </w:rPr>
        <w:t>Discussion: -</w:t>
      </w:r>
      <w:r w:rsidR="003A4609" w:rsidRPr="003A4609">
        <w:rPr>
          <w:b/>
          <w:bCs/>
          <w:sz w:val="24"/>
          <w:szCs w:val="24"/>
        </w:rPr>
        <w:t xml:space="preserve"> </w:t>
      </w:r>
    </w:p>
    <w:p w14:paraId="0158205C" w14:textId="1454B8B4" w:rsidR="003A4E3F" w:rsidRDefault="003A4E3F">
      <w:pPr>
        <w:rPr>
          <w:u w:val="single"/>
        </w:rPr>
      </w:pPr>
      <w:r w:rsidRPr="009D076F">
        <w:rPr>
          <w:u w:val="single"/>
        </w:rPr>
        <w:t>PCA</w:t>
      </w:r>
    </w:p>
    <w:p w14:paraId="682B7897" w14:textId="1E2377C0" w:rsidR="00454412" w:rsidRDefault="009D076F" w:rsidP="00454412">
      <w:pPr>
        <w:ind w:firstLine="720"/>
      </w:pPr>
      <w:r>
        <w:t xml:space="preserve">The Principal Component </w:t>
      </w:r>
      <w:r w:rsidR="00C04A92">
        <w:t>Analysis (</w:t>
      </w:r>
      <w:r>
        <w:t>elaborated in Section XX) is applied to the annual streamflow extremes, consisting of 30 sites and 81 years data. The variance explained by the each of the 30 principal components is shown in Figure XX.</w:t>
      </w:r>
      <w:r w:rsidR="00454412" w:rsidRPr="00454412">
        <w:t xml:space="preserve"> </w:t>
      </w:r>
      <w:r w:rsidR="00454412">
        <w:t xml:space="preserve">The first PC explains about 40% of the total variance across of the field with the second and third PC explaining 17% and 9% of the variance respectively. Based on the cumulative variance explained by PCs, the first three PCs (marked by the hashed red line in figure XX) explain about 66% of the total variance. These 3 PCs are utilized for further analysis. </w:t>
      </w:r>
    </w:p>
    <w:p w14:paraId="113E88B1" w14:textId="2DBE530D" w:rsidR="009D076F" w:rsidRPr="009D076F" w:rsidRDefault="009D076F">
      <w:r>
        <w:t xml:space="preserve"> </w:t>
      </w:r>
    </w:p>
    <w:p w14:paraId="11323849" w14:textId="3AFD443D" w:rsidR="009D076F" w:rsidRDefault="009D076F" w:rsidP="009D076F">
      <w:pPr>
        <w:jc w:val="center"/>
      </w:pPr>
      <w:r>
        <w:rPr>
          <w:noProof/>
        </w:rPr>
        <w:lastRenderedPageBreak/>
        <w:drawing>
          <wp:inline distT="0" distB="0" distL="0" distR="0" wp14:anchorId="0D744AE5" wp14:editId="4ABEC9E8">
            <wp:extent cx="4239158" cy="401633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3559" cy="4020500"/>
                    </a:xfrm>
                    <a:prstGeom prst="rect">
                      <a:avLst/>
                    </a:prstGeom>
                  </pic:spPr>
                </pic:pic>
              </a:graphicData>
            </a:graphic>
          </wp:inline>
        </w:drawing>
      </w:r>
    </w:p>
    <w:p w14:paraId="212FB1B4" w14:textId="5A68E5BC" w:rsidR="009D076F" w:rsidRPr="009D076F" w:rsidRDefault="009D076F" w:rsidP="009D076F">
      <w:pPr>
        <w:jc w:val="center"/>
        <w:rPr>
          <w:i/>
          <w:iCs/>
          <w:sz w:val="20"/>
          <w:szCs w:val="20"/>
        </w:rPr>
      </w:pPr>
      <w:r w:rsidRPr="009D076F">
        <w:rPr>
          <w:i/>
          <w:iCs/>
          <w:sz w:val="20"/>
          <w:szCs w:val="20"/>
        </w:rPr>
        <w:t>Figure XX:</w:t>
      </w:r>
      <w:r w:rsidR="003360EC">
        <w:rPr>
          <w:i/>
          <w:iCs/>
          <w:sz w:val="20"/>
          <w:szCs w:val="20"/>
        </w:rPr>
        <w:t xml:space="preserve"> Cumulative </w:t>
      </w:r>
      <w:r w:rsidRPr="009D076F">
        <w:rPr>
          <w:i/>
          <w:iCs/>
          <w:sz w:val="20"/>
          <w:szCs w:val="20"/>
        </w:rPr>
        <w:t>Variance explained by PCs</w:t>
      </w:r>
    </w:p>
    <w:p w14:paraId="3B79825F" w14:textId="77777777" w:rsidR="009D076F" w:rsidRDefault="009D076F" w:rsidP="009D076F">
      <w:pPr>
        <w:jc w:val="center"/>
      </w:pPr>
    </w:p>
    <w:p w14:paraId="5E78C49B" w14:textId="4419E92B" w:rsidR="003A4E3F" w:rsidRPr="00B0576F" w:rsidRDefault="003A4E3F">
      <w:pPr>
        <w:rPr>
          <w:sz w:val="28"/>
          <w:szCs w:val="28"/>
          <w:u w:val="single"/>
        </w:rPr>
      </w:pPr>
      <w:r w:rsidRPr="00B0576F">
        <w:rPr>
          <w:sz w:val="28"/>
          <w:szCs w:val="28"/>
          <w:u w:val="single"/>
        </w:rPr>
        <w:t>Wavelet Clustering</w:t>
      </w:r>
    </w:p>
    <w:p w14:paraId="6B205B8F" w14:textId="53557269" w:rsidR="00456E4C" w:rsidRDefault="00890D65">
      <w:r w:rsidRPr="00890D65">
        <w:rPr>
          <w:u w:val="single"/>
        </w:rPr>
        <w:t>Why Wavelets</w:t>
      </w:r>
      <w:r>
        <w:t xml:space="preserve"> – Current state of the art risk assessments focus only on point risk through means </w:t>
      </w:r>
      <w:proofErr w:type="gramStart"/>
      <w:r>
        <w:t>similar to</w:t>
      </w:r>
      <w:proofErr w:type="gramEnd"/>
      <w:r>
        <w:t xml:space="preserve"> a 10-yr flood or a 100-yr flood. Considering a basin wide effect, as is shown in this study, these 10-yr events across regions are not </w:t>
      </w:r>
      <w:proofErr w:type="spellStart"/>
      <w:r>
        <w:t>i.i.d</w:t>
      </w:r>
      <w:proofErr w:type="spellEnd"/>
      <w:r>
        <w:t xml:space="preserve"> and show distinct spatio-temporal structure. The use of PC-Wavelet helps capture the temporal structure by means of the time-frequency methods utilized in the wavelets and encapsulation of the spatial structure by means of eigenvectors of the principal components. If the 10-yr events were truly </w:t>
      </w:r>
      <w:proofErr w:type="spellStart"/>
      <w:r>
        <w:t>i.i.d</w:t>
      </w:r>
      <w:proofErr w:type="spellEnd"/>
      <w:r>
        <w:t xml:space="preserve">, the total annual occurrence of such events across the </w:t>
      </w:r>
      <w:r w:rsidR="00051F67">
        <w:t xml:space="preserve">region would follow a Poisson process with the expected value being 1/10 times the number of stations. Figure XX shows that this is not observed with periods of heightened activity and </w:t>
      </w:r>
      <w:r w:rsidR="00EF5319">
        <w:t>long periods</w:t>
      </w:r>
      <w:r w:rsidR="00051F67">
        <w:t xml:space="preserve"> of no occurrence of such events across the region. </w:t>
      </w:r>
    </w:p>
    <w:p w14:paraId="7725F6D9" w14:textId="11D3FEF3" w:rsidR="00456E4C" w:rsidRDefault="00456E4C" w:rsidP="00456E4C">
      <w:pPr>
        <w:jc w:val="center"/>
      </w:pPr>
      <w:commentRangeStart w:id="3"/>
      <w:r w:rsidRPr="00456E4C">
        <w:rPr>
          <w:noProof/>
        </w:rPr>
        <w:lastRenderedPageBreak/>
        <w:drawing>
          <wp:inline distT="0" distB="0" distL="0" distR="0" wp14:anchorId="5C65A161" wp14:editId="46FA77D5">
            <wp:extent cx="3448050" cy="2475891"/>
            <wp:effectExtent l="0" t="0" r="0" b="635"/>
            <wp:docPr id="15" name="Picture 22">
              <a:extLst xmlns:a="http://schemas.openxmlformats.org/drawingml/2006/main">
                <a:ext uri="{FF2B5EF4-FFF2-40B4-BE49-F238E27FC236}">
                  <a16:creationId xmlns:a16="http://schemas.microsoft.com/office/drawing/2014/main" id="{B8248463-F0DA-431F-8373-FA7935854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8248463-F0DA-431F-8373-FA7935854565}"/>
                        </a:ext>
                      </a:extLst>
                    </pic:cNvPr>
                    <pic:cNvPicPr>
                      <a:picLocks noChangeAspect="1"/>
                    </pic:cNvPicPr>
                  </pic:nvPicPr>
                  <pic:blipFill>
                    <a:blip r:embed="rId10"/>
                    <a:stretch>
                      <a:fillRect/>
                    </a:stretch>
                  </pic:blipFill>
                  <pic:spPr>
                    <a:xfrm>
                      <a:off x="0" y="0"/>
                      <a:ext cx="3451032" cy="2478032"/>
                    </a:xfrm>
                    <a:prstGeom prst="rect">
                      <a:avLst/>
                    </a:prstGeom>
                  </pic:spPr>
                </pic:pic>
              </a:graphicData>
            </a:graphic>
          </wp:inline>
        </w:drawing>
      </w:r>
      <w:commentRangeEnd w:id="3"/>
      <w:r w:rsidR="00EF5319">
        <w:rPr>
          <w:rStyle w:val="CommentReference"/>
        </w:rPr>
        <w:commentReference w:id="3"/>
      </w:r>
    </w:p>
    <w:p w14:paraId="0CE85838" w14:textId="011F834E" w:rsidR="00456E4C" w:rsidRDefault="00456E4C" w:rsidP="00456E4C">
      <w:pPr>
        <w:jc w:val="center"/>
      </w:pPr>
      <w:r>
        <w:t xml:space="preserve">Figure XX: Annual count occurrence of 10-yr events across the 10 sites. </w:t>
      </w:r>
    </w:p>
    <w:p w14:paraId="69C69350" w14:textId="2F0843DE" w:rsidR="00890D65" w:rsidRDefault="00890D65">
      <w:r>
        <w:t xml:space="preserve"> </w:t>
      </w:r>
    </w:p>
    <w:p w14:paraId="3112E320" w14:textId="7D7A1767" w:rsidR="00D04022" w:rsidRPr="00CA485F" w:rsidRDefault="00EF5319" w:rsidP="00EF5319">
      <w:r w:rsidRPr="00EF5319">
        <w:rPr>
          <w:u w:val="single"/>
        </w:rPr>
        <w:t>Explain the Figure</w:t>
      </w:r>
      <w:r>
        <w:t xml:space="preserve"> - </w:t>
      </w:r>
      <w:commentRangeStart w:id="4"/>
      <w:r w:rsidR="00CA485F">
        <w:t>The</w:t>
      </w:r>
      <w:commentRangeEnd w:id="4"/>
      <w:r w:rsidR="003360EC">
        <w:rPr>
          <w:rStyle w:val="CommentReference"/>
        </w:rPr>
        <w:commentReference w:id="4"/>
      </w:r>
      <w:r w:rsidR="00CA485F">
        <w:t xml:space="preserve"> Figure XX below shows the results from the</w:t>
      </w:r>
      <w:r w:rsidR="003360EC">
        <w:t xml:space="preserve"> </w:t>
      </w:r>
      <w:r>
        <w:t>PC-Wavelet</w:t>
      </w:r>
      <w:r w:rsidR="003360EC">
        <w:t xml:space="preserve"> </w:t>
      </w:r>
      <w:r>
        <w:t>and Wavelet-C</w:t>
      </w:r>
      <w:r w:rsidR="003360EC">
        <w:t xml:space="preserve">lustering </w:t>
      </w:r>
      <w:r>
        <w:t>methodologies</w:t>
      </w:r>
      <w:r w:rsidR="00CA485F">
        <w:t xml:space="preserve">. </w:t>
      </w:r>
      <w:r w:rsidR="003360EC">
        <w:t>For the implicit clustering-wavelet methodology</w:t>
      </w:r>
      <w:r w:rsidR="008227EE">
        <w:t>, the 3 PC selected above further undergo wavelet analysis.</w:t>
      </w:r>
      <w:r w:rsidR="00CA485F">
        <w:t xml:space="preserve"> </w:t>
      </w:r>
      <w:r w:rsidR="008227EE">
        <w:t>In case of the explicit clustering-wavelet method, for sake for comparison, the number of selected clusters is 3, with each cluster’s 1</w:t>
      </w:r>
      <w:r w:rsidR="008227EE" w:rsidRPr="008227EE">
        <w:rPr>
          <w:vertAlign w:val="superscript"/>
        </w:rPr>
        <w:t>st</w:t>
      </w:r>
      <w:r w:rsidR="008227EE">
        <w:t xml:space="preserve"> PC undergoing a wavelet analysis. </w:t>
      </w:r>
      <w:r w:rsidR="00CA485F">
        <w:t>(Refer Annex ___ to see the visual hierarchical clustering and location of the three clusters.)</w:t>
      </w:r>
    </w:p>
    <w:p w14:paraId="624ED6FC" w14:textId="059A59D1" w:rsidR="00D04022" w:rsidRDefault="00D04022">
      <w:pPr>
        <w:rPr>
          <w:u w:val="single"/>
        </w:rPr>
      </w:pPr>
    </w:p>
    <w:p w14:paraId="0D74595B" w14:textId="4394B4E7" w:rsidR="00D04022" w:rsidRDefault="00D04022">
      <w:pPr>
        <w:rPr>
          <w:u w:val="single"/>
        </w:rPr>
      </w:pPr>
    </w:p>
    <w:p w14:paraId="3AECC847" w14:textId="28CC14C6" w:rsidR="00D04022" w:rsidRDefault="00D04022">
      <w:pPr>
        <w:rPr>
          <w:u w:val="single"/>
        </w:rPr>
      </w:pPr>
    </w:p>
    <w:p w14:paraId="3845C69F" w14:textId="67E1A1AB" w:rsidR="00D04022" w:rsidRDefault="00D04022">
      <w:pPr>
        <w:rPr>
          <w:u w:val="single"/>
        </w:rPr>
      </w:pPr>
    </w:p>
    <w:p w14:paraId="56040A24" w14:textId="7405EBEE" w:rsidR="00D04022" w:rsidRDefault="00D04022">
      <w:pPr>
        <w:rPr>
          <w:u w:val="single"/>
        </w:rPr>
      </w:pPr>
    </w:p>
    <w:p w14:paraId="04C0753D" w14:textId="77777777" w:rsidR="00792BF1" w:rsidRDefault="00792BF1" w:rsidP="00D04022"/>
    <w:p w14:paraId="4A2831A8" w14:textId="77777777" w:rsidR="00792BF1" w:rsidRDefault="00792BF1" w:rsidP="00D04022"/>
    <w:p w14:paraId="35CA8B87" w14:textId="6DFB9BE0" w:rsidR="00D04022" w:rsidRPr="00D04022" w:rsidRDefault="00792BF1" w:rsidP="00792BF1">
      <w:pPr>
        <w:pStyle w:val="ListParagraph"/>
        <w:numPr>
          <w:ilvl w:val="0"/>
          <w:numId w:val="2"/>
        </w:numPr>
      </w:pPr>
      <w:r>
        <w:t xml:space="preserve">                                                                             (b)</w:t>
      </w:r>
    </w:p>
    <w:p w14:paraId="168A9EDA" w14:textId="6897D410" w:rsidR="009D076F" w:rsidRDefault="00D04022" w:rsidP="00D04022">
      <w:pPr>
        <w:jc w:val="center"/>
      </w:pPr>
      <w:r>
        <w:rPr>
          <w:noProof/>
        </w:rPr>
        <w:lastRenderedPageBreak/>
        <w:drawing>
          <wp:inline distT="0" distB="0" distL="0" distR="0" wp14:anchorId="22117AA1" wp14:editId="1E1EE9BF">
            <wp:extent cx="2669196" cy="267176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196" cy="2671763"/>
                    </a:xfrm>
                    <a:prstGeom prst="rect">
                      <a:avLst/>
                    </a:prstGeom>
                  </pic:spPr>
                </pic:pic>
              </a:graphicData>
            </a:graphic>
          </wp:inline>
        </w:drawing>
      </w:r>
      <w:r>
        <w:rPr>
          <w:noProof/>
        </w:rPr>
        <w:drawing>
          <wp:inline distT="0" distB="0" distL="0" distR="0" wp14:anchorId="2D86BCBA" wp14:editId="1963A0DC">
            <wp:extent cx="2633663" cy="26283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663" cy="2628317"/>
                    </a:xfrm>
                    <a:prstGeom prst="rect">
                      <a:avLst/>
                    </a:prstGeom>
                  </pic:spPr>
                </pic:pic>
              </a:graphicData>
            </a:graphic>
          </wp:inline>
        </w:drawing>
      </w:r>
    </w:p>
    <w:p w14:paraId="23AF5509" w14:textId="6F7CBD64" w:rsidR="00792BF1" w:rsidRDefault="00792BF1" w:rsidP="00792BF1">
      <w:pPr>
        <w:ind w:left="548"/>
      </w:pPr>
      <w:r>
        <w:t xml:space="preserve">(c)                                                                            </w:t>
      </w:r>
      <w:r w:rsidR="00E202FE">
        <w:t xml:space="preserve">  </w:t>
      </w:r>
      <w:proofErr w:type="gramStart"/>
      <w:r w:rsidR="00E202FE">
        <w:t xml:space="preserve">   (</w:t>
      </w:r>
      <w:proofErr w:type="gramEnd"/>
      <w:r>
        <w:t>d)</w:t>
      </w:r>
    </w:p>
    <w:p w14:paraId="587DBA86" w14:textId="22FA055A" w:rsidR="00D04022" w:rsidRDefault="00D04022" w:rsidP="00D04022">
      <w:pPr>
        <w:jc w:val="center"/>
      </w:pPr>
      <w:r>
        <w:rPr>
          <w:noProof/>
        </w:rPr>
        <w:drawing>
          <wp:inline distT="0" distB="0" distL="0" distR="0" wp14:anchorId="32AC960C" wp14:editId="3134D9C6">
            <wp:extent cx="2708631"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351" cy="2569201"/>
                    </a:xfrm>
                    <a:prstGeom prst="rect">
                      <a:avLst/>
                    </a:prstGeom>
                  </pic:spPr>
                </pic:pic>
              </a:graphicData>
            </a:graphic>
          </wp:inline>
        </w:drawing>
      </w:r>
      <w:r>
        <w:rPr>
          <w:noProof/>
        </w:rPr>
        <w:drawing>
          <wp:inline distT="0" distB="0" distL="0" distR="0" wp14:anchorId="6B88A278" wp14:editId="389717F3">
            <wp:extent cx="2671763"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5124" cy="2584610"/>
                    </a:xfrm>
                    <a:prstGeom prst="rect">
                      <a:avLst/>
                    </a:prstGeom>
                  </pic:spPr>
                </pic:pic>
              </a:graphicData>
            </a:graphic>
          </wp:inline>
        </w:drawing>
      </w:r>
    </w:p>
    <w:p w14:paraId="3B31ED42" w14:textId="77777777" w:rsidR="00792BF1" w:rsidRDefault="00792BF1" w:rsidP="00D04022">
      <w:pPr>
        <w:jc w:val="center"/>
      </w:pPr>
    </w:p>
    <w:p w14:paraId="7D666D8C" w14:textId="77777777" w:rsidR="00792BF1" w:rsidRDefault="00792BF1" w:rsidP="00D04022">
      <w:pPr>
        <w:jc w:val="center"/>
      </w:pPr>
    </w:p>
    <w:p w14:paraId="6A7F451C" w14:textId="77777777" w:rsidR="00792BF1" w:rsidRDefault="00792BF1" w:rsidP="00D04022">
      <w:pPr>
        <w:jc w:val="center"/>
      </w:pPr>
    </w:p>
    <w:p w14:paraId="0937D2FF" w14:textId="77777777" w:rsidR="00792BF1" w:rsidRDefault="00792BF1" w:rsidP="00D04022">
      <w:pPr>
        <w:jc w:val="center"/>
      </w:pPr>
    </w:p>
    <w:p w14:paraId="2ABCFEA2" w14:textId="77777777" w:rsidR="00792BF1" w:rsidRDefault="00792BF1" w:rsidP="00D04022">
      <w:pPr>
        <w:jc w:val="center"/>
      </w:pPr>
    </w:p>
    <w:p w14:paraId="102E1E6B" w14:textId="77777777" w:rsidR="00792BF1" w:rsidRDefault="00792BF1" w:rsidP="00D04022">
      <w:pPr>
        <w:jc w:val="center"/>
      </w:pPr>
    </w:p>
    <w:p w14:paraId="5C7A4EBC" w14:textId="77777777" w:rsidR="00792BF1" w:rsidRDefault="00792BF1" w:rsidP="00D04022">
      <w:pPr>
        <w:jc w:val="center"/>
      </w:pPr>
    </w:p>
    <w:p w14:paraId="135E7B33" w14:textId="77777777" w:rsidR="00792BF1" w:rsidRDefault="00792BF1" w:rsidP="00D04022">
      <w:pPr>
        <w:jc w:val="center"/>
      </w:pPr>
    </w:p>
    <w:p w14:paraId="03C69934" w14:textId="3B954D8A" w:rsidR="00792BF1" w:rsidRDefault="00792BF1" w:rsidP="00792BF1">
      <w:r>
        <w:t xml:space="preserve">           (e)                                                                               </w:t>
      </w:r>
      <w:proofErr w:type="gramStart"/>
      <w:r>
        <w:t xml:space="preserve"> </w:t>
      </w:r>
      <w:r w:rsidR="00E202FE">
        <w:t xml:space="preserve">  (</w:t>
      </w:r>
      <w:proofErr w:type="gramEnd"/>
      <w:r>
        <w:t>f)</w:t>
      </w:r>
    </w:p>
    <w:p w14:paraId="6CF092FE" w14:textId="34404011" w:rsidR="00D04022" w:rsidRDefault="00D04022" w:rsidP="00D04022">
      <w:pPr>
        <w:jc w:val="center"/>
      </w:pPr>
      <w:r>
        <w:rPr>
          <w:noProof/>
        </w:rPr>
        <w:lastRenderedPageBreak/>
        <w:drawing>
          <wp:inline distT="0" distB="0" distL="0" distR="0" wp14:anchorId="59991CA6" wp14:editId="453A3BF3">
            <wp:extent cx="2792413" cy="2547597"/>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4782" cy="2577128"/>
                    </a:xfrm>
                    <a:prstGeom prst="rect">
                      <a:avLst/>
                    </a:prstGeom>
                  </pic:spPr>
                </pic:pic>
              </a:graphicData>
            </a:graphic>
          </wp:inline>
        </w:drawing>
      </w:r>
      <w:r>
        <w:rPr>
          <w:noProof/>
        </w:rPr>
        <w:drawing>
          <wp:inline distT="0" distB="0" distL="0" distR="0" wp14:anchorId="1FE68965" wp14:editId="333F2498">
            <wp:extent cx="2681288" cy="249047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1302" cy="2499772"/>
                    </a:xfrm>
                    <a:prstGeom prst="rect">
                      <a:avLst/>
                    </a:prstGeom>
                  </pic:spPr>
                </pic:pic>
              </a:graphicData>
            </a:graphic>
          </wp:inline>
        </w:drawing>
      </w:r>
    </w:p>
    <w:p w14:paraId="0F1847BB" w14:textId="6BBC0A26" w:rsidR="00792BF1" w:rsidRPr="00501EDE" w:rsidRDefault="00792BF1" w:rsidP="00501EDE">
      <w:pPr>
        <w:jc w:val="center"/>
        <w:rPr>
          <w:i/>
          <w:iCs/>
        </w:rPr>
      </w:pPr>
      <w:r w:rsidRPr="00501EDE">
        <w:rPr>
          <w:i/>
          <w:iCs/>
        </w:rPr>
        <w:t xml:space="preserve">Figure </w:t>
      </w:r>
      <w:r w:rsidR="00336C76" w:rsidRPr="00501EDE">
        <w:rPr>
          <w:i/>
          <w:iCs/>
        </w:rPr>
        <w:t>XX: -</w:t>
      </w:r>
      <w:r w:rsidRPr="00501EDE">
        <w:rPr>
          <w:i/>
          <w:iCs/>
        </w:rPr>
        <w:t xml:space="preserve"> </w:t>
      </w:r>
      <w:r w:rsidR="00E202FE">
        <w:rPr>
          <w:i/>
          <w:iCs/>
        </w:rPr>
        <w:t>Implicit Clustering-Wavelet Analysis</w:t>
      </w:r>
      <w:r w:rsidR="001C72B5" w:rsidRPr="00501EDE">
        <w:rPr>
          <w:i/>
          <w:iCs/>
        </w:rPr>
        <w:t>(</w:t>
      </w:r>
      <w:proofErr w:type="spellStart"/>
      <w:proofErr w:type="gramStart"/>
      <w:r w:rsidR="001C72B5" w:rsidRPr="00501EDE">
        <w:rPr>
          <w:i/>
          <w:iCs/>
        </w:rPr>
        <w:t>a,c</w:t>
      </w:r>
      <w:proofErr w:type="gramEnd"/>
      <w:r w:rsidR="001C72B5" w:rsidRPr="00501EDE">
        <w:rPr>
          <w:i/>
          <w:iCs/>
        </w:rPr>
        <w:t>,e</w:t>
      </w:r>
      <w:proofErr w:type="spellEnd"/>
      <w:r w:rsidR="001C72B5" w:rsidRPr="00501EDE">
        <w:rPr>
          <w:i/>
          <w:iCs/>
        </w:rPr>
        <w:t xml:space="preserve">) and </w:t>
      </w:r>
      <w:r w:rsidR="00E202FE">
        <w:rPr>
          <w:i/>
          <w:iCs/>
        </w:rPr>
        <w:t>Explicit Clustering-Wavelet Analysis</w:t>
      </w:r>
      <w:r w:rsidR="00E202FE" w:rsidRPr="00501EDE">
        <w:rPr>
          <w:i/>
          <w:iCs/>
        </w:rPr>
        <w:t xml:space="preserve"> </w:t>
      </w:r>
      <w:r w:rsidR="001C72B5" w:rsidRPr="00501EDE">
        <w:rPr>
          <w:i/>
          <w:iCs/>
        </w:rPr>
        <w:t>(</w:t>
      </w:r>
      <w:proofErr w:type="spellStart"/>
      <w:r w:rsidR="001C72B5" w:rsidRPr="00501EDE">
        <w:rPr>
          <w:i/>
          <w:iCs/>
        </w:rPr>
        <w:t>b,d,f</w:t>
      </w:r>
      <w:proofErr w:type="spellEnd"/>
      <w:r w:rsidR="001C72B5" w:rsidRPr="00501EDE">
        <w:rPr>
          <w:i/>
          <w:iCs/>
        </w:rPr>
        <w:t>) for the 1</w:t>
      </w:r>
      <w:r w:rsidR="001C72B5" w:rsidRPr="00501EDE">
        <w:rPr>
          <w:i/>
          <w:iCs/>
          <w:vertAlign w:val="superscript"/>
        </w:rPr>
        <w:t>st</w:t>
      </w:r>
      <w:r w:rsidR="001C72B5" w:rsidRPr="00501EDE">
        <w:rPr>
          <w:i/>
          <w:iCs/>
        </w:rPr>
        <w:t xml:space="preserve"> the PCs. For each </w:t>
      </w:r>
      <w:r w:rsidR="00336C76" w:rsidRPr="00501EDE">
        <w:rPr>
          <w:i/>
          <w:iCs/>
        </w:rPr>
        <w:t>subplot: -</w:t>
      </w:r>
      <w:r w:rsidR="001C72B5" w:rsidRPr="00501EDE">
        <w:rPr>
          <w:i/>
          <w:iCs/>
        </w:rPr>
        <w:t xml:space="preserve"> Top-left – The PCs with the loess line in red. Top-right – Global Wavelet Spectrum. The red and black lines correspond to the 90% significance red and white noise respectively. Bottom-Left – Wavelet Coherence for each PC. Bottom-Right – The PCs loadings</w:t>
      </w:r>
      <w:r w:rsidR="00501EDE">
        <w:rPr>
          <w:i/>
          <w:iCs/>
        </w:rPr>
        <w:t xml:space="preserve"> </w:t>
      </w:r>
      <w:r w:rsidR="001C72B5" w:rsidRPr="00501EDE">
        <w:rPr>
          <w:i/>
          <w:iCs/>
        </w:rPr>
        <w:t>(absolute value</w:t>
      </w:r>
      <w:r w:rsidR="00501EDE" w:rsidRPr="00501EDE">
        <w:rPr>
          <w:i/>
          <w:iCs/>
        </w:rPr>
        <w:t>s</w:t>
      </w:r>
      <w:r w:rsidR="001C72B5" w:rsidRPr="00501EDE">
        <w:rPr>
          <w:i/>
          <w:iCs/>
        </w:rPr>
        <w:t xml:space="preserve">) </w:t>
      </w:r>
      <w:r w:rsidR="00501EDE" w:rsidRPr="00501EDE">
        <w:rPr>
          <w:i/>
          <w:iCs/>
        </w:rPr>
        <w:t>for each site.</w:t>
      </w:r>
    </w:p>
    <w:p w14:paraId="10D16227" w14:textId="1EDB1A39" w:rsidR="00501EDE" w:rsidRDefault="00501EDE"/>
    <w:p w14:paraId="542504D8" w14:textId="536D59AA" w:rsidR="00E202FE" w:rsidRDefault="00501EDE" w:rsidP="00E202FE">
      <w:pPr>
        <w:ind w:firstLine="720"/>
      </w:pPr>
      <w:r>
        <w:t xml:space="preserve">As seen from Figure </w:t>
      </w:r>
      <w:r w:rsidR="00E202FE">
        <w:t>XX</w:t>
      </w:r>
      <w:r>
        <w:t xml:space="preserve">, the output from the two methods for the first two </w:t>
      </w:r>
      <w:r w:rsidR="00E202FE">
        <w:t>rows</w:t>
      </w:r>
      <w:r>
        <w:t xml:space="preserve"> are nearly identical. This is especially true for</w:t>
      </w:r>
      <w:r w:rsidR="00E202FE">
        <w:t xml:space="preserve"> the first row</w:t>
      </w:r>
      <w:r>
        <w:t xml:space="preserve"> </w:t>
      </w:r>
      <w:r w:rsidR="00E202FE">
        <w:t xml:space="preserve">which is (a) </w:t>
      </w:r>
      <w:r>
        <w:t>PC</w:t>
      </w:r>
      <w:r w:rsidR="00E202FE">
        <w:t>-</w:t>
      </w:r>
      <w:r>
        <w:t>1 of the entire field</w:t>
      </w:r>
      <w:r w:rsidR="00E202FE">
        <w:t xml:space="preserve"> i.e. implicit method</w:t>
      </w:r>
      <w:r>
        <w:t xml:space="preserve"> and </w:t>
      </w:r>
      <w:r w:rsidR="00E202FE">
        <w:t xml:space="preserve">(b) </w:t>
      </w:r>
      <w:r>
        <w:t>PC</w:t>
      </w:r>
      <w:r w:rsidR="00E202FE">
        <w:t>-</w:t>
      </w:r>
      <w:r>
        <w:t xml:space="preserve">1 of the </w:t>
      </w:r>
      <w:r w:rsidR="00E202FE">
        <w:t>explicit method</w:t>
      </w:r>
      <w:r>
        <w:t>.</w:t>
      </w:r>
      <w:r w:rsidR="00E202FE">
        <w:t xml:space="preserve"> The global wavelet spectrum in both have peak in the 5-7 yrs. period which cross the corresponding 90% confidence intervals over red and white noise. The wavelet power spectrum for both are nearly identical with similar regions in frequency-time space crossing the confidence threshold. </w:t>
      </w:r>
      <w:r>
        <w:t xml:space="preserve"> </w:t>
      </w:r>
      <w:r w:rsidR="001B0BF3">
        <w:t xml:space="preserve">Further </w:t>
      </w:r>
      <w:r>
        <w:t xml:space="preserve">the distribution of </w:t>
      </w:r>
      <w:r w:rsidR="001B0BF3">
        <w:t xml:space="preserve">the absolute values of the </w:t>
      </w:r>
      <w:r>
        <w:t>PC loadings across the two field</w:t>
      </w:r>
      <w:r w:rsidR="001B0BF3">
        <w:t xml:space="preserve"> is similar. This leads to the inference that the region of Indiana, eastern Illinois and western Ohio has dynamics which dominantly drives the upper Ohio River Basin. These dynamical features then could be possibly tied to a global mode of variability (explained further in section XX)</w:t>
      </w:r>
    </w:p>
    <w:p w14:paraId="5689B7AD" w14:textId="27758718" w:rsidR="00501EDE" w:rsidRDefault="001B0BF3" w:rsidP="00E202FE">
      <w:pPr>
        <w:ind w:firstLine="720"/>
      </w:pPr>
      <w:r>
        <w:t>Like the first row, there exist a lot of similarities between the (c) PC-2 of the entire field and (d) first PC of the 2</w:t>
      </w:r>
      <w:r w:rsidRPr="001B0BF3">
        <w:rPr>
          <w:vertAlign w:val="superscript"/>
        </w:rPr>
        <w:t>nd</w:t>
      </w:r>
      <w:r>
        <w:t xml:space="preserve"> cluster. </w:t>
      </w:r>
      <w:r w:rsidR="00501EDE">
        <w:t>The difference</w:t>
      </w:r>
      <w:r>
        <w:t>s</w:t>
      </w:r>
      <w:r w:rsidR="00501EDE">
        <w:t xml:space="preserve"> between the </w:t>
      </w:r>
      <w:r>
        <w:t xml:space="preserve">(e) </w:t>
      </w:r>
      <w:r w:rsidR="00501EDE">
        <w:t>3</w:t>
      </w:r>
      <w:r w:rsidR="00501EDE" w:rsidRPr="00501EDE">
        <w:rPr>
          <w:vertAlign w:val="superscript"/>
        </w:rPr>
        <w:t>rd</w:t>
      </w:r>
      <w:r w:rsidR="00501EDE">
        <w:t xml:space="preserve"> PC </w:t>
      </w:r>
      <w:r>
        <w:t xml:space="preserve">of the entire field </w:t>
      </w:r>
      <w:r w:rsidR="00501EDE">
        <w:t xml:space="preserve">and </w:t>
      </w:r>
      <w:r>
        <w:t>(f) first PC</w:t>
      </w:r>
      <w:r w:rsidR="00501EDE">
        <w:t xml:space="preserve"> of the </w:t>
      </w:r>
      <w:r>
        <w:t>3</w:t>
      </w:r>
      <w:r w:rsidRPr="001B0BF3">
        <w:rPr>
          <w:vertAlign w:val="superscript"/>
        </w:rPr>
        <w:t>rd</w:t>
      </w:r>
      <w:r>
        <w:t xml:space="preserve"> </w:t>
      </w:r>
      <w:r w:rsidR="00501EDE">
        <w:t xml:space="preserve">cluster </w:t>
      </w:r>
      <w:r>
        <w:t>are</w:t>
      </w:r>
      <w:r w:rsidR="00501EDE">
        <w:t xml:space="preserve"> much more pronounced. </w:t>
      </w:r>
    </w:p>
    <w:p w14:paraId="62CC5CE3" w14:textId="4F2F900D" w:rsidR="001B0BF3" w:rsidRDefault="001B0BF3" w:rsidP="00E202FE">
      <w:pPr>
        <w:ind w:firstLine="720"/>
      </w:pPr>
      <w:r>
        <w:t xml:space="preserve">The similarities across the results of the </w:t>
      </w:r>
      <w:r w:rsidR="00EF5319">
        <w:t>two</w:t>
      </w:r>
      <w:r>
        <w:t xml:space="preserve"> methodologies provid</w:t>
      </w:r>
      <w:r w:rsidR="00EF5319">
        <w:t>e</w:t>
      </w:r>
      <w:r>
        <w:t xml:space="preserve"> validation for both methods. It also provides </w:t>
      </w:r>
      <w:r w:rsidR="00C05EB9">
        <w:t xml:space="preserve">regions have a similar spectral signature possibly </w:t>
      </w:r>
      <w:r w:rsidR="00EF5319">
        <w:t>pointing to</w:t>
      </w:r>
      <w:r w:rsidR="00C05EB9">
        <w:t xml:space="preserve"> regions have similar dynamics or forcing by similar global external climatic variability modes. </w:t>
      </w:r>
    </w:p>
    <w:p w14:paraId="5C805AE2" w14:textId="0BBCAD51" w:rsidR="00501EDE" w:rsidRPr="00B0576F" w:rsidRDefault="00501EDE">
      <w:pPr>
        <w:rPr>
          <w:sz w:val="28"/>
          <w:szCs w:val="28"/>
          <w:u w:val="single"/>
        </w:rPr>
      </w:pPr>
      <w:r w:rsidRPr="00B0576F">
        <w:rPr>
          <w:sz w:val="28"/>
          <w:szCs w:val="28"/>
          <w:u w:val="single"/>
        </w:rPr>
        <w:t>AR Simulations</w:t>
      </w:r>
    </w:p>
    <w:p w14:paraId="20AF4436" w14:textId="12B46CE1" w:rsidR="00021E7B" w:rsidRDefault="00021E7B" w:rsidP="00021E7B">
      <w:pPr>
        <w:ind w:firstLine="720"/>
      </w:pPr>
      <w:r>
        <w:t xml:space="preserve">Using the process of iterative model building with each step corresponding with increased model complexity, model which was fit </w:t>
      </w:r>
      <w:r w:rsidR="00AC7320">
        <w:t xml:space="preserve">first </w:t>
      </w:r>
      <w:r>
        <w:t xml:space="preserve">to the data was the Auto-Regressive (AR) Model. Based on the AIC values a suitable AR order was decided and the model coefficients are computed. The AR models fit to the PCs were of order 4,4 and 0 correspondingly. </w:t>
      </w:r>
      <w:r w:rsidR="00E5089B">
        <w:t>The AR Model</w:t>
      </w:r>
      <w:r>
        <w:t>s</w:t>
      </w:r>
      <w:r w:rsidR="00E5089B">
        <w:t xml:space="preserve"> </w:t>
      </w:r>
      <w:r>
        <w:t>were</w:t>
      </w:r>
      <w:r w:rsidR="00E5089B">
        <w:t xml:space="preserve"> then simulated for </w:t>
      </w:r>
      <w:r>
        <w:t xml:space="preserve">1000 </w:t>
      </w:r>
      <w:r>
        <w:lastRenderedPageBreak/>
        <w:t>times</w:t>
      </w:r>
      <w:r w:rsidR="00E5089B">
        <w:t xml:space="preserve"> and the mean, standard deviation, minimum and maximum</w:t>
      </w:r>
      <w:r>
        <w:t xml:space="preserve">; spectral signature and </w:t>
      </w:r>
      <w:r w:rsidR="00D45E1A">
        <w:t xml:space="preserve">pdf and </w:t>
      </w:r>
      <w:proofErr w:type="spellStart"/>
      <w:r w:rsidR="00D45E1A">
        <w:t>cdf</w:t>
      </w:r>
      <w:proofErr w:type="spellEnd"/>
      <w:r>
        <w:t xml:space="preserve"> values</w:t>
      </w:r>
      <w:r w:rsidR="00E5089B">
        <w:t xml:space="preserve"> of the simulated series and the original PC were compared. </w:t>
      </w:r>
      <w:r>
        <w:t>These</w:t>
      </w:r>
      <w:r w:rsidR="00E5089B">
        <w:t xml:space="preserve"> model</w:t>
      </w:r>
      <w:r>
        <w:t>s</w:t>
      </w:r>
      <w:r w:rsidR="00E5089B">
        <w:t xml:space="preserve"> </w:t>
      </w:r>
      <w:r>
        <w:t>were</w:t>
      </w:r>
      <w:r w:rsidR="00E5089B">
        <w:t xml:space="preserve"> successful in simulating the PC mean, whereas it has some decent success in replicating the standard deviation, the minimum and maximum values</w:t>
      </w:r>
      <w:r w:rsidR="00D45E1A">
        <w:t xml:space="preserve">. </w:t>
      </w:r>
    </w:p>
    <w:p w14:paraId="00DA37C4" w14:textId="037B9C86" w:rsidR="00CF7F8B" w:rsidRPr="00501EDE" w:rsidRDefault="00E5089B" w:rsidP="00863A40">
      <w:pPr>
        <w:ind w:firstLine="720"/>
      </w:pPr>
      <w:r>
        <w:t>This is followed by reconstructing the field data from the simulated PCs since the loadings</w:t>
      </w:r>
      <w:r w:rsidR="00021E7B">
        <w:t xml:space="preserve">(eigenvectors) </w:t>
      </w:r>
      <w:r w:rsidR="00AC7320">
        <w:t>were computed.</w:t>
      </w:r>
      <w:r>
        <w:t xml:space="preserve"> The similar </w:t>
      </w:r>
      <w:r w:rsidR="00863A40">
        <w:t xml:space="preserve">comparison </w:t>
      </w:r>
      <w:r>
        <w:t>process is repeated but in this case each simulation is transformed to the actual 3</w:t>
      </w:r>
      <w:r w:rsidR="00AC7320">
        <w:t>0</w:t>
      </w:r>
      <w:r>
        <w:t xml:space="preserve"> </w:t>
      </w:r>
      <w:r w:rsidR="00AC7320">
        <w:t>stream-gauges</w:t>
      </w:r>
      <w:r>
        <w:t xml:space="preserve">. </w:t>
      </w:r>
      <w:r w:rsidR="00863A40">
        <w:t xml:space="preserve">Using </w:t>
      </w:r>
      <w:r w:rsidR="00CF7F8B">
        <w:t>three PC’s the si</w:t>
      </w:r>
      <w:r w:rsidR="00863A40">
        <w:t>mulation skill</w:t>
      </w:r>
      <w:r w:rsidR="00CF7F8B">
        <w:t xml:space="preserve"> improves for the </w:t>
      </w:r>
      <w:r w:rsidR="00863A40">
        <w:t>site-specific s</w:t>
      </w:r>
      <w:r w:rsidR="00CF7F8B">
        <w:t xml:space="preserve">tandard </w:t>
      </w:r>
      <w:r w:rsidR="00863A40">
        <w:t>d</w:t>
      </w:r>
      <w:r w:rsidR="00CF7F8B">
        <w:t xml:space="preserve">eviation yet there is a consistent </w:t>
      </w:r>
      <w:r w:rsidR="00863A40">
        <w:t>bias in simulations with the simulations over-estimat</w:t>
      </w:r>
      <w:r w:rsidR="00AC7320">
        <w:t>ing it</w:t>
      </w:r>
      <w:r w:rsidR="00CF7F8B">
        <w:t>. The simulation for the min</w:t>
      </w:r>
      <w:r w:rsidR="00863A40">
        <w:t>imum</w:t>
      </w:r>
      <w:r w:rsidR="00CF7F8B">
        <w:t xml:space="preserve"> and max</w:t>
      </w:r>
      <w:r w:rsidR="00863A40">
        <w:t>imum</w:t>
      </w:r>
      <w:r w:rsidR="00CF7F8B">
        <w:t xml:space="preserve"> values does not improve much. </w:t>
      </w:r>
      <w:r w:rsidR="00AC7320">
        <w:t xml:space="preserve">Thus, the AR Models described above have shown a degree of ability to simulate a multi-site flow but there is area for improvements here. </w:t>
      </w:r>
      <w:r w:rsidR="00CF7F8B">
        <w:t xml:space="preserve">(Refer annex B for further details). </w:t>
      </w:r>
      <w:proofErr w:type="gramStart"/>
      <w:r w:rsidR="00380074">
        <w:t>Note:-</w:t>
      </w:r>
      <w:proofErr w:type="gramEnd"/>
      <w:r w:rsidR="00380074">
        <w:t xml:space="preserve"> We strongly suggest to fit a PC-AR followed by a PC-SETAR model to check for model improvements as a trade-off for the more complex model </w:t>
      </w:r>
      <w:proofErr w:type="spellStart"/>
      <w:r w:rsidR="00380074">
        <w:t>i.e</w:t>
      </w:r>
      <w:proofErr w:type="spellEnd"/>
      <w:r w:rsidR="00380074">
        <w:t xml:space="preserve"> are the results justified. </w:t>
      </w:r>
    </w:p>
    <w:p w14:paraId="502DF2DC" w14:textId="2A8CCBD5" w:rsidR="003A4E3F" w:rsidRPr="001E5E3D" w:rsidRDefault="003A4E3F">
      <w:pPr>
        <w:rPr>
          <w:sz w:val="28"/>
          <w:szCs w:val="28"/>
          <w:u w:val="single"/>
        </w:rPr>
      </w:pPr>
      <w:r w:rsidRPr="001E5E3D">
        <w:rPr>
          <w:sz w:val="28"/>
          <w:szCs w:val="28"/>
          <w:u w:val="single"/>
        </w:rPr>
        <w:t xml:space="preserve">SETAR Simulations </w:t>
      </w:r>
    </w:p>
    <w:p w14:paraId="1EF8BFA9" w14:textId="13FE37AD" w:rsidR="004B3832" w:rsidRDefault="00046408">
      <w:r w:rsidRPr="00046408">
        <w:rPr>
          <w:u w:val="single"/>
        </w:rPr>
        <w:t xml:space="preserve">Better than </w:t>
      </w:r>
      <w:commentRangeStart w:id="5"/>
      <w:r w:rsidRPr="00046408">
        <w:rPr>
          <w:u w:val="single"/>
        </w:rPr>
        <w:t>AR</w:t>
      </w:r>
      <w:commentRangeEnd w:id="5"/>
      <w:r>
        <w:rPr>
          <w:rStyle w:val="CommentReference"/>
        </w:rPr>
        <w:commentReference w:id="5"/>
      </w:r>
      <w:r>
        <w:t xml:space="preserve"> - </w:t>
      </w:r>
      <w:r w:rsidR="00B0576F">
        <w:t xml:space="preserve">As was seen in the section above, the </w:t>
      </w:r>
      <w:r>
        <w:t>PC-</w:t>
      </w:r>
      <w:r w:rsidR="00B0576F">
        <w:t>AR Model was not able to capture the variability in the PC</w:t>
      </w:r>
      <w:r w:rsidR="00AC7320">
        <w:t xml:space="preserve"> space</w:t>
      </w:r>
      <w:r w:rsidR="00B0576F">
        <w:t xml:space="preserve"> and correspondingly wasn’t able to project that variability onto the multisite flow. To bridge this shortcoming a SETAR model was fit to </w:t>
      </w:r>
      <w:r w:rsidR="004B3832">
        <w:t xml:space="preserve">the </w:t>
      </w:r>
      <w:r w:rsidR="00B0576F">
        <w:t>PC</w:t>
      </w:r>
      <w:r w:rsidR="004B3832">
        <w:t>s</w:t>
      </w:r>
      <w:r w:rsidR="00B0576F">
        <w:t xml:space="preserve">. </w:t>
      </w:r>
      <w:r w:rsidR="00AC7320">
        <w:t>The SETAR models are known to model and simulate much more complex dynamical processes</w:t>
      </w:r>
      <w:r w:rsidR="006959C6">
        <w:t xml:space="preserve"> including limit cycles</w:t>
      </w:r>
      <w:r w:rsidR="00AC7320">
        <w:t xml:space="preserve">. </w:t>
      </w:r>
      <w:r>
        <w:t xml:space="preserve">As was seen in the section above, based on the cumulative variance criteria, the first three PCs were selected. </w:t>
      </w:r>
    </w:p>
    <w:p w14:paraId="28E746D3" w14:textId="6C246C69" w:rsidR="00046408" w:rsidRDefault="00046408">
      <w:r w:rsidRPr="00046408">
        <w:rPr>
          <w:u w:val="single"/>
        </w:rPr>
        <w:t>How were the models fit</w:t>
      </w:r>
      <w:r>
        <w:t xml:space="preserve"> – A separate SETAR model was fit for each PC</w:t>
      </w:r>
      <w:r w:rsidR="00CE0EEE">
        <w:t xml:space="preserve"> with </w:t>
      </w:r>
      <w:commentRangeStart w:id="6"/>
      <w:r w:rsidR="00CE0EEE">
        <w:t>AIC</w:t>
      </w:r>
      <w:commentRangeEnd w:id="6"/>
      <w:r w:rsidR="00CE0EEE">
        <w:rPr>
          <w:rStyle w:val="CommentReference"/>
        </w:rPr>
        <w:commentReference w:id="6"/>
      </w:r>
      <w:r w:rsidR="00CE0EEE">
        <w:t xml:space="preserve"> being the fitting criteria given an embedding dimension, like an AR model. Given </w:t>
      </w:r>
      <w:proofErr w:type="gramStart"/>
      <w:r w:rsidR="00CE0EEE">
        <w:t>a</w:t>
      </w:r>
      <w:proofErr w:type="gramEnd"/>
      <w:r w:rsidR="00CE0EEE">
        <w:t xml:space="preserve"> embedding dimension, based on the AIC the upper and lower auto-regressive order dynamics, threshold lag and threshold value are computed. We have assumed that the dynamics was can captured best with a two regime process instead</w:t>
      </w:r>
      <w:r w:rsidR="006444EF">
        <w:t xml:space="preserve"> of three or four with length of our time </w:t>
      </w:r>
      <w:proofErr w:type="gramStart"/>
      <w:r w:rsidR="006444EF">
        <w:t>series( 81</w:t>
      </w:r>
      <w:proofErr w:type="gramEnd"/>
      <w:r w:rsidR="006444EF">
        <w:t xml:space="preserve"> years) being the chief consideration behind this assumption.</w:t>
      </w:r>
      <w:r w:rsidR="00CE0EEE">
        <w:t xml:space="preserve"> The fit between embedding dimensions was </w:t>
      </w:r>
      <w:proofErr w:type="spellStart"/>
      <w:r w:rsidR="00CE0EEE">
        <w:t>to</w:t>
      </w:r>
      <w:proofErr w:type="spellEnd"/>
      <w:r w:rsidR="00CE0EEE">
        <w:t xml:space="preserve"> difficult to compare and the model was evaluated on a best visual fit based on the simulations. The R package </w:t>
      </w:r>
      <w:commentRangeStart w:id="7"/>
      <w:proofErr w:type="spellStart"/>
      <w:r w:rsidR="00CE0EEE">
        <w:t>tsDyn</w:t>
      </w:r>
      <w:commentRangeEnd w:id="7"/>
      <w:proofErr w:type="spellEnd"/>
      <w:r w:rsidR="00CE0EEE">
        <w:rPr>
          <w:rStyle w:val="CommentReference"/>
        </w:rPr>
        <w:commentReference w:id="7"/>
      </w:r>
      <w:r w:rsidR="00CE0EEE">
        <w:t xml:space="preserve"> was utilized to fitting SETAR models. </w:t>
      </w:r>
    </w:p>
    <w:p w14:paraId="20EDF817" w14:textId="77777777" w:rsidR="00021E7B" w:rsidRDefault="00021E7B"/>
    <w:tbl>
      <w:tblPr>
        <w:tblStyle w:val="TableGrid"/>
        <w:tblW w:w="0" w:type="auto"/>
        <w:tblLook w:val="04A0" w:firstRow="1" w:lastRow="0" w:firstColumn="1" w:lastColumn="0" w:noHBand="0" w:noVBand="1"/>
      </w:tblPr>
      <w:tblGrid>
        <w:gridCol w:w="805"/>
        <w:gridCol w:w="1620"/>
        <w:gridCol w:w="1890"/>
        <w:gridCol w:w="1890"/>
        <w:gridCol w:w="1620"/>
        <w:gridCol w:w="1525"/>
      </w:tblGrid>
      <w:tr w:rsidR="00C01F15" w14:paraId="105F25B7" w14:textId="28AF2B1C" w:rsidTr="00C01F15">
        <w:tc>
          <w:tcPr>
            <w:tcW w:w="805" w:type="dxa"/>
          </w:tcPr>
          <w:p w14:paraId="275238A6" w14:textId="0DFC935F" w:rsidR="00C01F15" w:rsidRPr="00937538" w:rsidRDefault="00C01F15">
            <w:pPr>
              <w:rPr>
                <w:rFonts w:cstheme="minorHAnsi"/>
              </w:rPr>
            </w:pPr>
            <w:r w:rsidRPr="00937538">
              <w:rPr>
                <w:rFonts w:cstheme="minorHAnsi"/>
              </w:rPr>
              <w:t>Name</w:t>
            </w:r>
          </w:p>
        </w:tc>
        <w:tc>
          <w:tcPr>
            <w:tcW w:w="1620" w:type="dxa"/>
          </w:tcPr>
          <w:p w14:paraId="1854009D" w14:textId="1370EF81" w:rsidR="00C01F15" w:rsidRPr="00937538" w:rsidRDefault="00C01F15">
            <w:pPr>
              <w:rPr>
                <w:rFonts w:cstheme="minorHAnsi"/>
              </w:rPr>
            </w:pPr>
            <w:r w:rsidRPr="00937538">
              <w:rPr>
                <w:rFonts w:cstheme="minorHAnsi"/>
              </w:rPr>
              <w:t>Embedding Dimension</w:t>
            </w:r>
          </w:p>
        </w:tc>
        <w:tc>
          <w:tcPr>
            <w:tcW w:w="1890" w:type="dxa"/>
          </w:tcPr>
          <w:p w14:paraId="69A84560" w14:textId="07000E12" w:rsidR="00C01F15" w:rsidRPr="00937538" w:rsidRDefault="00C01F15">
            <w:pPr>
              <w:rPr>
                <w:rFonts w:cstheme="minorHAnsi"/>
              </w:rPr>
            </w:pPr>
            <w:r w:rsidRPr="00937538">
              <w:rPr>
                <w:rFonts w:cstheme="minorHAnsi"/>
              </w:rPr>
              <w:t>Lower Regime Dynamics</w:t>
            </w:r>
          </w:p>
        </w:tc>
        <w:tc>
          <w:tcPr>
            <w:tcW w:w="1890" w:type="dxa"/>
          </w:tcPr>
          <w:p w14:paraId="777A5282" w14:textId="36EFFF7F" w:rsidR="00C01F15" w:rsidRPr="00937538" w:rsidRDefault="00C01F15">
            <w:pPr>
              <w:rPr>
                <w:rFonts w:cstheme="minorHAnsi"/>
              </w:rPr>
            </w:pPr>
            <w:r w:rsidRPr="00937538">
              <w:rPr>
                <w:rFonts w:cstheme="minorHAnsi"/>
              </w:rPr>
              <w:t>Upper Regime Dynamics</w:t>
            </w:r>
          </w:p>
        </w:tc>
        <w:tc>
          <w:tcPr>
            <w:tcW w:w="1620" w:type="dxa"/>
          </w:tcPr>
          <w:p w14:paraId="2ABC2EE1" w14:textId="28A8D6B2" w:rsidR="00C01F15" w:rsidRPr="00937538" w:rsidRDefault="00C01F15">
            <w:pPr>
              <w:rPr>
                <w:rFonts w:cstheme="minorHAnsi"/>
              </w:rPr>
            </w:pPr>
            <w:r w:rsidRPr="00937538">
              <w:rPr>
                <w:rFonts w:cstheme="minorHAnsi"/>
              </w:rPr>
              <w:t>Threshold Lag</w:t>
            </w:r>
          </w:p>
        </w:tc>
        <w:tc>
          <w:tcPr>
            <w:tcW w:w="1525" w:type="dxa"/>
          </w:tcPr>
          <w:p w14:paraId="63158CAA" w14:textId="0E1997EB" w:rsidR="00C01F15" w:rsidRPr="00937538" w:rsidRDefault="00C01F15">
            <w:pPr>
              <w:rPr>
                <w:rFonts w:cstheme="minorHAnsi"/>
              </w:rPr>
            </w:pPr>
            <w:r w:rsidRPr="00937538">
              <w:rPr>
                <w:rFonts w:cstheme="minorHAnsi"/>
              </w:rPr>
              <w:t>Threshold Value</w:t>
            </w:r>
          </w:p>
        </w:tc>
      </w:tr>
      <w:tr w:rsidR="00C01F15" w14:paraId="7E89FFE1" w14:textId="4CC23823" w:rsidTr="00C01F15">
        <w:tc>
          <w:tcPr>
            <w:tcW w:w="805" w:type="dxa"/>
          </w:tcPr>
          <w:p w14:paraId="2D3684E5" w14:textId="19B6FF89" w:rsidR="00C01F15" w:rsidRPr="00937538" w:rsidRDefault="00C01F15">
            <w:pPr>
              <w:rPr>
                <w:rFonts w:cstheme="minorHAnsi"/>
              </w:rPr>
            </w:pPr>
            <w:r w:rsidRPr="00937538">
              <w:rPr>
                <w:rFonts w:cstheme="minorHAnsi"/>
              </w:rPr>
              <w:t>PC1</w:t>
            </w:r>
          </w:p>
        </w:tc>
        <w:tc>
          <w:tcPr>
            <w:tcW w:w="1620" w:type="dxa"/>
          </w:tcPr>
          <w:p w14:paraId="1F950D80" w14:textId="52E74282" w:rsidR="00C01F15" w:rsidRPr="00937538" w:rsidRDefault="002E7C53">
            <w:pPr>
              <w:rPr>
                <w:rFonts w:cstheme="minorHAnsi"/>
              </w:rPr>
            </w:pPr>
            <w:r w:rsidRPr="00937538">
              <w:rPr>
                <w:rFonts w:cstheme="minorHAnsi"/>
              </w:rPr>
              <w:t>4</w:t>
            </w:r>
          </w:p>
        </w:tc>
        <w:tc>
          <w:tcPr>
            <w:tcW w:w="1890" w:type="dxa"/>
          </w:tcPr>
          <w:p w14:paraId="3433A5D7" w14:textId="0CEF52D1" w:rsidR="00C01F15" w:rsidRPr="00937538" w:rsidRDefault="002E7C53">
            <w:pPr>
              <w:rPr>
                <w:rFonts w:cstheme="minorHAnsi"/>
              </w:rPr>
            </w:pPr>
            <w:r w:rsidRPr="00937538">
              <w:rPr>
                <w:rFonts w:cstheme="minorHAnsi"/>
              </w:rPr>
              <w:t>4</w:t>
            </w:r>
          </w:p>
        </w:tc>
        <w:tc>
          <w:tcPr>
            <w:tcW w:w="1890" w:type="dxa"/>
          </w:tcPr>
          <w:p w14:paraId="3C6E07BE" w14:textId="5448CA61" w:rsidR="00C01F15" w:rsidRPr="00937538" w:rsidRDefault="002E7C53">
            <w:pPr>
              <w:rPr>
                <w:rFonts w:cstheme="minorHAnsi"/>
              </w:rPr>
            </w:pPr>
            <w:r w:rsidRPr="00937538">
              <w:rPr>
                <w:rFonts w:cstheme="minorHAnsi"/>
              </w:rPr>
              <w:t>4</w:t>
            </w:r>
          </w:p>
        </w:tc>
        <w:tc>
          <w:tcPr>
            <w:tcW w:w="1620" w:type="dxa"/>
          </w:tcPr>
          <w:p w14:paraId="642BC74F" w14:textId="7D6E5761" w:rsidR="00C01F15" w:rsidRPr="00937538" w:rsidRDefault="0048045B">
            <w:pPr>
              <w:rPr>
                <w:rFonts w:cstheme="minorHAnsi"/>
              </w:rPr>
            </w:pPr>
            <w:r>
              <w:rPr>
                <w:rFonts w:cstheme="minorHAnsi"/>
              </w:rPr>
              <w:t>3</w:t>
            </w:r>
          </w:p>
        </w:tc>
        <w:tc>
          <w:tcPr>
            <w:tcW w:w="1525" w:type="dxa"/>
          </w:tcPr>
          <w:p w14:paraId="51F08383" w14:textId="2D87AEF5" w:rsidR="00C01F15" w:rsidRPr="00937538" w:rsidRDefault="002E7C53">
            <w:pPr>
              <w:rPr>
                <w:rFonts w:cstheme="minorHAnsi"/>
              </w:rPr>
            </w:pPr>
            <w:r w:rsidRPr="00937538">
              <w:rPr>
                <w:rFonts w:cstheme="minorHAnsi"/>
              </w:rPr>
              <w:t>0.4894</w:t>
            </w:r>
          </w:p>
        </w:tc>
      </w:tr>
      <w:tr w:rsidR="00C01F15" w14:paraId="2D1241AF" w14:textId="12F2088B" w:rsidTr="00C01F15">
        <w:tc>
          <w:tcPr>
            <w:tcW w:w="805" w:type="dxa"/>
          </w:tcPr>
          <w:p w14:paraId="0F2A674F" w14:textId="0C6DEB4B" w:rsidR="00C01F15" w:rsidRPr="00937538" w:rsidRDefault="00C01F15">
            <w:pPr>
              <w:rPr>
                <w:rFonts w:cstheme="minorHAnsi"/>
              </w:rPr>
            </w:pPr>
            <w:r w:rsidRPr="00937538">
              <w:rPr>
                <w:rFonts w:cstheme="minorHAnsi"/>
              </w:rPr>
              <w:t>PC2</w:t>
            </w:r>
          </w:p>
        </w:tc>
        <w:tc>
          <w:tcPr>
            <w:tcW w:w="1620" w:type="dxa"/>
          </w:tcPr>
          <w:p w14:paraId="68C9EBE2" w14:textId="3384E84B" w:rsidR="00C01F15" w:rsidRPr="00937538" w:rsidRDefault="00937538">
            <w:pPr>
              <w:rPr>
                <w:rFonts w:cstheme="minorHAnsi"/>
              </w:rPr>
            </w:pPr>
            <w:r w:rsidRPr="00937538">
              <w:rPr>
                <w:rFonts w:cstheme="minorHAnsi"/>
              </w:rPr>
              <w:t>2</w:t>
            </w:r>
          </w:p>
        </w:tc>
        <w:tc>
          <w:tcPr>
            <w:tcW w:w="1890" w:type="dxa"/>
          </w:tcPr>
          <w:p w14:paraId="256B210F" w14:textId="0CD04E61" w:rsidR="00C01F15" w:rsidRPr="00937538" w:rsidRDefault="00937538">
            <w:pPr>
              <w:rPr>
                <w:rFonts w:cstheme="minorHAnsi"/>
              </w:rPr>
            </w:pPr>
            <w:r w:rsidRPr="00937538">
              <w:rPr>
                <w:rFonts w:cstheme="minorHAnsi"/>
              </w:rPr>
              <w:t>1</w:t>
            </w:r>
          </w:p>
        </w:tc>
        <w:tc>
          <w:tcPr>
            <w:tcW w:w="1890" w:type="dxa"/>
          </w:tcPr>
          <w:p w14:paraId="19DFFBC4" w14:textId="2E5B9D81" w:rsidR="00C01F15" w:rsidRPr="00937538" w:rsidRDefault="00937538">
            <w:pPr>
              <w:rPr>
                <w:rFonts w:cstheme="minorHAnsi"/>
              </w:rPr>
            </w:pPr>
            <w:r w:rsidRPr="00937538">
              <w:rPr>
                <w:rFonts w:cstheme="minorHAnsi"/>
              </w:rPr>
              <w:t>2</w:t>
            </w:r>
          </w:p>
        </w:tc>
        <w:tc>
          <w:tcPr>
            <w:tcW w:w="1620" w:type="dxa"/>
          </w:tcPr>
          <w:p w14:paraId="40CA5456" w14:textId="626396A0" w:rsidR="00C01F15" w:rsidRPr="00937538" w:rsidRDefault="0048045B">
            <w:pPr>
              <w:rPr>
                <w:rFonts w:cstheme="minorHAnsi"/>
              </w:rPr>
            </w:pPr>
            <w:r>
              <w:rPr>
                <w:rFonts w:cstheme="minorHAnsi"/>
              </w:rPr>
              <w:t>1</w:t>
            </w:r>
          </w:p>
        </w:tc>
        <w:tc>
          <w:tcPr>
            <w:tcW w:w="1525" w:type="dxa"/>
          </w:tcPr>
          <w:p w14:paraId="6A3E68B4" w14:textId="5BEAA190" w:rsidR="00C01F15" w:rsidRPr="00937538" w:rsidRDefault="00937538" w:rsidP="00937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eastAsia="Times New Roman" w:cstheme="minorHAnsi"/>
                <w:color w:val="000000"/>
              </w:rPr>
            </w:pPr>
            <w:r w:rsidRPr="00937538">
              <w:rPr>
                <w:rFonts w:eastAsia="Times New Roman" w:cstheme="minorHAnsi"/>
                <w:color w:val="000000"/>
              </w:rPr>
              <w:t>-0.432</w:t>
            </w:r>
          </w:p>
        </w:tc>
      </w:tr>
      <w:tr w:rsidR="00C01F15" w14:paraId="4C0B7488" w14:textId="7743A1AC" w:rsidTr="00C01F15">
        <w:tc>
          <w:tcPr>
            <w:tcW w:w="805" w:type="dxa"/>
          </w:tcPr>
          <w:p w14:paraId="306E9344" w14:textId="00ECE43F" w:rsidR="00C01F15" w:rsidRPr="00937538" w:rsidRDefault="00C01F15">
            <w:pPr>
              <w:rPr>
                <w:rFonts w:cstheme="minorHAnsi"/>
              </w:rPr>
            </w:pPr>
            <w:r w:rsidRPr="00937538">
              <w:rPr>
                <w:rFonts w:cstheme="minorHAnsi"/>
              </w:rPr>
              <w:t>PC3</w:t>
            </w:r>
          </w:p>
        </w:tc>
        <w:tc>
          <w:tcPr>
            <w:tcW w:w="1620" w:type="dxa"/>
          </w:tcPr>
          <w:p w14:paraId="1D14767D" w14:textId="68C12C14" w:rsidR="00C01F15" w:rsidRPr="00937538" w:rsidRDefault="00937538">
            <w:pPr>
              <w:rPr>
                <w:rFonts w:cstheme="minorHAnsi"/>
              </w:rPr>
            </w:pPr>
            <w:r w:rsidRPr="00937538">
              <w:rPr>
                <w:rFonts w:cstheme="minorHAnsi"/>
              </w:rPr>
              <w:t>1</w:t>
            </w:r>
          </w:p>
        </w:tc>
        <w:tc>
          <w:tcPr>
            <w:tcW w:w="1890" w:type="dxa"/>
          </w:tcPr>
          <w:p w14:paraId="35126AA2" w14:textId="55C4F0C1" w:rsidR="00C01F15" w:rsidRPr="00937538" w:rsidRDefault="00937538">
            <w:pPr>
              <w:rPr>
                <w:rFonts w:cstheme="minorHAnsi"/>
              </w:rPr>
            </w:pPr>
            <w:r w:rsidRPr="00937538">
              <w:rPr>
                <w:rFonts w:cstheme="minorHAnsi"/>
              </w:rPr>
              <w:t>1</w:t>
            </w:r>
          </w:p>
        </w:tc>
        <w:tc>
          <w:tcPr>
            <w:tcW w:w="1890" w:type="dxa"/>
          </w:tcPr>
          <w:p w14:paraId="1E919ECC" w14:textId="7F54EEC1" w:rsidR="00C01F15" w:rsidRPr="00937538" w:rsidRDefault="00937538">
            <w:pPr>
              <w:rPr>
                <w:rFonts w:cstheme="minorHAnsi"/>
              </w:rPr>
            </w:pPr>
            <w:r w:rsidRPr="00937538">
              <w:rPr>
                <w:rFonts w:cstheme="minorHAnsi"/>
              </w:rPr>
              <w:t>1</w:t>
            </w:r>
          </w:p>
        </w:tc>
        <w:tc>
          <w:tcPr>
            <w:tcW w:w="1620" w:type="dxa"/>
          </w:tcPr>
          <w:p w14:paraId="5385B8B2" w14:textId="210F48AB" w:rsidR="00C01F15" w:rsidRPr="00937538" w:rsidRDefault="0048045B">
            <w:pPr>
              <w:rPr>
                <w:rFonts w:cstheme="minorHAnsi"/>
              </w:rPr>
            </w:pPr>
            <w:r>
              <w:rPr>
                <w:rFonts w:cstheme="minorHAnsi"/>
              </w:rPr>
              <w:t>1</w:t>
            </w:r>
          </w:p>
        </w:tc>
        <w:tc>
          <w:tcPr>
            <w:tcW w:w="1525" w:type="dxa"/>
          </w:tcPr>
          <w:p w14:paraId="789E2CFB" w14:textId="13ABD6A5" w:rsidR="00C01F15" w:rsidRPr="00937538" w:rsidRDefault="00937538" w:rsidP="00937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0" w:lineRule="atLeast"/>
              <w:rPr>
                <w:rFonts w:eastAsia="Times New Roman" w:cstheme="minorHAnsi"/>
                <w:color w:val="000000"/>
              </w:rPr>
            </w:pPr>
            <w:r w:rsidRPr="00937538">
              <w:rPr>
                <w:rFonts w:eastAsia="Times New Roman" w:cstheme="minorHAnsi"/>
                <w:color w:val="000000"/>
              </w:rPr>
              <w:t>-0.245</w:t>
            </w:r>
          </w:p>
        </w:tc>
      </w:tr>
    </w:tbl>
    <w:p w14:paraId="4C95EF7F" w14:textId="0B8509E8" w:rsidR="001E5E3D" w:rsidRPr="00235509" w:rsidRDefault="00235509" w:rsidP="00235509">
      <w:pPr>
        <w:jc w:val="center"/>
        <w:rPr>
          <w:sz w:val="20"/>
          <w:szCs w:val="20"/>
        </w:rPr>
      </w:pPr>
      <w:r w:rsidRPr="00235509">
        <w:rPr>
          <w:sz w:val="20"/>
          <w:szCs w:val="20"/>
        </w:rPr>
        <w:t xml:space="preserve">Table </w:t>
      </w:r>
      <w:proofErr w:type="gramStart"/>
      <w:r w:rsidRPr="00235509">
        <w:rPr>
          <w:sz w:val="20"/>
          <w:szCs w:val="20"/>
        </w:rPr>
        <w:t>XX:-</w:t>
      </w:r>
      <w:proofErr w:type="gramEnd"/>
      <w:r w:rsidRPr="00235509">
        <w:rPr>
          <w:sz w:val="20"/>
          <w:szCs w:val="20"/>
        </w:rPr>
        <w:t xml:space="preserve"> SETAR Model Specifications for each PC.</w:t>
      </w:r>
    </w:p>
    <w:p w14:paraId="0B9DB522" w14:textId="633263F6" w:rsidR="004B3832" w:rsidRDefault="00C60619" w:rsidP="00E110A9">
      <w:pPr>
        <w:ind w:firstLine="720"/>
      </w:pPr>
      <w:r w:rsidRPr="00C60619">
        <w:rPr>
          <w:u w:val="single"/>
        </w:rPr>
        <w:t>Model Simulations and Transformations</w:t>
      </w:r>
      <w:r>
        <w:t xml:space="preserve"> – Table XX shows the SETAR model parameters for the three different PCs. </w:t>
      </w:r>
      <w:r w:rsidR="004B3832">
        <w:t xml:space="preserve">Each SETAR Model was simulated </w:t>
      </w:r>
      <w:r w:rsidR="0048045B">
        <w:t>1000 times, for a run-length of 81 which corresponds to</w:t>
      </w:r>
      <w:r>
        <w:t xml:space="preserve"> the time series length</w:t>
      </w:r>
      <w:r w:rsidR="0048045B">
        <w:t>. This provides a clear benchmark to check for reproducibility</w:t>
      </w:r>
      <w:r>
        <w:t xml:space="preserve"> and comparisons</w:t>
      </w:r>
      <w:r w:rsidR="0048045B">
        <w:t xml:space="preserve"> of key features of </w:t>
      </w:r>
      <w:r>
        <w:t>the</w:t>
      </w:r>
      <w:r w:rsidR="0048045B">
        <w:t xml:space="preserve"> PC</w:t>
      </w:r>
      <w:r>
        <w:t>s</w:t>
      </w:r>
      <w:r w:rsidR="0048045B">
        <w:t>.</w:t>
      </w:r>
      <w:r w:rsidR="00B7057A">
        <w:t xml:space="preserve"> </w:t>
      </w:r>
      <w:r>
        <w:t>The key parameters of interest</w:t>
      </w:r>
      <w:r w:rsidR="002E5BD7">
        <w:t xml:space="preserve"> to assess the model skill</w:t>
      </w:r>
      <w:r>
        <w:t xml:space="preserve"> are the probability density function, cumulative density function, the spectral signature and the spatial variation across the river basin. </w:t>
      </w:r>
      <w:r w:rsidR="0048045B">
        <w:t xml:space="preserve"> </w:t>
      </w:r>
    </w:p>
    <w:p w14:paraId="37334281" w14:textId="5C09EDFB" w:rsidR="00B7057A" w:rsidRDefault="0048045B" w:rsidP="0048045B">
      <w:pPr>
        <w:ind w:firstLine="720"/>
        <w:jc w:val="center"/>
      </w:pPr>
      <w:commentRangeStart w:id="8"/>
      <w:r>
        <w:rPr>
          <w:noProof/>
        </w:rPr>
        <w:lastRenderedPageBreak/>
        <w:drawing>
          <wp:inline distT="0" distB="0" distL="0" distR="0" wp14:anchorId="3D6B9298" wp14:editId="62E3A7E9">
            <wp:extent cx="2338405" cy="175261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8405" cy="1752613"/>
                    </a:xfrm>
                    <a:prstGeom prst="rect">
                      <a:avLst/>
                    </a:prstGeom>
                  </pic:spPr>
                </pic:pic>
              </a:graphicData>
            </a:graphic>
          </wp:inline>
        </w:drawing>
      </w:r>
      <w:commentRangeEnd w:id="8"/>
      <w:r w:rsidR="00C20DB4">
        <w:rPr>
          <w:rStyle w:val="CommentReference"/>
        </w:rPr>
        <w:commentReference w:id="8"/>
      </w:r>
      <w:r w:rsidR="00B7057A">
        <w:rPr>
          <w:noProof/>
        </w:rPr>
        <w:drawing>
          <wp:inline distT="0" distB="0" distL="0" distR="0" wp14:anchorId="03FBA681" wp14:editId="682F610D">
            <wp:extent cx="2624157" cy="175261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4157" cy="1752613"/>
                    </a:xfrm>
                    <a:prstGeom prst="rect">
                      <a:avLst/>
                    </a:prstGeom>
                  </pic:spPr>
                </pic:pic>
              </a:graphicData>
            </a:graphic>
          </wp:inline>
        </w:drawing>
      </w:r>
    </w:p>
    <w:p w14:paraId="7CD5D9E1" w14:textId="146576A3" w:rsidR="00B7057A" w:rsidRDefault="0048045B" w:rsidP="0048045B">
      <w:pPr>
        <w:ind w:firstLine="720"/>
        <w:jc w:val="center"/>
      </w:pPr>
      <w:r>
        <w:rPr>
          <w:noProof/>
        </w:rPr>
        <w:drawing>
          <wp:inline distT="0" distB="0" distL="0" distR="0" wp14:anchorId="3EB4F6C6" wp14:editId="3F6BEA84">
            <wp:extent cx="2338405" cy="175261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8405" cy="1752613"/>
                    </a:xfrm>
                    <a:prstGeom prst="rect">
                      <a:avLst/>
                    </a:prstGeom>
                  </pic:spPr>
                </pic:pic>
              </a:graphicData>
            </a:graphic>
          </wp:inline>
        </w:drawing>
      </w:r>
      <w:r w:rsidR="00B7057A">
        <w:rPr>
          <w:noProof/>
        </w:rPr>
        <w:drawing>
          <wp:inline distT="0" distB="0" distL="0" distR="0" wp14:anchorId="13850BE2" wp14:editId="72258735">
            <wp:extent cx="2624157" cy="175261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4157" cy="1752613"/>
                    </a:xfrm>
                    <a:prstGeom prst="rect">
                      <a:avLst/>
                    </a:prstGeom>
                  </pic:spPr>
                </pic:pic>
              </a:graphicData>
            </a:graphic>
          </wp:inline>
        </w:drawing>
      </w:r>
    </w:p>
    <w:p w14:paraId="217B725A" w14:textId="2ED41CEE" w:rsidR="0048045B" w:rsidRDefault="0048045B" w:rsidP="0048045B">
      <w:pPr>
        <w:ind w:firstLine="720"/>
        <w:jc w:val="center"/>
      </w:pPr>
      <w:r>
        <w:rPr>
          <w:noProof/>
        </w:rPr>
        <w:drawing>
          <wp:inline distT="0" distB="0" distL="0" distR="0" wp14:anchorId="5D580DEC" wp14:editId="161B0C4D">
            <wp:extent cx="2338405" cy="175261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405" cy="1752613"/>
                    </a:xfrm>
                    <a:prstGeom prst="rect">
                      <a:avLst/>
                    </a:prstGeom>
                  </pic:spPr>
                </pic:pic>
              </a:graphicData>
            </a:graphic>
          </wp:inline>
        </w:drawing>
      </w:r>
      <w:r w:rsidR="00B7057A">
        <w:rPr>
          <w:noProof/>
        </w:rPr>
        <w:drawing>
          <wp:inline distT="0" distB="0" distL="0" distR="0" wp14:anchorId="1A66A284" wp14:editId="6E756370">
            <wp:extent cx="2624157" cy="175261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157" cy="1752613"/>
                    </a:xfrm>
                    <a:prstGeom prst="rect">
                      <a:avLst/>
                    </a:prstGeom>
                  </pic:spPr>
                </pic:pic>
              </a:graphicData>
            </a:graphic>
          </wp:inline>
        </w:drawing>
      </w:r>
    </w:p>
    <w:p w14:paraId="530A02D6" w14:textId="4838F658" w:rsidR="0048045B" w:rsidRPr="0048045B" w:rsidRDefault="0048045B" w:rsidP="0048045B">
      <w:pPr>
        <w:ind w:firstLine="720"/>
        <w:jc w:val="center"/>
        <w:rPr>
          <w:i/>
          <w:iCs/>
          <w:sz w:val="18"/>
          <w:szCs w:val="18"/>
        </w:rPr>
      </w:pPr>
      <w:r w:rsidRPr="0048045B">
        <w:rPr>
          <w:i/>
          <w:iCs/>
          <w:sz w:val="18"/>
          <w:szCs w:val="18"/>
        </w:rPr>
        <w:t xml:space="preserve">Figure </w:t>
      </w:r>
      <w:proofErr w:type="gramStart"/>
      <w:r w:rsidRPr="0048045B">
        <w:rPr>
          <w:i/>
          <w:iCs/>
          <w:sz w:val="18"/>
          <w:szCs w:val="18"/>
        </w:rPr>
        <w:t>XX:-</w:t>
      </w:r>
      <w:proofErr w:type="gramEnd"/>
      <w:r w:rsidRPr="0048045B">
        <w:rPr>
          <w:i/>
          <w:iCs/>
          <w:sz w:val="18"/>
          <w:szCs w:val="18"/>
        </w:rPr>
        <w:t xml:space="preserve"> Probability Densities</w:t>
      </w:r>
      <w:r w:rsidR="00B7057A">
        <w:rPr>
          <w:i/>
          <w:iCs/>
          <w:sz w:val="18"/>
          <w:szCs w:val="18"/>
        </w:rPr>
        <w:t>(right) and Cumulative Densities(left)</w:t>
      </w:r>
      <w:r w:rsidRPr="0048045B">
        <w:rPr>
          <w:i/>
          <w:iCs/>
          <w:sz w:val="18"/>
          <w:szCs w:val="18"/>
        </w:rPr>
        <w:t xml:space="preserve"> for each of the PCs for the 1000 simulations. The black line is the density of the original PC. </w:t>
      </w:r>
      <w:r w:rsidR="003837ED">
        <w:rPr>
          <w:i/>
          <w:iCs/>
          <w:sz w:val="18"/>
          <w:szCs w:val="18"/>
        </w:rPr>
        <w:t>Density Estimation done by means of kernels</w:t>
      </w:r>
      <w:r w:rsidRPr="0048045B">
        <w:rPr>
          <w:i/>
          <w:iCs/>
          <w:sz w:val="18"/>
          <w:szCs w:val="18"/>
        </w:rPr>
        <w:t xml:space="preserve">. </w:t>
      </w:r>
    </w:p>
    <w:p w14:paraId="7C6C1B0F" w14:textId="77777777" w:rsidR="0048045B" w:rsidRDefault="0048045B" w:rsidP="0048045B">
      <w:pPr>
        <w:ind w:firstLine="720"/>
      </w:pPr>
    </w:p>
    <w:p w14:paraId="2FCF2A49" w14:textId="471F58B2" w:rsidR="0048045B" w:rsidRDefault="00BC3946" w:rsidP="00E110A9">
      <w:pPr>
        <w:ind w:firstLine="720"/>
      </w:pPr>
      <w:r w:rsidRPr="000C2E3C">
        <w:rPr>
          <w:u w:val="single"/>
        </w:rPr>
        <w:t>CDF, PDF</w:t>
      </w:r>
      <w:r w:rsidR="000C2E3C" w:rsidRPr="000C2E3C">
        <w:rPr>
          <w:u w:val="single"/>
        </w:rPr>
        <w:t xml:space="preserve"> and Moments</w:t>
      </w:r>
      <w:r w:rsidR="000C2E3C">
        <w:t xml:space="preserve"> </w:t>
      </w:r>
      <w:r>
        <w:t>–</w:t>
      </w:r>
      <w:r w:rsidR="000C2E3C">
        <w:t xml:space="preserve"> </w:t>
      </w:r>
      <w:r>
        <w:t xml:space="preserve">Figure XX shows the simulated CDF and PDF for the PCs and the Figure XX shows the moments for the PC along with the true values. </w:t>
      </w:r>
      <w:r w:rsidR="00235509">
        <w:t xml:space="preserve">SETAR simulations </w:t>
      </w:r>
      <w:r w:rsidR="00AC7320">
        <w:t>can</w:t>
      </w:r>
      <w:r w:rsidR="00235509">
        <w:t xml:space="preserve"> capture the internal dynamics of the PC and consequently the multi-site flow much better</w:t>
      </w:r>
      <w:r w:rsidR="00DF54C4">
        <w:t xml:space="preserve"> with an ability to generate minimum and maximum values outside the time series values</w:t>
      </w:r>
      <w:r w:rsidR="00044A98">
        <w:t>, which has a positive effect on planning in water management scenarios as unseen phenomena which is plausible under the model dynamics is accounted in the planning.</w:t>
      </w:r>
      <w:r w:rsidR="00DF54C4">
        <w:t xml:space="preserve">. </w:t>
      </w:r>
      <w:r w:rsidR="00E110A9">
        <w:t xml:space="preserve"> </w:t>
      </w:r>
      <w:r w:rsidR="00DF54C4">
        <w:t xml:space="preserve">The PDF simulations are gaussian, leading to some differences with the true values but comparisons with the CDF shows that the SETAR model </w:t>
      </w:r>
      <w:proofErr w:type="gramStart"/>
      <w:r w:rsidR="00DF54C4">
        <w:t>is able to</w:t>
      </w:r>
      <w:proofErr w:type="gramEnd"/>
      <w:r w:rsidR="00DF54C4">
        <w:t xml:space="preserve"> capture the distribution with the tails being captured accurately.</w:t>
      </w:r>
      <w:r w:rsidR="00AA2181">
        <w:t xml:space="preserve"> Checking the CDF, PDF and the moments for the true data along with the simulations lends confidence to the SETAR models and its ability to capture the dynamics over the river basin. </w:t>
      </w:r>
      <w:r w:rsidR="00DF54C4">
        <w:t xml:space="preserve">  </w:t>
      </w:r>
    </w:p>
    <w:p w14:paraId="21A4FE6B" w14:textId="45027F8C" w:rsidR="0048045B" w:rsidRDefault="0048045B" w:rsidP="00D02128">
      <w:pPr>
        <w:ind w:firstLine="720"/>
        <w:jc w:val="center"/>
      </w:pPr>
      <w:r>
        <w:rPr>
          <w:noProof/>
        </w:rPr>
        <w:lastRenderedPageBreak/>
        <w:drawing>
          <wp:inline distT="0" distB="0" distL="0" distR="0" wp14:anchorId="055A3FA1" wp14:editId="2EF84BAA">
            <wp:extent cx="2338405" cy="175261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8405" cy="1752613"/>
                    </a:xfrm>
                    <a:prstGeom prst="rect">
                      <a:avLst/>
                    </a:prstGeom>
                  </pic:spPr>
                </pic:pic>
              </a:graphicData>
            </a:graphic>
          </wp:inline>
        </w:drawing>
      </w:r>
      <w:r>
        <w:rPr>
          <w:noProof/>
        </w:rPr>
        <w:drawing>
          <wp:inline distT="0" distB="0" distL="0" distR="0" wp14:anchorId="0BE3ECEA" wp14:editId="2604A384">
            <wp:extent cx="2338405" cy="175261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405" cy="1752613"/>
                    </a:xfrm>
                    <a:prstGeom prst="rect">
                      <a:avLst/>
                    </a:prstGeom>
                  </pic:spPr>
                </pic:pic>
              </a:graphicData>
            </a:graphic>
          </wp:inline>
        </w:drawing>
      </w:r>
    </w:p>
    <w:p w14:paraId="48D2E038" w14:textId="316EDBB3" w:rsidR="0048045B" w:rsidRDefault="0048045B" w:rsidP="0048045B">
      <w:pPr>
        <w:ind w:firstLine="720"/>
        <w:jc w:val="center"/>
      </w:pPr>
      <w:r>
        <w:rPr>
          <w:noProof/>
        </w:rPr>
        <w:drawing>
          <wp:inline distT="0" distB="0" distL="0" distR="0" wp14:anchorId="3832375F" wp14:editId="4AA02CB0">
            <wp:extent cx="2338405" cy="175261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8405" cy="1752613"/>
                    </a:xfrm>
                    <a:prstGeom prst="rect">
                      <a:avLst/>
                    </a:prstGeom>
                  </pic:spPr>
                </pic:pic>
              </a:graphicData>
            </a:graphic>
          </wp:inline>
        </w:drawing>
      </w:r>
    </w:p>
    <w:p w14:paraId="04EF35E0" w14:textId="21A131EE" w:rsidR="0048045B" w:rsidRPr="0048045B" w:rsidRDefault="0048045B" w:rsidP="0048045B">
      <w:pPr>
        <w:ind w:firstLine="720"/>
        <w:jc w:val="center"/>
        <w:rPr>
          <w:i/>
          <w:iCs/>
          <w:sz w:val="18"/>
          <w:szCs w:val="18"/>
        </w:rPr>
      </w:pPr>
      <w:r w:rsidRPr="0048045B">
        <w:rPr>
          <w:i/>
          <w:iCs/>
          <w:sz w:val="18"/>
          <w:szCs w:val="18"/>
        </w:rPr>
        <w:t xml:space="preserve">Figure </w:t>
      </w:r>
      <w:proofErr w:type="gramStart"/>
      <w:r w:rsidRPr="0048045B">
        <w:rPr>
          <w:i/>
          <w:iCs/>
          <w:sz w:val="18"/>
          <w:szCs w:val="18"/>
        </w:rPr>
        <w:t>XX:-</w:t>
      </w:r>
      <w:proofErr w:type="gramEnd"/>
      <w:r w:rsidRPr="0048045B">
        <w:rPr>
          <w:i/>
          <w:iCs/>
          <w:sz w:val="18"/>
          <w:szCs w:val="18"/>
        </w:rPr>
        <w:t xml:space="preserve"> Simulation of the key characteristics of the PC – Mean, Standard Deviation, Minimum and Maximum values. The red line denotes the actual data values. </w:t>
      </w:r>
    </w:p>
    <w:p w14:paraId="16CBB8EC" w14:textId="77777777" w:rsidR="0048045B" w:rsidRDefault="0048045B" w:rsidP="00E110A9">
      <w:pPr>
        <w:ind w:firstLine="720"/>
      </w:pPr>
    </w:p>
    <w:p w14:paraId="22145346" w14:textId="3C9FA65E" w:rsidR="003F4984" w:rsidRDefault="00AA2181" w:rsidP="003F4984">
      <w:pPr>
        <w:ind w:firstLine="720"/>
      </w:pPr>
      <w:r w:rsidRPr="00AA2181">
        <w:rPr>
          <w:u w:val="single"/>
        </w:rPr>
        <w:t xml:space="preserve">Spectral Signature </w:t>
      </w:r>
      <w:r>
        <w:rPr>
          <w:u w:val="single"/>
        </w:rPr>
        <w:t>–</w:t>
      </w:r>
      <w:r>
        <w:t xml:space="preserve"> Hydroclimatic time series are characterized by low frequency and decadal oscillations which are difficult to capture by traditional statistical models. </w:t>
      </w:r>
      <w:r w:rsidR="00044A98">
        <w:t xml:space="preserve">This makes accurately capturing the spectral signature over lower frequencies crucial to </w:t>
      </w:r>
      <w:r w:rsidR="003F4984">
        <w:t>understanding and characterization of risks faced across the region. Using the wavelet analysis, the global wavelet spectrums of the PC and the simulated time series are computed, giving a characterization time-frequency domain. Figure XX shows SETAR model can simulate and thus capture the spectral signature of the individual three PCs. For the 1</w:t>
      </w:r>
      <w:r w:rsidR="003F4984" w:rsidRPr="00D02128">
        <w:rPr>
          <w:vertAlign w:val="superscript"/>
        </w:rPr>
        <w:t>st</w:t>
      </w:r>
      <w:r w:rsidR="003F4984">
        <w:t xml:space="preserve"> PC the 5-7-year cycle is simulated prominently. The SETAR model for the 2</w:t>
      </w:r>
      <w:r w:rsidR="003F4984" w:rsidRPr="00D02128">
        <w:rPr>
          <w:vertAlign w:val="superscript"/>
        </w:rPr>
        <w:t>nd</w:t>
      </w:r>
      <w:r w:rsidR="003F4984">
        <w:t xml:space="preserve"> PC can incorporate the long-term secular trend structure in the data as is seen for periods greater than 75 years. This combined with the replications of the PC moments – mean, standard deviation, minimum and maximum values show that SETAR </w:t>
      </w:r>
      <w:proofErr w:type="gramStart"/>
      <w:r w:rsidR="003F4984">
        <w:t>is able to</w:t>
      </w:r>
      <w:proofErr w:type="gramEnd"/>
      <w:r w:rsidR="003F4984">
        <w:t xml:space="preserve"> incorporate the decadal and larger variations in streamflow variability.</w:t>
      </w:r>
    </w:p>
    <w:p w14:paraId="587AA869" w14:textId="33C7EBB8" w:rsidR="001E5E3D" w:rsidRDefault="001E5E3D" w:rsidP="00D02128">
      <w:pPr>
        <w:ind w:firstLine="720"/>
      </w:pPr>
    </w:p>
    <w:p w14:paraId="7E02A490" w14:textId="596C71B9" w:rsidR="00A878D0" w:rsidRDefault="00B7057A" w:rsidP="00F863B3">
      <w:pPr>
        <w:ind w:firstLine="720"/>
        <w:jc w:val="center"/>
      </w:pPr>
      <w:r>
        <w:rPr>
          <w:noProof/>
        </w:rPr>
        <w:lastRenderedPageBreak/>
        <w:drawing>
          <wp:inline distT="0" distB="0" distL="0" distR="0" wp14:anchorId="41A687C0" wp14:editId="2CB2A904">
            <wp:extent cx="2624157" cy="175261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4157" cy="1752613"/>
                    </a:xfrm>
                    <a:prstGeom prst="rect">
                      <a:avLst/>
                    </a:prstGeom>
                  </pic:spPr>
                </pic:pic>
              </a:graphicData>
            </a:graphic>
          </wp:inline>
        </w:drawing>
      </w:r>
      <w:r>
        <w:rPr>
          <w:noProof/>
        </w:rPr>
        <w:drawing>
          <wp:inline distT="0" distB="0" distL="0" distR="0" wp14:anchorId="12AB284C" wp14:editId="4B35A527">
            <wp:extent cx="2624157" cy="175261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4157" cy="1752613"/>
                    </a:xfrm>
                    <a:prstGeom prst="rect">
                      <a:avLst/>
                    </a:prstGeom>
                  </pic:spPr>
                </pic:pic>
              </a:graphicData>
            </a:graphic>
          </wp:inline>
        </w:drawing>
      </w:r>
      <w:r>
        <w:rPr>
          <w:noProof/>
        </w:rPr>
        <w:drawing>
          <wp:inline distT="0" distB="0" distL="0" distR="0" wp14:anchorId="3053A6B7" wp14:editId="142F9286">
            <wp:extent cx="2624157" cy="175261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157" cy="1752613"/>
                    </a:xfrm>
                    <a:prstGeom prst="rect">
                      <a:avLst/>
                    </a:prstGeom>
                  </pic:spPr>
                </pic:pic>
              </a:graphicData>
            </a:graphic>
          </wp:inline>
        </w:drawing>
      </w:r>
    </w:p>
    <w:p w14:paraId="64783261" w14:textId="2F69AC57" w:rsidR="00F863B3" w:rsidRPr="0048045B" w:rsidRDefault="00F863B3" w:rsidP="00F863B3">
      <w:pPr>
        <w:ind w:firstLine="720"/>
        <w:jc w:val="center"/>
        <w:rPr>
          <w:i/>
          <w:iCs/>
          <w:sz w:val="20"/>
          <w:szCs w:val="20"/>
        </w:rPr>
      </w:pPr>
      <w:r w:rsidRPr="0048045B">
        <w:rPr>
          <w:i/>
          <w:iCs/>
          <w:sz w:val="20"/>
          <w:szCs w:val="20"/>
        </w:rPr>
        <w:t xml:space="preserve">Figure </w:t>
      </w:r>
      <w:proofErr w:type="gramStart"/>
      <w:r w:rsidRPr="0048045B">
        <w:rPr>
          <w:i/>
          <w:iCs/>
          <w:sz w:val="20"/>
          <w:szCs w:val="20"/>
        </w:rPr>
        <w:t>XX:-</w:t>
      </w:r>
      <w:proofErr w:type="gramEnd"/>
      <w:r w:rsidRPr="0048045B">
        <w:rPr>
          <w:i/>
          <w:iCs/>
          <w:sz w:val="20"/>
          <w:szCs w:val="20"/>
        </w:rPr>
        <w:t xml:space="preserve"> Simulated Global Wavelet Spectrum for the 1</w:t>
      </w:r>
      <w:r w:rsidRPr="0048045B">
        <w:rPr>
          <w:i/>
          <w:iCs/>
          <w:sz w:val="20"/>
          <w:szCs w:val="20"/>
          <w:vertAlign w:val="superscript"/>
        </w:rPr>
        <w:t>st</w:t>
      </w:r>
      <w:r w:rsidRPr="0048045B">
        <w:rPr>
          <w:i/>
          <w:iCs/>
          <w:sz w:val="20"/>
          <w:szCs w:val="20"/>
        </w:rPr>
        <w:t xml:space="preserve"> three PCs. The red line with dots is the actual data, the black thick line is the mean of the 1000 simulations and the thin black lines are the 95</w:t>
      </w:r>
      <w:r w:rsidRPr="0048045B">
        <w:rPr>
          <w:i/>
          <w:iCs/>
          <w:sz w:val="20"/>
          <w:szCs w:val="20"/>
          <w:vertAlign w:val="superscript"/>
        </w:rPr>
        <w:t>th</w:t>
      </w:r>
      <w:r w:rsidRPr="0048045B">
        <w:rPr>
          <w:i/>
          <w:iCs/>
          <w:sz w:val="20"/>
          <w:szCs w:val="20"/>
        </w:rPr>
        <w:t xml:space="preserve"> and 5</w:t>
      </w:r>
      <w:r w:rsidRPr="0048045B">
        <w:rPr>
          <w:i/>
          <w:iCs/>
          <w:sz w:val="20"/>
          <w:szCs w:val="20"/>
          <w:vertAlign w:val="superscript"/>
        </w:rPr>
        <w:t>th</w:t>
      </w:r>
      <w:r w:rsidRPr="0048045B">
        <w:rPr>
          <w:i/>
          <w:iCs/>
          <w:sz w:val="20"/>
          <w:szCs w:val="20"/>
        </w:rPr>
        <w:t xml:space="preserve"> percentiles of the simulations at each period</w:t>
      </w:r>
      <w:r w:rsidR="00B7057A">
        <w:rPr>
          <w:i/>
          <w:iCs/>
          <w:sz w:val="20"/>
          <w:szCs w:val="20"/>
        </w:rPr>
        <w:t xml:space="preserve">. </w:t>
      </w:r>
    </w:p>
    <w:p w14:paraId="2D936F81" w14:textId="0D5AEB77" w:rsidR="00F863B3" w:rsidRDefault="003F4984" w:rsidP="00D02128">
      <w:pPr>
        <w:ind w:firstLine="720"/>
      </w:pPr>
      <w:r w:rsidRPr="003F4984">
        <w:rPr>
          <w:u w:val="single"/>
        </w:rPr>
        <w:t>Transformation</w:t>
      </w:r>
      <w:r>
        <w:t xml:space="preserve"> – Another crucial step in assessing the </w:t>
      </w:r>
      <w:r w:rsidR="002E5BD7">
        <w:t xml:space="preserve">method skill is transformation of the simulations from low dimensional PC space to the higher dimension original space comprising of the 30 sites. Using the 1000 simulations for the 3 PC’s the simulations were retransformed using equation ___ to get 1000 simulations at each of the 30 sites, providing a measure to check the simulation skill at each site in the river basin. </w:t>
      </w:r>
      <w:r w:rsidR="00D02128">
        <w:t xml:space="preserve"> Refer Annex </w:t>
      </w:r>
      <w:r w:rsidR="00046408">
        <w:t>C</w:t>
      </w:r>
      <w:r w:rsidR="00D02128">
        <w:t xml:space="preserve"> for the transformed data simulations for each site</w:t>
      </w:r>
      <w:r w:rsidR="002E5BD7">
        <w:t xml:space="preserve"> for the moments and the CDFs</w:t>
      </w:r>
      <w:r w:rsidR="00D02128">
        <w:t xml:space="preserve">. </w:t>
      </w:r>
      <w:r w:rsidR="00046408">
        <w:t>The sites 4,8,9 and 14 which have the greatest deviation from their true CDF have the lowest eigenvectors for the 1</w:t>
      </w:r>
      <w:r w:rsidR="00046408" w:rsidRPr="00046408">
        <w:rPr>
          <w:vertAlign w:val="superscript"/>
        </w:rPr>
        <w:t>st</w:t>
      </w:r>
      <w:r w:rsidR="00046408">
        <w:t xml:space="preserve"> PC which contributes the largest variance. </w:t>
      </w:r>
      <w:r w:rsidR="00D02128">
        <w:t xml:space="preserve"> </w:t>
      </w:r>
    </w:p>
    <w:p w14:paraId="7407EA67" w14:textId="6C691731" w:rsidR="002E5BD7" w:rsidRDefault="002E5BD7" w:rsidP="00D02128">
      <w:pPr>
        <w:ind w:firstLine="720"/>
      </w:pPr>
      <w:r w:rsidRPr="007D0316">
        <w:rPr>
          <w:u w:val="single"/>
        </w:rPr>
        <w:t>Conclusion</w:t>
      </w:r>
      <w:r>
        <w:t xml:space="preserve"> – Thus reducing the dimensional to a higher dimension system, thereby focusing on the main signals and modelling and simulating them has shown promise to model higher order systems with greater accuracy. </w:t>
      </w:r>
      <w:r w:rsidR="007D0316">
        <w:t xml:space="preserve">This method could be easily extended to other regions or river basin throughout the world given </w:t>
      </w:r>
      <w:r w:rsidR="00205E29">
        <w:t>enough</w:t>
      </w:r>
      <w:r w:rsidR="007D0316">
        <w:t xml:space="preserve"> data availability</w:t>
      </w:r>
      <w:r w:rsidR="00753188">
        <w:t xml:space="preserve">. </w:t>
      </w:r>
    </w:p>
    <w:p w14:paraId="26CE9C38" w14:textId="4DC60D3A" w:rsidR="00937538" w:rsidRPr="00937538" w:rsidRDefault="00FE61B9" w:rsidP="00937538">
      <w:pPr>
        <w:rPr>
          <w:sz w:val="28"/>
          <w:szCs w:val="28"/>
          <w:u w:val="single"/>
        </w:rPr>
      </w:pPr>
      <w:r>
        <w:rPr>
          <w:sz w:val="28"/>
          <w:szCs w:val="28"/>
          <w:u w:val="single"/>
        </w:rPr>
        <w:t>Streamflow extremes predictability</w:t>
      </w:r>
    </w:p>
    <w:p w14:paraId="5C22C16F" w14:textId="6B4C12EE" w:rsidR="00DA110B" w:rsidRDefault="00771B98" w:rsidP="00E110A9">
      <w:pPr>
        <w:ind w:firstLine="720"/>
      </w:pPr>
      <w:r w:rsidRPr="00771B98">
        <w:rPr>
          <w:u w:val="single"/>
        </w:rPr>
        <w:t>Question of Predictability</w:t>
      </w:r>
      <w:r>
        <w:t xml:space="preserve"> - </w:t>
      </w:r>
      <w:r w:rsidR="002137F2">
        <w:t xml:space="preserve">Since the SETAR models have shown an ability to capture the dynamics in the system and simulate the system, the next obvious question arises is: - Can the SETAR model </w:t>
      </w:r>
      <w:r w:rsidR="004B2367">
        <w:t xml:space="preserve">or any other model </w:t>
      </w:r>
      <w:r w:rsidR="002137F2">
        <w:t xml:space="preserve">predict the streamflow extremes </w:t>
      </w:r>
      <w:proofErr w:type="gramStart"/>
      <w:r w:rsidR="002137F2">
        <w:t xml:space="preserve">in the near </w:t>
      </w:r>
      <w:r w:rsidR="00AC7320">
        <w:t>future</w:t>
      </w:r>
      <w:proofErr w:type="gramEnd"/>
      <w:r w:rsidR="00AC7320">
        <w:t>?</w:t>
      </w:r>
      <w:r w:rsidR="002137F2">
        <w:t xml:space="preserve"> </w:t>
      </w:r>
      <w:r>
        <w:t xml:space="preserve">The previous section uses the inherent dynamics of the field by means of the principal components to model the system. </w:t>
      </w:r>
    </w:p>
    <w:p w14:paraId="6902C7FD" w14:textId="18500289" w:rsidR="00ED5881" w:rsidRDefault="00ED5881" w:rsidP="00ED5881">
      <w:pPr>
        <w:ind w:firstLine="720"/>
        <w:jc w:val="center"/>
      </w:pPr>
      <w:r>
        <w:rPr>
          <w:noProof/>
        </w:rPr>
        <w:lastRenderedPageBreak/>
        <w:drawing>
          <wp:inline distT="0" distB="0" distL="0" distR="0" wp14:anchorId="0E7C98C9" wp14:editId="4FC5F6D3">
            <wp:extent cx="2785745" cy="208789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5733" cy="2102871"/>
                    </a:xfrm>
                    <a:prstGeom prst="rect">
                      <a:avLst/>
                    </a:prstGeom>
                  </pic:spPr>
                </pic:pic>
              </a:graphicData>
            </a:graphic>
          </wp:inline>
        </w:drawing>
      </w:r>
    </w:p>
    <w:p w14:paraId="507E0B46" w14:textId="409C5BAA" w:rsidR="00ED5881" w:rsidRDefault="00ED5881" w:rsidP="00ED5881">
      <w:pPr>
        <w:ind w:firstLine="720"/>
        <w:jc w:val="center"/>
      </w:pPr>
      <w:r>
        <w:t xml:space="preserve">Figure </w:t>
      </w:r>
      <w:proofErr w:type="gramStart"/>
      <w:r>
        <w:t>XX:-</w:t>
      </w:r>
      <w:proofErr w:type="gramEnd"/>
      <w:r>
        <w:t xml:space="preserve"> Predictions based on the SETAR model applied to the 1</w:t>
      </w:r>
      <w:r w:rsidRPr="00ED5881">
        <w:rPr>
          <w:vertAlign w:val="superscript"/>
        </w:rPr>
        <w:t>st</w:t>
      </w:r>
      <w:r>
        <w:t xml:space="preserve"> PC. </w:t>
      </w:r>
    </w:p>
    <w:p w14:paraId="49756718" w14:textId="0FC6D214" w:rsidR="00ED5881" w:rsidRDefault="00795362" w:rsidP="00ED5881">
      <w:pPr>
        <w:ind w:firstLine="720"/>
      </w:pPr>
      <w:r w:rsidRPr="00795362">
        <w:rPr>
          <w:u w:val="single"/>
        </w:rPr>
        <w:t>SETAR Baseline</w:t>
      </w:r>
      <w:r>
        <w:t xml:space="preserve"> – As a baseline model to compete against</w:t>
      </w:r>
      <w:r w:rsidR="00E548D6">
        <w:t xml:space="preserve"> the models using climate indices</w:t>
      </w:r>
      <w:r>
        <w:t xml:space="preserve">, predictions were made on the SETAR model using 77 years (1937-2013) as training data and 4 years (2014-2017) as testing data to validate the predictions. </w:t>
      </w:r>
      <w:r w:rsidR="00ED5881">
        <w:t>The figure XX shows that the SETAR model applied to the 1</w:t>
      </w:r>
      <w:r w:rsidR="00ED5881" w:rsidRPr="00ED5881">
        <w:rPr>
          <w:vertAlign w:val="superscript"/>
        </w:rPr>
        <w:t>st</w:t>
      </w:r>
      <w:r w:rsidR="00ED5881">
        <w:t xml:space="preserve"> PC, which explains about 40% of the total variance, ha</w:t>
      </w:r>
      <w:r>
        <w:t>ving</w:t>
      </w:r>
      <w:r w:rsidR="00ED5881">
        <w:t xml:space="preserve"> decent skill. We now transform this PC to the original streamflow field of 30 sites and make predictions for 4 years using the SETAR </w:t>
      </w:r>
      <w:proofErr w:type="gramStart"/>
      <w:r w:rsidR="00ED5881">
        <w:t>model</w:t>
      </w:r>
      <w:r>
        <w:t>(</w:t>
      </w:r>
      <w:proofErr w:type="gramEnd"/>
      <w:r>
        <w:t>Results not shown)</w:t>
      </w:r>
      <w:r w:rsidR="00ED5881">
        <w:t xml:space="preserve">. </w:t>
      </w:r>
      <w:r w:rsidR="00F01ABA">
        <w:t>Unlike the NAO based regression model</w:t>
      </w:r>
      <w:r w:rsidR="00053045">
        <w:t xml:space="preserve"> </w:t>
      </w:r>
      <w:r w:rsidR="00F01ABA">
        <w:t xml:space="preserve">elaborated below, the SETAR model exhibits skill over a smaller </w:t>
      </w:r>
      <w:r w:rsidR="00053045">
        <w:t>prediction horizon</w:t>
      </w:r>
      <w:r w:rsidR="00F01ABA">
        <w:t xml:space="preserve">. Extending to </w:t>
      </w:r>
      <w:r w:rsidR="008C04F3">
        <w:t>larger</w:t>
      </w:r>
      <w:r w:rsidR="00F01ABA">
        <w:t xml:space="preserve"> time horizons leads to significant loss of prediction skill. </w:t>
      </w:r>
    </w:p>
    <w:p w14:paraId="17CF1EE5" w14:textId="3114DBCB" w:rsidR="003A4E3F" w:rsidRPr="00235509" w:rsidRDefault="003A4E3F">
      <w:pPr>
        <w:rPr>
          <w:sz w:val="28"/>
          <w:szCs w:val="28"/>
          <w:u w:val="single"/>
        </w:rPr>
      </w:pPr>
      <w:r w:rsidRPr="00235509">
        <w:rPr>
          <w:sz w:val="28"/>
          <w:szCs w:val="28"/>
          <w:u w:val="single"/>
        </w:rPr>
        <w:t>Regression of Climate Indices</w:t>
      </w:r>
    </w:p>
    <w:p w14:paraId="0424C2BC" w14:textId="74DE364E" w:rsidR="006C3D4B" w:rsidRDefault="00120BDB" w:rsidP="00120BDB">
      <w:pPr>
        <w:ind w:firstLine="720"/>
      </w:pPr>
      <w:r w:rsidRPr="00120BDB">
        <w:rPr>
          <w:u w:val="single"/>
        </w:rPr>
        <w:t>Climate Indices Intro</w:t>
      </w:r>
      <w:r>
        <w:t xml:space="preserve"> - The dominant modes of climate variability are known to affect distant regional climate over varying temporal </w:t>
      </w:r>
      <w:commentRangeStart w:id="9"/>
      <w:r>
        <w:t>scales</w:t>
      </w:r>
      <w:commentRangeEnd w:id="9"/>
      <w:r>
        <w:rPr>
          <w:rStyle w:val="CommentReference"/>
        </w:rPr>
        <w:commentReference w:id="9"/>
      </w:r>
      <w:r>
        <w:t xml:space="preserve">. These major modes are characterized as climate indices with the chief among them being the El Nino Southern Oscillation (ENSO), North Atlantic Oscillation (NAO), Pacific Decadal Oscillation (PDO) and the Atlantic Multidecadal oscillation (AMO). </w:t>
      </w:r>
      <w:r w:rsidR="00235509">
        <w:t xml:space="preserve">The Ohio River Basin </w:t>
      </w:r>
      <w:r w:rsidR="00F421FF">
        <w:t xml:space="preserve">located near in </w:t>
      </w:r>
      <w:r w:rsidR="00235509">
        <w:t xml:space="preserve">North American Continent </w:t>
      </w:r>
      <w:r w:rsidR="00F421FF">
        <w:t xml:space="preserve">near the Great Lakes, </w:t>
      </w:r>
      <w:r w:rsidR="00955B85">
        <w:t xml:space="preserve">is affected by </w:t>
      </w:r>
      <w:r w:rsidR="00235509">
        <w:t xml:space="preserve">dominant global modes of variability </w:t>
      </w:r>
      <w:r w:rsidR="00955B85">
        <w:t>by means of teleconnections</w:t>
      </w:r>
      <w:r w:rsidR="00235509">
        <w:t xml:space="preserve">. The </w:t>
      </w:r>
      <w:r w:rsidR="00C036F9">
        <w:t xml:space="preserve">climate </w:t>
      </w:r>
      <w:r w:rsidR="00235509">
        <w:t xml:space="preserve">indices used were ENSO, PDO and NAO along with their interactions. The mean Feb-May climatology was used to predict the streamflow maxima, using </w:t>
      </w:r>
      <w:r w:rsidR="00C036F9">
        <w:t>ordinary</w:t>
      </w:r>
      <w:r w:rsidR="00235509">
        <w:t xml:space="preserve"> linear regression.</w:t>
      </w:r>
      <w:r>
        <w:t xml:space="preserve"> These indices are used to make predictions in the PC-space and are then transformed to predictions in the river basin domain space. A simple linear regression was utilized to fit the model, with comparisons between different models evaluated by AIC criteria.</w:t>
      </w:r>
    </w:p>
    <w:p w14:paraId="076ADF14" w14:textId="50297787" w:rsidR="00235509" w:rsidRDefault="004B2367" w:rsidP="006C3D4B">
      <w:pPr>
        <w:ind w:firstLine="720"/>
        <w:jc w:val="center"/>
      </w:pPr>
      <w:r>
        <w:rPr>
          <w:noProof/>
        </w:rPr>
        <w:drawing>
          <wp:inline distT="0" distB="0" distL="0" distR="0" wp14:anchorId="3D8DF12A" wp14:editId="0969B6BF">
            <wp:extent cx="2338405" cy="1752613"/>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8405" cy="1752613"/>
                    </a:xfrm>
                    <a:prstGeom prst="rect">
                      <a:avLst/>
                    </a:prstGeom>
                  </pic:spPr>
                </pic:pic>
              </a:graphicData>
            </a:graphic>
          </wp:inline>
        </w:drawing>
      </w:r>
      <w:r>
        <w:rPr>
          <w:noProof/>
        </w:rPr>
        <w:drawing>
          <wp:inline distT="0" distB="0" distL="0" distR="0" wp14:anchorId="0287A870" wp14:editId="29558058">
            <wp:extent cx="2338405" cy="175261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8405" cy="1752613"/>
                    </a:xfrm>
                    <a:prstGeom prst="rect">
                      <a:avLst/>
                    </a:prstGeom>
                  </pic:spPr>
                </pic:pic>
              </a:graphicData>
            </a:graphic>
          </wp:inline>
        </w:drawing>
      </w:r>
    </w:p>
    <w:p w14:paraId="61DB526E" w14:textId="5E4A0C46" w:rsidR="004B2367" w:rsidRDefault="004B2367" w:rsidP="006C3D4B">
      <w:pPr>
        <w:ind w:firstLine="720"/>
        <w:jc w:val="center"/>
      </w:pPr>
      <w:r>
        <w:rPr>
          <w:noProof/>
        </w:rPr>
        <w:lastRenderedPageBreak/>
        <w:drawing>
          <wp:inline distT="0" distB="0" distL="0" distR="0" wp14:anchorId="59C5BA3C" wp14:editId="118683B7">
            <wp:extent cx="2338405" cy="175261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8405" cy="1752613"/>
                    </a:xfrm>
                    <a:prstGeom prst="rect">
                      <a:avLst/>
                    </a:prstGeom>
                  </pic:spPr>
                </pic:pic>
              </a:graphicData>
            </a:graphic>
          </wp:inline>
        </w:drawing>
      </w:r>
    </w:p>
    <w:p w14:paraId="37D71704" w14:textId="616AAA6B" w:rsidR="00235509" w:rsidRDefault="00235509" w:rsidP="00235509">
      <w:pPr>
        <w:ind w:firstLine="720"/>
        <w:jc w:val="center"/>
      </w:pPr>
      <w:r>
        <w:t xml:space="preserve">Figure </w:t>
      </w:r>
      <w:proofErr w:type="gramStart"/>
      <w:r>
        <w:t>XX:-</w:t>
      </w:r>
      <w:proofErr w:type="gramEnd"/>
      <w:r>
        <w:t xml:space="preserve"> Predictions for a </w:t>
      </w:r>
      <w:r w:rsidR="004B2367">
        <w:t>9</w:t>
      </w:r>
      <w:r>
        <w:t xml:space="preserve"> year </w:t>
      </w:r>
      <w:r w:rsidR="006C3D4B">
        <w:t xml:space="preserve">horizon using all the above specified climate indices. </w:t>
      </w:r>
    </w:p>
    <w:p w14:paraId="5418C60D" w14:textId="45D362A9" w:rsidR="004B2367" w:rsidRDefault="005D6DD4" w:rsidP="004B2367">
      <w:pPr>
        <w:ind w:firstLine="720"/>
      </w:pPr>
      <w:r w:rsidRPr="005D6DD4">
        <w:rPr>
          <w:u w:val="single"/>
        </w:rPr>
        <w:t>All Indices</w:t>
      </w:r>
      <w:r>
        <w:t xml:space="preserve"> - </w:t>
      </w:r>
      <w:r w:rsidR="00C036F9">
        <w:t xml:space="preserve">The results from the predictions of an OLS regression to each PC are presented in Fig XX. OLS </w:t>
      </w:r>
      <w:r w:rsidR="004B2367">
        <w:t xml:space="preserve">using the climate indices </w:t>
      </w:r>
      <w:r w:rsidR="00FA119E">
        <w:t>can</w:t>
      </w:r>
      <w:r w:rsidR="004B2367">
        <w:t xml:space="preserve"> provide predictability in streamflow extremes</w:t>
      </w:r>
      <w:r w:rsidR="00C036F9">
        <w:t xml:space="preserve"> but only</w:t>
      </w:r>
      <w:r w:rsidR="004B2367">
        <w:t xml:space="preserve"> for PC-1 rather than </w:t>
      </w:r>
      <w:r>
        <w:t xml:space="preserve">PC-2 and </w:t>
      </w:r>
      <w:r w:rsidR="004B2367">
        <w:t xml:space="preserve">PC-3 with the model prediction skill falling </w:t>
      </w:r>
      <w:r w:rsidR="00C036F9">
        <w:t xml:space="preserve">going </w:t>
      </w:r>
      <w:r w:rsidR="004B2367">
        <w:t>from the 1</w:t>
      </w:r>
      <w:r w:rsidR="004B2367" w:rsidRPr="004B2367">
        <w:rPr>
          <w:vertAlign w:val="superscript"/>
        </w:rPr>
        <w:t>st</w:t>
      </w:r>
      <w:r w:rsidR="004B2367">
        <w:t xml:space="preserve"> to the 3</w:t>
      </w:r>
      <w:r w:rsidR="004B2367" w:rsidRPr="004B2367">
        <w:rPr>
          <w:vertAlign w:val="superscript"/>
        </w:rPr>
        <w:t>rd</w:t>
      </w:r>
      <w:r w:rsidR="004B2367">
        <w:t xml:space="preserve"> PC. </w:t>
      </w:r>
      <w:r w:rsidR="00C036F9">
        <w:t>Since PC-1 w</w:t>
      </w:r>
      <w:r w:rsidR="008B37F1">
        <w:t>as the only variable showing predictability</w:t>
      </w:r>
      <w:r>
        <w:t xml:space="preserve"> and explaining the most variance</w:t>
      </w:r>
      <w:r w:rsidR="008B37F1">
        <w:t>, the other two were dropped f</w:t>
      </w:r>
      <w:r>
        <w:t>rom</w:t>
      </w:r>
      <w:r w:rsidR="008B37F1">
        <w:t xml:space="preserve"> further analysis in this section. </w:t>
      </w:r>
    </w:p>
    <w:p w14:paraId="2B5F1C2C" w14:textId="3890B1D5" w:rsidR="006C3D4B" w:rsidRDefault="00C8153C" w:rsidP="00C8153C">
      <w:pPr>
        <w:jc w:val="both"/>
      </w:pPr>
      <w:r>
        <w:rPr>
          <w:noProof/>
        </w:rPr>
        <w:lastRenderedPageBreak/>
        <w:drawing>
          <wp:inline distT="0" distB="0" distL="0" distR="0" wp14:anchorId="2202FA6E" wp14:editId="4A0972A9">
            <wp:extent cx="5943600" cy="5216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16525"/>
                    </a:xfrm>
                    <a:prstGeom prst="rect">
                      <a:avLst/>
                    </a:prstGeom>
                  </pic:spPr>
                </pic:pic>
              </a:graphicData>
            </a:graphic>
          </wp:inline>
        </w:drawing>
      </w:r>
    </w:p>
    <w:p w14:paraId="40E25E65" w14:textId="61C3EC79" w:rsidR="006C3D4B" w:rsidRPr="00C8153C" w:rsidRDefault="006C3D4B" w:rsidP="00235509">
      <w:pPr>
        <w:ind w:firstLine="720"/>
        <w:jc w:val="center"/>
        <w:rPr>
          <w:i/>
          <w:iCs/>
          <w:sz w:val="20"/>
          <w:szCs w:val="20"/>
        </w:rPr>
      </w:pPr>
      <w:r w:rsidRPr="00C8153C">
        <w:rPr>
          <w:i/>
          <w:iCs/>
          <w:sz w:val="20"/>
          <w:szCs w:val="20"/>
        </w:rPr>
        <w:t xml:space="preserve">Table </w:t>
      </w:r>
      <w:proofErr w:type="gramStart"/>
      <w:r w:rsidRPr="00C8153C">
        <w:rPr>
          <w:i/>
          <w:iCs/>
          <w:sz w:val="20"/>
          <w:szCs w:val="20"/>
        </w:rPr>
        <w:t>XX:-</w:t>
      </w:r>
      <w:proofErr w:type="gramEnd"/>
      <w:r w:rsidRPr="00C8153C">
        <w:rPr>
          <w:i/>
          <w:iCs/>
          <w:sz w:val="20"/>
          <w:szCs w:val="20"/>
        </w:rPr>
        <w:t xml:space="preserve"> Model summary for the linear regression</w:t>
      </w:r>
      <w:r w:rsidR="00F61425" w:rsidRPr="00C8153C">
        <w:rPr>
          <w:i/>
          <w:iCs/>
          <w:sz w:val="20"/>
          <w:szCs w:val="20"/>
        </w:rPr>
        <w:t>s for all three models</w:t>
      </w:r>
      <w:r w:rsidR="00C8153C" w:rsidRPr="00C8153C">
        <w:rPr>
          <w:i/>
          <w:iCs/>
          <w:sz w:val="20"/>
          <w:szCs w:val="20"/>
        </w:rPr>
        <w:t xml:space="preserve">. </w:t>
      </w:r>
      <w:proofErr w:type="gramStart"/>
      <w:r w:rsidR="00C8153C" w:rsidRPr="00C8153C">
        <w:rPr>
          <w:i/>
          <w:iCs/>
          <w:sz w:val="20"/>
          <w:szCs w:val="20"/>
        </w:rPr>
        <w:t>Note:-</w:t>
      </w:r>
      <w:proofErr w:type="gramEnd"/>
      <w:r w:rsidR="00C8153C" w:rsidRPr="00C8153C">
        <w:rPr>
          <w:i/>
          <w:iCs/>
          <w:sz w:val="20"/>
          <w:szCs w:val="20"/>
        </w:rPr>
        <w:t xml:space="preserve"> The variables with the two indices names are the interactions between the two. </w:t>
      </w:r>
    </w:p>
    <w:p w14:paraId="048442E8" w14:textId="330FC62B" w:rsidR="00203172" w:rsidRDefault="0055052C" w:rsidP="00203172">
      <w:pPr>
        <w:ind w:firstLine="720"/>
      </w:pPr>
      <w:r w:rsidRPr="0055052C">
        <w:rPr>
          <w:u w:val="single"/>
        </w:rPr>
        <w:t>Simpler Models</w:t>
      </w:r>
      <w:r>
        <w:t xml:space="preserve"> – Based on the significance and the standard errors associated with each of the variables in the OLS model described above, </w:t>
      </w:r>
      <w:proofErr w:type="gramStart"/>
      <w:r>
        <w:t>it is clear that certain</w:t>
      </w:r>
      <w:proofErr w:type="gramEnd"/>
      <w:r>
        <w:t xml:space="preserve"> indices and interactions do not contribute to predictability. </w:t>
      </w:r>
      <w:r w:rsidR="00FA119E">
        <w:t>R</w:t>
      </w:r>
      <w:r w:rsidR="006C3D4B">
        <w:t>educing the model complexity</w:t>
      </w:r>
      <w:r w:rsidR="00FA119E">
        <w:t>,</w:t>
      </w:r>
      <w:r w:rsidR="006C3D4B">
        <w:t xml:space="preserve"> the model was simplified by keeping only NAO and ENSO</w:t>
      </w:r>
      <w:r w:rsidR="00FA119E">
        <w:t>-</w:t>
      </w:r>
      <w:r w:rsidR="006C3D4B">
        <w:t>PDO</w:t>
      </w:r>
      <w:r w:rsidR="00FA119E">
        <w:t xml:space="preserve"> interaction term and </w:t>
      </w:r>
      <w:r w:rsidR="00203172">
        <w:t>another model</w:t>
      </w:r>
      <w:r w:rsidR="006C3D4B">
        <w:t xml:space="preserve"> was followed by keeping just NAO. </w:t>
      </w:r>
      <w:r w:rsidR="00E1025F">
        <w:t>Based on the AIC values, the model with NAO and ENSO</w:t>
      </w:r>
      <w:r w:rsidR="00FA119E">
        <w:t>-</w:t>
      </w:r>
      <w:r w:rsidR="00E1025F">
        <w:t xml:space="preserve">PDO interaction was the best fit. (386 </w:t>
      </w:r>
      <w:r w:rsidR="00C050DE">
        <w:t>-</w:t>
      </w:r>
      <w:r w:rsidR="00E1025F">
        <w:t xml:space="preserve"> 388 and 395).</w:t>
      </w:r>
      <w:r w:rsidR="00FA119E">
        <w:t xml:space="preserve"> The detailed results for each of the three cases is presented in Table XX. </w:t>
      </w:r>
      <w:r w:rsidR="00E1025F">
        <w:t xml:space="preserve"> </w:t>
      </w:r>
      <w:r w:rsidR="00203172">
        <w:t xml:space="preserve">Figure XX shows the predictions from the OLS models containing NAO and PDO-ENSO interaction; and just NAO as predictors. NAO and the interaction between PDO and ENSO provide a great predictability pathway, up to 9 </w:t>
      </w:r>
      <w:proofErr w:type="gramStart"/>
      <w:r w:rsidR="00203172">
        <w:t>years,  to</w:t>
      </w:r>
      <w:proofErr w:type="gramEnd"/>
      <w:r w:rsidR="00203172">
        <w:t xml:space="preserve"> predict extremes for the next few years. An obvious caveat to this is that we do not know the corresponding year’s Feb-May NAO index, but if the skill of the GCMs were to improve this would be valuable </w:t>
      </w:r>
      <w:commentRangeStart w:id="10"/>
      <w:r w:rsidR="00203172">
        <w:t>tool</w:t>
      </w:r>
      <w:commentRangeEnd w:id="10"/>
      <w:r w:rsidR="00652A71">
        <w:rPr>
          <w:rStyle w:val="CommentReference"/>
        </w:rPr>
        <w:commentReference w:id="10"/>
      </w:r>
      <w:r w:rsidR="00203172">
        <w:t xml:space="preserve">. </w:t>
      </w:r>
    </w:p>
    <w:p w14:paraId="17FC5C59" w14:textId="08EFE8DF" w:rsidR="006C3D4B" w:rsidRDefault="006C3D4B" w:rsidP="006C3D4B">
      <w:pPr>
        <w:ind w:firstLine="720"/>
      </w:pPr>
    </w:p>
    <w:p w14:paraId="09CB3C6B" w14:textId="65F19B19" w:rsidR="006C3D4B" w:rsidRDefault="00EA4106" w:rsidP="006C3D4B">
      <w:pPr>
        <w:jc w:val="center"/>
      </w:pPr>
      <w:r>
        <w:rPr>
          <w:noProof/>
        </w:rPr>
        <w:lastRenderedPageBreak/>
        <w:drawing>
          <wp:inline distT="0" distB="0" distL="0" distR="0" wp14:anchorId="26D79796" wp14:editId="51851123">
            <wp:extent cx="2914332" cy="2184265"/>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163" cy="2185637"/>
                    </a:xfrm>
                    <a:prstGeom prst="rect">
                      <a:avLst/>
                    </a:prstGeom>
                  </pic:spPr>
                </pic:pic>
              </a:graphicData>
            </a:graphic>
          </wp:inline>
        </w:drawing>
      </w:r>
      <w:r>
        <w:rPr>
          <w:noProof/>
        </w:rPr>
        <w:drawing>
          <wp:inline distT="0" distB="0" distL="0" distR="0" wp14:anchorId="00D80991" wp14:editId="029BEC71">
            <wp:extent cx="2840060" cy="2128599"/>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6707" cy="2133581"/>
                    </a:xfrm>
                    <a:prstGeom prst="rect">
                      <a:avLst/>
                    </a:prstGeom>
                  </pic:spPr>
                </pic:pic>
              </a:graphicData>
            </a:graphic>
          </wp:inline>
        </w:drawing>
      </w:r>
    </w:p>
    <w:p w14:paraId="24F3F464" w14:textId="02355F7D" w:rsidR="006C3D4B" w:rsidRPr="00FA119E" w:rsidRDefault="006C3D4B" w:rsidP="00235509">
      <w:pPr>
        <w:ind w:firstLine="720"/>
        <w:jc w:val="center"/>
        <w:rPr>
          <w:i/>
          <w:iCs/>
          <w:sz w:val="20"/>
          <w:szCs w:val="20"/>
        </w:rPr>
      </w:pPr>
      <w:r w:rsidRPr="00FA119E">
        <w:rPr>
          <w:i/>
          <w:iCs/>
          <w:sz w:val="20"/>
          <w:szCs w:val="20"/>
        </w:rPr>
        <w:t xml:space="preserve">Figure </w:t>
      </w:r>
      <w:proofErr w:type="gramStart"/>
      <w:r w:rsidRPr="00FA119E">
        <w:rPr>
          <w:i/>
          <w:iCs/>
          <w:sz w:val="20"/>
          <w:szCs w:val="20"/>
        </w:rPr>
        <w:t>XX:-</w:t>
      </w:r>
      <w:proofErr w:type="gramEnd"/>
      <w:r w:rsidRPr="00FA119E">
        <w:rPr>
          <w:i/>
          <w:iCs/>
          <w:sz w:val="20"/>
          <w:szCs w:val="20"/>
        </w:rPr>
        <w:t xml:space="preserve"> Predictions based on the linear model using the predictors only (a) ENSO*PDO and NAO (b) NAO</w:t>
      </w:r>
      <w:r w:rsidR="00E1025F" w:rsidRPr="00FA119E">
        <w:rPr>
          <w:i/>
          <w:iCs/>
          <w:sz w:val="20"/>
          <w:szCs w:val="20"/>
        </w:rPr>
        <w:t xml:space="preserve">. </w:t>
      </w:r>
    </w:p>
    <w:p w14:paraId="1A661280" w14:textId="33A3DB69" w:rsidR="00C10DE5" w:rsidRDefault="00C10DE5">
      <w:r>
        <w:tab/>
      </w:r>
      <w:r w:rsidR="00652A71" w:rsidRPr="00652A71">
        <w:rPr>
          <w:u w:val="single"/>
        </w:rPr>
        <w:t>Retransformation -</w:t>
      </w:r>
      <w:r w:rsidR="00652A71">
        <w:t xml:space="preserve"> </w:t>
      </w:r>
      <w:r w:rsidR="001D3929">
        <w:t>The model specified above was able to predict PC-1, explaining about 40% of the total field variance, for a near decadal period.</w:t>
      </w:r>
      <w:r>
        <w:t xml:space="preserve"> </w:t>
      </w:r>
      <w:r w:rsidR="001D3929">
        <w:t>C</w:t>
      </w:r>
      <w:r>
        <w:t>heck</w:t>
      </w:r>
      <w:r w:rsidR="001D3929">
        <w:t>ing</w:t>
      </w:r>
      <w:r>
        <w:t xml:space="preserve"> </w:t>
      </w:r>
      <w:r w:rsidR="001D3929">
        <w:t xml:space="preserve">the utility of this </w:t>
      </w:r>
      <w:r>
        <w:t>prediction in PC space,</w:t>
      </w:r>
      <w:r w:rsidR="001D3929">
        <w:t xml:space="preserve"> by its ability to predict extremes at the </w:t>
      </w:r>
      <w:r w:rsidR="00496E30">
        <w:t>site-specific</w:t>
      </w:r>
      <w:r w:rsidR="001D3929">
        <w:t xml:space="preserve"> stream gauges was the next step. </w:t>
      </w:r>
      <w:r>
        <w:t xml:space="preserve"> </w:t>
      </w:r>
      <w:r w:rsidR="001D3929">
        <w:t>This was accomplished by</w:t>
      </w:r>
      <w:r>
        <w:t xml:space="preserve"> fit</w:t>
      </w:r>
      <w:r w:rsidR="001D3929">
        <w:t>ting</w:t>
      </w:r>
      <w:r>
        <w:t xml:space="preserve"> the model which includes the covariates NAO and ENSO</w:t>
      </w:r>
      <w:r w:rsidR="001D3929">
        <w:t>-</w:t>
      </w:r>
      <w:r>
        <w:t xml:space="preserve">PDO </w:t>
      </w:r>
      <w:r w:rsidR="001D3929">
        <w:t xml:space="preserve">interaction </w:t>
      </w:r>
      <w:r>
        <w:t xml:space="preserve">and </w:t>
      </w:r>
      <w:r w:rsidR="001D3929">
        <w:t xml:space="preserve">computing the </w:t>
      </w:r>
      <w:r w:rsidR="00496E30">
        <w:t>9-year</w:t>
      </w:r>
      <w:r w:rsidR="001D3929">
        <w:t xml:space="preserve"> </w:t>
      </w:r>
      <w:r>
        <w:t>predictions</w:t>
      </w:r>
      <w:r w:rsidR="007F116C">
        <w:t xml:space="preserve"> </w:t>
      </w:r>
      <w:r>
        <w:t>(This would be the predictions seen in Figure XX (a)</w:t>
      </w:r>
      <w:r w:rsidR="007F116C">
        <w:t>)</w:t>
      </w:r>
      <w:r>
        <w:t xml:space="preserve">. </w:t>
      </w:r>
      <w:r w:rsidR="007F116C">
        <w:t xml:space="preserve">These </w:t>
      </w:r>
      <w:r>
        <w:t xml:space="preserve">predictions </w:t>
      </w:r>
      <w:r w:rsidR="007F116C">
        <w:t xml:space="preserve">were </w:t>
      </w:r>
      <w:r>
        <w:t xml:space="preserve">then translated to the </w:t>
      </w:r>
      <w:r w:rsidR="007F116C">
        <w:t>original stream-gauge data</w:t>
      </w:r>
      <w:r>
        <w:t xml:space="preserve"> using </w:t>
      </w:r>
      <w:r w:rsidR="00652A71">
        <w:t>equation _____</w:t>
      </w:r>
      <w:r>
        <w:t xml:space="preserve">. The </w:t>
      </w:r>
      <w:r w:rsidR="00496E30">
        <w:t xml:space="preserve">prediction skill was </w:t>
      </w:r>
      <w:r>
        <w:t>benchmark</w:t>
      </w:r>
      <w:r w:rsidR="00496E30">
        <w:t>ed</w:t>
      </w:r>
      <w:r>
        <w:t xml:space="preserve"> </w:t>
      </w:r>
      <w:r w:rsidR="00496E30">
        <w:t xml:space="preserve">against </w:t>
      </w:r>
      <w:r>
        <w:t xml:space="preserve">the </w:t>
      </w:r>
      <w:r w:rsidR="00701630">
        <w:t>site-specific Long-Term</w:t>
      </w:r>
      <w:r>
        <w:t xml:space="preserve"> </w:t>
      </w:r>
      <w:r w:rsidR="00496E30">
        <w:t>Mean (</w:t>
      </w:r>
      <w:r>
        <w:t xml:space="preserve">LTM) and </w:t>
      </w:r>
      <w:r w:rsidR="00496E30">
        <w:t xml:space="preserve">predictions made by </w:t>
      </w:r>
      <w:r>
        <w:t xml:space="preserve">fitting </w:t>
      </w:r>
      <w:proofErr w:type="gramStart"/>
      <w:r>
        <w:t>a</w:t>
      </w:r>
      <w:proofErr w:type="gramEnd"/>
      <w:r>
        <w:t xml:space="preserve"> </w:t>
      </w:r>
      <w:r w:rsidR="00496E30">
        <w:t>OLS</w:t>
      </w:r>
      <w:r>
        <w:t xml:space="preserve"> regression using NAO and ENSO</w:t>
      </w:r>
      <w:r w:rsidR="00496E30">
        <w:t>-</w:t>
      </w:r>
      <w:r>
        <w:t>PDO</w:t>
      </w:r>
      <w:r w:rsidR="00496E30">
        <w:t xml:space="preserve"> interaction</w:t>
      </w:r>
      <w:r>
        <w:t xml:space="preserve"> as covariates at each site. </w:t>
      </w:r>
      <w:r w:rsidR="00FB0DA1">
        <w:t>Across the 9</w:t>
      </w:r>
      <w:r w:rsidR="00496E30">
        <w:t>-</w:t>
      </w:r>
      <w:r w:rsidR="00FB0DA1">
        <w:t xml:space="preserve">year horizon we see remarkable skill with it being 61% against LTM and 57% against </w:t>
      </w:r>
      <w:r w:rsidR="00496E30">
        <w:t>site-specific</w:t>
      </w:r>
      <w:r w:rsidR="00FB0DA1">
        <w:t xml:space="preserve"> regression. Over short </w:t>
      </w:r>
      <w:r w:rsidR="00496E30">
        <w:t xml:space="preserve">4-year </w:t>
      </w:r>
      <w:r w:rsidR="00FB0DA1">
        <w:t>horizon this value increases</w:t>
      </w:r>
      <w:r w:rsidR="00496E30">
        <w:t xml:space="preserve"> to 75% against the LTM and 81% against the site-specific regression</w:t>
      </w:r>
      <w:r w:rsidR="00FB0DA1">
        <w:t xml:space="preserve"> as shown in Figure XX. </w:t>
      </w:r>
    </w:p>
    <w:p w14:paraId="1E8B4705" w14:textId="09E91875" w:rsidR="00C10DE5" w:rsidRDefault="00101403">
      <w:r>
        <w:rPr>
          <w:noProof/>
        </w:rPr>
        <w:drawing>
          <wp:inline distT="0" distB="0" distL="0" distR="0" wp14:anchorId="3EBC73A8" wp14:editId="1E2F0AC4">
            <wp:extent cx="2725401"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8041" cy="2344448"/>
                    </a:xfrm>
                    <a:prstGeom prst="rect">
                      <a:avLst/>
                    </a:prstGeom>
                  </pic:spPr>
                </pic:pic>
              </a:graphicData>
            </a:graphic>
          </wp:inline>
        </w:drawing>
      </w:r>
      <w:r w:rsidR="00C10DE5">
        <w:t xml:space="preserve">  </w:t>
      </w:r>
      <w:r>
        <w:rPr>
          <w:noProof/>
        </w:rPr>
        <w:drawing>
          <wp:inline distT="0" distB="0" distL="0" distR="0" wp14:anchorId="4E5BEFB5" wp14:editId="1AA4494A">
            <wp:extent cx="2686468" cy="23002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3755" cy="2306528"/>
                    </a:xfrm>
                    <a:prstGeom prst="rect">
                      <a:avLst/>
                    </a:prstGeom>
                  </pic:spPr>
                </pic:pic>
              </a:graphicData>
            </a:graphic>
          </wp:inline>
        </w:drawing>
      </w:r>
    </w:p>
    <w:p w14:paraId="193FBAB3" w14:textId="208C5CCF" w:rsidR="00C10DE5" w:rsidRPr="0028139F" w:rsidRDefault="00C10DE5" w:rsidP="00101403">
      <w:pPr>
        <w:jc w:val="center"/>
        <w:rPr>
          <w:sz w:val="20"/>
          <w:szCs w:val="20"/>
        </w:rPr>
      </w:pPr>
      <w:r w:rsidRPr="0028139F">
        <w:rPr>
          <w:sz w:val="20"/>
          <w:szCs w:val="20"/>
        </w:rPr>
        <w:t xml:space="preserve">Figure </w:t>
      </w:r>
      <w:proofErr w:type="gramStart"/>
      <w:r w:rsidRPr="0028139F">
        <w:rPr>
          <w:sz w:val="20"/>
          <w:szCs w:val="20"/>
        </w:rPr>
        <w:t>XX:-</w:t>
      </w:r>
      <w:proofErr w:type="gramEnd"/>
      <w:r w:rsidRPr="0028139F">
        <w:rPr>
          <w:sz w:val="20"/>
          <w:szCs w:val="20"/>
        </w:rPr>
        <w:t xml:space="preserve"> Prediction Skill across the </w:t>
      </w:r>
      <w:r w:rsidR="00101403" w:rsidRPr="0028139F">
        <w:rPr>
          <w:sz w:val="20"/>
          <w:szCs w:val="20"/>
        </w:rPr>
        <w:t>4</w:t>
      </w:r>
      <w:r w:rsidRPr="0028139F">
        <w:rPr>
          <w:sz w:val="20"/>
          <w:szCs w:val="20"/>
        </w:rPr>
        <w:t xml:space="preserve"> year-horizon against the benchmarks (a) Long Term Mean - LTM (b) Site specific NA and ENSO*PDO regressions.</w:t>
      </w:r>
    </w:p>
    <w:p w14:paraId="24EFEB10" w14:textId="6EE81488" w:rsidR="003A4E3F" w:rsidRPr="00F421FF" w:rsidRDefault="0028139F">
      <w:r>
        <w:rPr>
          <w:b/>
          <w:bCs/>
          <w:sz w:val="24"/>
          <w:szCs w:val="24"/>
        </w:rPr>
        <w:lastRenderedPageBreak/>
        <w:tab/>
      </w:r>
      <w:r w:rsidR="00B95513">
        <w:t>The</w:t>
      </w:r>
      <w:r w:rsidRPr="00F421FF">
        <w:t xml:space="preserve"> 1</w:t>
      </w:r>
      <w:r w:rsidRPr="00F421FF">
        <w:rPr>
          <w:vertAlign w:val="superscript"/>
        </w:rPr>
        <w:t>st</w:t>
      </w:r>
      <w:r w:rsidRPr="00F421FF">
        <w:t xml:space="preserve"> PC</w:t>
      </w:r>
      <w:r w:rsidR="00AF5004" w:rsidRPr="00F421FF">
        <w:t xml:space="preserve"> </w:t>
      </w:r>
      <w:r w:rsidRPr="00F421FF">
        <w:t xml:space="preserve">provides a clear predictability pathway using well established climate indices over a multi-year horizon. </w:t>
      </w:r>
      <w:r w:rsidR="003E4C55" w:rsidRPr="00F421FF">
        <w:t xml:space="preserve">This helps in planning over a multi-year period and provides a clear link to the regional teleconnections to global climatic modes of variability. </w:t>
      </w:r>
    </w:p>
    <w:p w14:paraId="5B9179A3" w14:textId="33249CF1" w:rsidR="00FB26E3" w:rsidRPr="00640EDC" w:rsidRDefault="00640EDC">
      <w:pPr>
        <w:rPr>
          <w:sz w:val="28"/>
          <w:szCs w:val="28"/>
          <w:u w:val="single"/>
        </w:rPr>
      </w:pPr>
      <w:r w:rsidRPr="00640EDC">
        <w:rPr>
          <w:b/>
          <w:bCs/>
          <w:sz w:val="28"/>
          <w:szCs w:val="28"/>
          <w:u w:val="single"/>
        </w:rPr>
        <w:t>Conclusion</w:t>
      </w:r>
    </w:p>
    <w:p w14:paraId="440D50F1" w14:textId="471B322B" w:rsidR="0027619C" w:rsidRDefault="0027619C" w:rsidP="00496E30">
      <w:pPr>
        <w:ind w:firstLine="720"/>
      </w:pPr>
      <w:r>
        <w:t xml:space="preserve">A new methodology to simulate multi-site river basin streamflow extremes using a combination of dimension reduction by means of a Principal Component Analysis </w:t>
      </w:r>
      <w:r w:rsidR="00C20DB4">
        <w:t>and modelling</w:t>
      </w:r>
      <w:r>
        <w:t xml:space="preserve"> by a Self-Exciting Threshold Autoregressive Models</w:t>
      </w:r>
      <w:r w:rsidR="00C20DB4">
        <w:t xml:space="preserve"> is presented here</w:t>
      </w:r>
      <w:r>
        <w:t>. This methodology can accurately simulate the traditional components of the dimensionally reduced components and individual sites - like the mean, standard deviation, minimum and maximum. This simulation method also passes another critical test by reproducing the accurate spectral signature</w:t>
      </w:r>
      <w:r w:rsidR="00C20DB4">
        <w:t xml:space="preserve"> along with the pdf and the </w:t>
      </w:r>
      <w:proofErr w:type="spellStart"/>
      <w:r w:rsidR="00C20DB4">
        <w:t>cdf</w:t>
      </w:r>
      <w:proofErr w:type="spellEnd"/>
      <w:r w:rsidR="00C20DB4">
        <w:t xml:space="preserve"> of the individual components along with the sites. </w:t>
      </w:r>
    </w:p>
    <w:p w14:paraId="725554B1" w14:textId="5D7EAD47" w:rsidR="00782637" w:rsidRPr="00782637" w:rsidRDefault="00782637" w:rsidP="00496E30">
      <w:pPr>
        <w:ind w:firstLine="720"/>
      </w:pPr>
      <w:r>
        <w:t xml:space="preserve">The Ohio River Basin with its long history of </w:t>
      </w:r>
      <w:r w:rsidR="0027619C">
        <w:t xml:space="preserve">regional scale precipitation and </w:t>
      </w:r>
      <w:r>
        <w:t>flood</w:t>
      </w:r>
      <w:r w:rsidR="0027619C">
        <w:t>ing events</w:t>
      </w:r>
      <w:r>
        <w:t xml:space="preserve"> a</w:t>
      </w:r>
      <w:r w:rsidR="0027619C">
        <w:t>ccompanied</w:t>
      </w:r>
      <w:r>
        <w:t xml:space="preserve"> </w:t>
      </w:r>
      <w:r w:rsidR="0027619C">
        <w:t xml:space="preserve">with </w:t>
      </w:r>
      <w:r>
        <w:t>detailed literature</w:t>
      </w:r>
      <w:r w:rsidR="0027619C">
        <w:t xml:space="preserve"> and extensive period of data availability</w:t>
      </w:r>
      <w:r>
        <w:t xml:space="preserve"> presented an ideal region to study the streamflow extremes. </w:t>
      </w:r>
      <w:r w:rsidR="00B60733">
        <w:t>Using the annual streamflow maximum as criteria</w:t>
      </w:r>
      <w:r w:rsidR="0027619C">
        <w:t xml:space="preserve"> for extremes,</w:t>
      </w:r>
      <w:r w:rsidR="00B60733">
        <w:t xml:space="preserve"> 30 stream gauges with data from 1937 to 2018 were selected for this study. </w:t>
      </w:r>
    </w:p>
    <w:p w14:paraId="7F36BF49" w14:textId="5FCA7726" w:rsidR="00782637" w:rsidRPr="00B60733" w:rsidRDefault="00B60733" w:rsidP="00496E30">
      <w:pPr>
        <w:ind w:firstLine="720"/>
      </w:pPr>
      <w:r>
        <w:t>Using both explicit and implicit methods of clustering followed by wavelet analysis, led to similar results pointing to different dynamics</w:t>
      </w:r>
      <w:r w:rsidR="0027619C">
        <w:t xml:space="preserve"> in different regions of the basin</w:t>
      </w:r>
      <w:r>
        <w:t>. The regions of Illinois, Indiana and Western Ohio represented by the 1</w:t>
      </w:r>
      <w:r w:rsidRPr="00B60733">
        <w:rPr>
          <w:vertAlign w:val="superscript"/>
        </w:rPr>
        <w:t>st</w:t>
      </w:r>
      <w:r>
        <w:t xml:space="preserve"> PC seem to be dynamically uncoupled from Pennsylvania, eastern Ohio and Tennessee. </w:t>
      </w:r>
    </w:p>
    <w:p w14:paraId="2F31637B" w14:textId="088E59DE" w:rsidR="003A4E3F" w:rsidRPr="00F52D52" w:rsidRDefault="00F52D52" w:rsidP="00496E30">
      <w:pPr>
        <w:ind w:firstLine="720"/>
      </w:pPr>
      <w:r>
        <w:t>The North Atlantic Oscillation along with the interaction between the El-Nino Southern Oscillation and Pacific Decadal Oscillation were covariates which showed predictability on a near decadal scale. The fact that the 1</w:t>
      </w:r>
      <w:r w:rsidRPr="00F52D52">
        <w:rPr>
          <w:vertAlign w:val="superscript"/>
        </w:rPr>
        <w:t>st</w:t>
      </w:r>
      <w:r>
        <w:t xml:space="preserve"> dimensionally reduced component was only used for this purpose is even more promising and this</w:t>
      </w:r>
      <w:r w:rsidR="0027619C">
        <w:t xml:space="preserve"> </w:t>
      </w:r>
      <w:r w:rsidR="00C20DB4">
        <w:t>has significant</w:t>
      </w:r>
      <w:r>
        <w:t xml:space="preserve"> implications for water and disaster management strategies in the Ohio River Basin. </w:t>
      </w:r>
    </w:p>
    <w:p w14:paraId="66401897" w14:textId="4D24B3E9" w:rsidR="003A4E3F" w:rsidRDefault="00F52D52" w:rsidP="00496E30">
      <w:pPr>
        <w:ind w:firstLine="720"/>
      </w:pPr>
      <w:r>
        <w:t>All the methods presented in this paper</w:t>
      </w:r>
      <w:r w:rsidR="00782637">
        <w:t xml:space="preserve"> can be easily extended to other river basins over the globe contingent on there being enough data to justify these analyses. </w:t>
      </w:r>
      <w:r w:rsidR="00C20DB4">
        <w:t xml:space="preserve">A package ___ has been developed in ____ for swift implementation of the PC-SETAR methodology. </w:t>
      </w:r>
    </w:p>
    <w:p w14:paraId="4C7D0D49" w14:textId="747384DB" w:rsidR="00CA485F" w:rsidRDefault="00CA485F"/>
    <w:p w14:paraId="0EBCAF83" w14:textId="77A5E211" w:rsidR="00CA485F" w:rsidRDefault="00CA485F"/>
    <w:p w14:paraId="31DEB032" w14:textId="71C65046" w:rsidR="00CA485F" w:rsidRDefault="00CA485F">
      <w:pPr>
        <w:rPr>
          <w:b/>
          <w:bCs/>
          <w:sz w:val="24"/>
          <w:szCs w:val="24"/>
        </w:rPr>
      </w:pPr>
      <w:r w:rsidRPr="00CA485F">
        <w:rPr>
          <w:b/>
          <w:bCs/>
          <w:sz w:val="24"/>
          <w:szCs w:val="24"/>
        </w:rPr>
        <w:t>References</w:t>
      </w:r>
    </w:p>
    <w:p w14:paraId="1C5C8AFA" w14:textId="77777777" w:rsidR="006243FD" w:rsidRPr="006243FD" w:rsidRDefault="00DC6118" w:rsidP="006243FD">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proofErr w:type="spellStart"/>
      <w:r w:rsidR="006243FD" w:rsidRPr="006243FD">
        <w:rPr>
          <w:rFonts w:ascii="Calibri" w:hAnsi="Calibri" w:cs="Calibri"/>
        </w:rPr>
        <w:t>Farnham</w:t>
      </w:r>
      <w:proofErr w:type="spellEnd"/>
      <w:r w:rsidR="006243FD" w:rsidRPr="006243FD">
        <w:rPr>
          <w:rFonts w:ascii="Calibri" w:hAnsi="Calibri" w:cs="Calibri"/>
        </w:rPr>
        <w:t>, D. J., Doss‐</w:t>
      </w:r>
      <w:proofErr w:type="spellStart"/>
      <w:r w:rsidR="006243FD" w:rsidRPr="006243FD">
        <w:rPr>
          <w:rFonts w:ascii="Calibri" w:hAnsi="Calibri" w:cs="Calibri"/>
        </w:rPr>
        <w:t>Gollin</w:t>
      </w:r>
      <w:proofErr w:type="spellEnd"/>
      <w:r w:rsidR="006243FD" w:rsidRPr="006243FD">
        <w:rPr>
          <w:rFonts w:ascii="Calibri" w:hAnsi="Calibri" w:cs="Calibri"/>
        </w:rPr>
        <w:t xml:space="preserve">, J., &amp; </w:t>
      </w:r>
      <w:proofErr w:type="spellStart"/>
      <w:r w:rsidR="006243FD" w:rsidRPr="006243FD">
        <w:rPr>
          <w:rFonts w:ascii="Calibri" w:hAnsi="Calibri" w:cs="Calibri"/>
        </w:rPr>
        <w:t>Lall</w:t>
      </w:r>
      <w:proofErr w:type="spellEnd"/>
      <w:r w:rsidR="006243FD" w:rsidRPr="006243FD">
        <w:rPr>
          <w:rFonts w:ascii="Calibri" w:hAnsi="Calibri" w:cs="Calibri"/>
        </w:rPr>
        <w:t xml:space="preserve">, U. (2018). Regional Extreme Precipitation Events: Robust Inference </w:t>
      </w:r>
      <w:proofErr w:type="gramStart"/>
      <w:r w:rsidR="006243FD" w:rsidRPr="006243FD">
        <w:rPr>
          <w:rFonts w:ascii="Calibri" w:hAnsi="Calibri" w:cs="Calibri"/>
        </w:rPr>
        <w:t>From</w:t>
      </w:r>
      <w:proofErr w:type="gramEnd"/>
      <w:r w:rsidR="006243FD" w:rsidRPr="006243FD">
        <w:rPr>
          <w:rFonts w:ascii="Calibri" w:hAnsi="Calibri" w:cs="Calibri"/>
        </w:rPr>
        <w:t xml:space="preserve"> Credibly Simulated GCM Variables. </w:t>
      </w:r>
      <w:r w:rsidR="006243FD" w:rsidRPr="006243FD">
        <w:rPr>
          <w:rFonts w:ascii="Calibri" w:hAnsi="Calibri" w:cs="Calibri"/>
          <w:i/>
          <w:iCs/>
        </w:rPr>
        <w:t>Water Resources Research</w:t>
      </w:r>
      <w:r w:rsidR="006243FD" w:rsidRPr="006243FD">
        <w:rPr>
          <w:rFonts w:ascii="Calibri" w:hAnsi="Calibri" w:cs="Calibri"/>
        </w:rPr>
        <w:t xml:space="preserve">, </w:t>
      </w:r>
      <w:r w:rsidR="006243FD" w:rsidRPr="006243FD">
        <w:rPr>
          <w:rFonts w:ascii="Calibri" w:hAnsi="Calibri" w:cs="Calibri"/>
          <w:i/>
          <w:iCs/>
        </w:rPr>
        <w:t>54</w:t>
      </w:r>
      <w:r w:rsidR="006243FD" w:rsidRPr="006243FD">
        <w:rPr>
          <w:rFonts w:ascii="Calibri" w:hAnsi="Calibri" w:cs="Calibri"/>
        </w:rPr>
        <w:t>(6), 3809–3824. https://doi.org/10.1002/2017WR021318</w:t>
      </w:r>
    </w:p>
    <w:p w14:paraId="254C6AF2" w14:textId="77777777" w:rsidR="006243FD" w:rsidRPr="006243FD" w:rsidRDefault="006243FD" w:rsidP="006243FD">
      <w:pPr>
        <w:pStyle w:val="Bibliography"/>
        <w:rPr>
          <w:rFonts w:ascii="Calibri" w:hAnsi="Calibri" w:cs="Calibri"/>
        </w:rPr>
      </w:pPr>
      <w:r w:rsidRPr="006243FD">
        <w:rPr>
          <w:rFonts w:ascii="Calibri" w:hAnsi="Calibri" w:cs="Calibri"/>
        </w:rPr>
        <w:lastRenderedPageBreak/>
        <w:t xml:space="preserve">Hirsch, R. M., &amp; De </w:t>
      </w:r>
      <w:proofErr w:type="spellStart"/>
      <w:r w:rsidRPr="006243FD">
        <w:rPr>
          <w:rFonts w:ascii="Calibri" w:hAnsi="Calibri" w:cs="Calibri"/>
        </w:rPr>
        <w:t>Cicco</w:t>
      </w:r>
      <w:proofErr w:type="spellEnd"/>
      <w:r w:rsidRPr="006243FD">
        <w:rPr>
          <w:rFonts w:ascii="Calibri" w:hAnsi="Calibri" w:cs="Calibri"/>
        </w:rPr>
        <w:t xml:space="preserve">, L. A. (2015). </w:t>
      </w:r>
      <w:r w:rsidRPr="006243FD">
        <w:rPr>
          <w:rFonts w:ascii="Calibri" w:hAnsi="Calibri" w:cs="Calibri"/>
          <w:i/>
          <w:iCs/>
        </w:rPr>
        <w:t xml:space="preserve">User guide to Exploration and Graphics for </w:t>
      </w:r>
      <w:proofErr w:type="spellStart"/>
      <w:r w:rsidRPr="006243FD">
        <w:rPr>
          <w:rFonts w:ascii="Calibri" w:hAnsi="Calibri" w:cs="Calibri"/>
          <w:i/>
          <w:iCs/>
        </w:rPr>
        <w:t>RivEr</w:t>
      </w:r>
      <w:proofErr w:type="spellEnd"/>
      <w:r w:rsidRPr="006243FD">
        <w:rPr>
          <w:rFonts w:ascii="Calibri" w:hAnsi="Calibri" w:cs="Calibri"/>
          <w:i/>
          <w:iCs/>
        </w:rPr>
        <w:t xml:space="preserve"> Trends (EGRET) and </w:t>
      </w:r>
      <w:proofErr w:type="spellStart"/>
      <w:r w:rsidRPr="006243FD">
        <w:rPr>
          <w:rFonts w:ascii="Calibri" w:hAnsi="Calibri" w:cs="Calibri"/>
          <w:i/>
          <w:iCs/>
        </w:rPr>
        <w:t>dataRetrieval</w:t>
      </w:r>
      <w:proofErr w:type="spellEnd"/>
      <w:r w:rsidRPr="006243FD">
        <w:rPr>
          <w:rFonts w:ascii="Calibri" w:hAnsi="Calibri" w:cs="Calibri"/>
          <w:i/>
          <w:iCs/>
        </w:rPr>
        <w:t>: R packages for hydrologic data</w:t>
      </w:r>
      <w:r w:rsidRPr="006243FD">
        <w:rPr>
          <w:rFonts w:ascii="Calibri" w:hAnsi="Calibri" w:cs="Calibri"/>
        </w:rPr>
        <w:t xml:space="preserve"> (USGS Numbered Series No. 4-A10; p. 104). Retrieved from U.S. Geological Survey website: http://pubs.er.usgs.gov/publication/tm4A10</w:t>
      </w:r>
    </w:p>
    <w:p w14:paraId="7FAF7C62" w14:textId="77777777" w:rsidR="006243FD" w:rsidRPr="006243FD" w:rsidRDefault="006243FD" w:rsidP="006243FD">
      <w:pPr>
        <w:pStyle w:val="Bibliography"/>
        <w:rPr>
          <w:rFonts w:ascii="Calibri" w:hAnsi="Calibri" w:cs="Calibri"/>
        </w:rPr>
      </w:pPr>
      <w:r w:rsidRPr="006243FD">
        <w:rPr>
          <w:rFonts w:ascii="Calibri" w:hAnsi="Calibri" w:cs="Calibri"/>
        </w:rPr>
        <w:t xml:space="preserve">Jones, P. D., Jonsson, T., &amp; Wheeler, D. (1997). Extension to the North Atlantic oscillation using early instrumental pressure observations from Gibraltar and south-west Iceland. </w:t>
      </w:r>
      <w:r w:rsidRPr="006243FD">
        <w:rPr>
          <w:rFonts w:ascii="Calibri" w:hAnsi="Calibri" w:cs="Calibri"/>
          <w:i/>
          <w:iCs/>
        </w:rPr>
        <w:t>International Journal of Climatology</w:t>
      </w:r>
      <w:r w:rsidRPr="006243FD">
        <w:rPr>
          <w:rFonts w:ascii="Calibri" w:hAnsi="Calibri" w:cs="Calibri"/>
        </w:rPr>
        <w:t xml:space="preserve">, </w:t>
      </w:r>
      <w:r w:rsidRPr="006243FD">
        <w:rPr>
          <w:rFonts w:ascii="Calibri" w:hAnsi="Calibri" w:cs="Calibri"/>
          <w:i/>
          <w:iCs/>
        </w:rPr>
        <w:t>17</w:t>
      </w:r>
      <w:r w:rsidRPr="006243FD">
        <w:rPr>
          <w:rFonts w:ascii="Calibri" w:hAnsi="Calibri" w:cs="Calibri"/>
        </w:rPr>
        <w:t>(13), 1433–1450. https://doi.org/10.1002/(SICI)1097-0088(19971115)17:13&lt;</w:t>
      </w:r>
      <w:proofErr w:type="gramStart"/>
      <w:r w:rsidRPr="006243FD">
        <w:rPr>
          <w:rFonts w:ascii="Calibri" w:hAnsi="Calibri" w:cs="Calibri"/>
        </w:rPr>
        <w:t>1433::</w:t>
      </w:r>
      <w:proofErr w:type="gramEnd"/>
      <w:r w:rsidRPr="006243FD">
        <w:rPr>
          <w:rFonts w:ascii="Calibri" w:hAnsi="Calibri" w:cs="Calibri"/>
        </w:rPr>
        <w:t>AID-JOC203&gt;3.0.CO;2-P</w:t>
      </w:r>
    </w:p>
    <w:p w14:paraId="0A43BDD5" w14:textId="77777777" w:rsidR="006243FD" w:rsidRPr="006243FD" w:rsidRDefault="006243FD" w:rsidP="006243FD">
      <w:pPr>
        <w:pStyle w:val="Bibliography"/>
        <w:rPr>
          <w:rFonts w:ascii="Calibri" w:hAnsi="Calibri" w:cs="Calibri"/>
        </w:rPr>
      </w:pPr>
      <w:r w:rsidRPr="006243FD">
        <w:rPr>
          <w:rFonts w:ascii="Calibri" w:hAnsi="Calibri" w:cs="Calibri"/>
        </w:rPr>
        <w:t xml:space="preserve">Kwon, H.-H., </w:t>
      </w:r>
      <w:proofErr w:type="spellStart"/>
      <w:r w:rsidRPr="006243FD">
        <w:rPr>
          <w:rFonts w:ascii="Calibri" w:hAnsi="Calibri" w:cs="Calibri"/>
        </w:rPr>
        <w:t>Lall</w:t>
      </w:r>
      <w:proofErr w:type="spellEnd"/>
      <w:r w:rsidRPr="006243FD">
        <w:rPr>
          <w:rFonts w:ascii="Calibri" w:hAnsi="Calibri" w:cs="Calibri"/>
        </w:rPr>
        <w:t xml:space="preserve">, U., &amp; Khalil, A. F. (2007). Stochastic simulation model for nonstationary time series using an autoregressive wavelet decomposition: Applications to rainfall and temperature. </w:t>
      </w:r>
      <w:r w:rsidRPr="006243FD">
        <w:rPr>
          <w:rFonts w:ascii="Calibri" w:hAnsi="Calibri" w:cs="Calibri"/>
          <w:i/>
          <w:iCs/>
        </w:rPr>
        <w:t>Water Resources Research</w:t>
      </w:r>
      <w:r w:rsidRPr="006243FD">
        <w:rPr>
          <w:rFonts w:ascii="Calibri" w:hAnsi="Calibri" w:cs="Calibri"/>
        </w:rPr>
        <w:t xml:space="preserve">, </w:t>
      </w:r>
      <w:r w:rsidRPr="006243FD">
        <w:rPr>
          <w:rFonts w:ascii="Calibri" w:hAnsi="Calibri" w:cs="Calibri"/>
          <w:i/>
          <w:iCs/>
        </w:rPr>
        <w:t>43</w:t>
      </w:r>
      <w:r w:rsidRPr="006243FD">
        <w:rPr>
          <w:rFonts w:ascii="Calibri" w:hAnsi="Calibri" w:cs="Calibri"/>
        </w:rPr>
        <w:t>(5). https://doi.org/10.1029/2006WR005258</w:t>
      </w:r>
    </w:p>
    <w:p w14:paraId="63D63C2A" w14:textId="77777777" w:rsidR="006243FD" w:rsidRPr="006243FD" w:rsidRDefault="006243FD" w:rsidP="006243FD">
      <w:pPr>
        <w:pStyle w:val="Bibliography"/>
        <w:rPr>
          <w:rFonts w:ascii="Calibri" w:hAnsi="Calibri" w:cs="Calibri"/>
        </w:rPr>
      </w:pPr>
      <w:r w:rsidRPr="006243FD">
        <w:rPr>
          <w:rFonts w:ascii="Calibri" w:hAnsi="Calibri" w:cs="Calibri"/>
        </w:rPr>
        <w:t xml:space="preserve">Nakamura, J., </w:t>
      </w:r>
      <w:proofErr w:type="spellStart"/>
      <w:r w:rsidRPr="006243FD">
        <w:rPr>
          <w:rFonts w:ascii="Calibri" w:hAnsi="Calibri" w:cs="Calibri"/>
        </w:rPr>
        <w:t>Lall</w:t>
      </w:r>
      <w:proofErr w:type="spellEnd"/>
      <w:r w:rsidRPr="006243FD">
        <w:rPr>
          <w:rFonts w:ascii="Calibri" w:hAnsi="Calibri" w:cs="Calibri"/>
        </w:rPr>
        <w:t xml:space="preserve">, U., </w:t>
      </w:r>
      <w:proofErr w:type="spellStart"/>
      <w:r w:rsidRPr="006243FD">
        <w:rPr>
          <w:rFonts w:ascii="Calibri" w:hAnsi="Calibri" w:cs="Calibri"/>
        </w:rPr>
        <w:t>Kushnir</w:t>
      </w:r>
      <w:proofErr w:type="spellEnd"/>
      <w:r w:rsidRPr="006243FD">
        <w:rPr>
          <w:rFonts w:ascii="Calibri" w:hAnsi="Calibri" w:cs="Calibri"/>
        </w:rPr>
        <w:t xml:space="preserve">, Y., Robertson, A. W., &amp; Seager, R. (2013). Dynamical Structure of Extreme Floods in the U.S. Midwest and the United Kingdom. </w:t>
      </w:r>
      <w:r w:rsidRPr="006243FD">
        <w:rPr>
          <w:rFonts w:ascii="Calibri" w:hAnsi="Calibri" w:cs="Calibri"/>
          <w:i/>
          <w:iCs/>
        </w:rPr>
        <w:t>Journal of Hydrometeorology</w:t>
      </w:r>
      <w:r w:rsidRPr="006243FD">
        <w:rPr>
          <w:rFonts w:ascii="Calibri" w:hAnsi="Calibri" w:cs="Calibri"/>
        </w:rPr>
        <w:t xml:space="preserve">, </w:t>
      </w:r>
      <w:r w:rsidRPr="006243FD">
        <w:rPr>
          <w:rFonts w:ascii="Calibri" w:hAnsi="Calibri" w:cs="Calibri"/>
          <w:i/>
          <w:iCs/>
        </w:rPr>
        <w:t>14</w:t>
      </w:r>
      <w:r w:rsidRPr="006243FD">
        <w:rPr>
          <w:rFonts w:ascii="Calibri" w:hAnsi="Calibri" w:cs="Calibri"/>
        </w:rPr>
        <w:t>(2), 485–504. https://doi.org/10.1175/JHM-D-12-059.1</w:t>
      </w:r>
    </w:p>
    <w:p w14:paraId="2CCF0268" w14:textId="77777777" w:rsidR="006243FD" w:rsidRPr="006243FD" w:rsidRDefault="006243FD" w:rsidP="006243FD">
      <w:pPr>
        <w:pStyle w:val="Bibliography"/>
        <w:rPr>
          <w:rFonts w:ascii="Calibri" w:hAnsi="Calibri" w:cs="Calibri"/>
        </w:rPr>
      </w:pPr>
      <w:r w:rsidRPr="006243FD">
        <w:rPr>
          <w:rFonts w:ascii="Calibri" w:hAnsi="Calibri" w:cs="Calibri"/>
        </w:rPr>
        <w:t xml:space="preserve">Newman, M., Compo, G. P., &amp; Alexander, M. A. (2003). ENSO-Forced Variability of the Pacific Decadal Oscillation. </w:t>
      </w:r>
      <w:r w:rsidRPr="006243FD">
        <w:rPr>
          <w:rFonts w:ascii="Calibri" w:hAnsi="Calibri" w:cs="Calibri"/>
          <w:i/>
          <w:iCs/>
        </w:rPr>
        <w:t>Journal of Climate</w:t>
      </w:r>
      <w:r w:rsidRPr="006243FD">
        <w:rPr>
          <w:rFonts w:ascii="Calibri" w:hAnsi="Calibri" w:cs="Calibri"/>
        </w:rPr>
        <w:t xml:space="preserve">, </w:t>
      </w:r>
      <w:r w:rsidRPr="006243FD">
        <w:rPr>
          <w:rFonts w:ascii="Calibri" w:hAnsi="Calibri" w:cs="Calibri"/>
          <w:i/>
          <w:iCs/>
        </w:rPr>
        <w:t>16</w:t>
      </w:r>
      <w:r w:rsidRPr="006243FD">
        <w:rPr>
          <w:rFonts w:ascii="Calibri" w:hAnsi="Calibri" w:cs="Calibri"/>
        </w:rPr>
        <w:t>(23), 3853–3857. https://doi.org/10.1175/1520-0442(2003)016&lt;</w:t>
      </w:r>
      <w:proofErr w:type="gramStart"/>
      <w:r w:rsidRPr="006243FD">
        <w:rPr>
          <w:rFonts w:ascii="Calibri" w:hAnsi="Calibri" w:cs="Calibri"/>
        </w:rPr>
        <w:t>3853:EVOTPD</w:t>
      </w:r>
      <w:proofErr w:type="gramEnd"/>
      <w:r w:rsidRPr="006243FD">
        <w:rPr>
          <w:rFonts w:ascii="Calibri" w:hAnsi="Calibri" w:cs="Calibri"/>
        </w:rPr>
        <w:t>&gt;2.0.CO;2</w:t>
      </w:r>
    </w:p>
    <w:p w14:paraId="1C9C1FE2" w14:textId="77777777" w:rsidR="006243FD" w:rsidRPr="006243FD" w:rsidRDefault="006243FD" w:rsidP="006243FD">
      <w:pPr>
        <w:pStyle w:val="Bibliography"/>
        <w:rPr>
          <w:rFonts w:ascii="Calibri" w:hAnsi="Calibri" w:cs="Calibri"/>
        </w:rPr>
      </w:pPr>
      <w:r w:rsidRPr="006243FD">
        <w:rPr>
          <w:rFonts w:ascii="Calibri" w:hAnsi="Calibri" w:cs="Calibri"/>
        </w:rPr>
        <w:t xml:space="preserve">R Core Team. (2016). </w:t>
      </w:r>
      <w:r w:rsidRPr="006243FD">
        <w:rPr>
          <w:rFonts w:ascii="Calibri" w:hAnsi="Calibri" w:cs="Calibri"/>
          <w:i/>
          <w:iCs/>
        </w:rPr>
        <w:t>R: A language and environment for   statistical computing. R Foundation for Statistical   Computing, Vienna, Austria.</w:t>
      </w:r>
      <w:r w:rsidRPr="006243FD">
        <w:rPr>
          <w:rFonts w:ascii="Calibri" w:hAnsi="Calibri" w:cs="Calibri"/>
        </w:rPr>
        <w:t xml:space="preserve"> Retrieved from https://www.R-project.org/</w:t>
      </w:r>
    </w:p>
    <w:p w14:paraId="2C7FDB3F" w14:textId="77777777" w:rsidR="006243FD" w:rsidRPr="006243FD" w:rsidRDefault="006243FD" w:rsidP="006243FD">
      <w:pPr>
        <w:pStyle w:val="Bibliography"/>
        <w:rPr>
          <w:rFonts w:ascii="Calibri" w:hAnsi="Calibri" w:cs="Calibri"/>
        </w:rPr>
      </w:pPr>
      <w:r w:rsidRPr="006243FD">
        <w:rPr>
          <w:rFonts w:ascii="Calibri" w:hAnsi="Calibri" w:cs="Calibri"/>
        </w:rPr>
        <w:t xml:space="preserve">SALAS, J. D. (1993). Analysis and modelling of hydrological time series. </w:t>
      </w:r>
      <w:r w:rsidRPr="006243FD">
        <w:rPr>
          <w:rFonts w:ascii="Calibri" w:hAnsi="Calibri" w:cs="Calibri"/>
          <w:i/>
          <w:iCs/>
        </w:rPr>
        <w:t>Handbook of Hydrology</w:t>
      </w:r>
      <w:r w:rsidRPr="006243FD">
        <w:rPr>
          <w:rFonts w:ascii="Calibri" w:hAnsi="Calibri" w:cs="Calibri"/>
        </w:rPr>
        <w:t xml:space="preserve">, </w:t>
      </w:r>
      <w:r w:rsidRPr="006243FD">
        <w:rPr>
          <w:rFonts w:ascii="Calibri" w:hAnsi="Calibri" w:cs="Calibri"/>
          <w:i/>
          <w:iCs/>
        </w:rPr>
        <w:t>19</w:t>
      </w:r>
      <w:r w:rsidRPr="006243FD">
        <w:rPr>
          <w:rFonts w:ascii="Calibri" w:hAnsi="Calibri" w:cs="Calibri"/>
        </w:rPr>
        <w:t>. Retrieved from https://ci.nii.ac.jp/naid/10013176141/</w:t>
      </w:r>
    </w:p>
    <w:p w14:paraId="400AD7EE" w14:textId="77777777" w:rsidR="006243FD" w:rsidRPr="006243FD" w:rsidRDefault="006243FD" w:rsidP="006243FD">
      <w:pPr>
        <w:pStyle w:val="Bibliography"/>
        <w:rPr>
          <w:rFonts w:ascii="Calibri" w:hAnsi="Calibri" w:cs="Calibri"/>
        </w:rPr>
      </w:pPr>
      <w:r w:rsidRPr="006243FD">
        <w:rPr>
          <w:rFonts w:ascii="Calibri" w:hAnsi="Calibri" w:cs="Calibri"/>
        </w:rPr>
        <w:t xml:space="preserve">Tong, H. (1990). </w:t>
      </w:r>
      <w:r w:rsidRPr="006243FD">
        <w:rPr>
          <w:rFonts w:ascii="Calibri" w:hAnsi="Calibri" w:cs="Calibri"/>
          <w:i/>
          <w:iCs/>
        </w:rPr>
        <w:t>Non-linear time series: A dynamical system approach</w:t>
      </w:r>
      <w:r w:rsidRPr="006243FD">
        <w:rPr>
          <w:rFonts w:ascii="Calibri" w:hAnsi="Calibri" w:cs="Calibri"/>
        </w:rPr>
        <w:t>. Retrieved from http://eprints.lse.ac.uk/6212/</w:t>
      </w:r>
    </w:p>
    <w:p w14:paraId="7B0A8958" w14:textId="77777777" w:rsidR="006243FD" w:rsidRPr="006243FD" w:rsidRDefault="006243FD" w:rsidP="006243FD">
      <w:pPr>
        <w:pStyle w:val="Bibliography"/>
        <w:rPr>
          <w:rFonts w:ascii="Calibri" w:hAnsi="Calibri" w:cs="Calibri"/>
        </w:rPr>
      </w:pPr>
      <w:proofErr w:type="spellStart"/>
      <w:r w:rsidRPr="006243FD">
        <w:rPr>
          <w:rFonts w:ascii="Calibri" w:hAnsi="Calibri" w:cs="Calibri"/>
        </w:rPr>
        <w:lastRenderedPageBreak/>
        <w:t>Torrence</w:t>
      </w:r>
      <w:proofErr w:type="spellEnd"/>
      <w:r w:rsidRPr="006243FD">
        <w:rPr>
          <w:rFonts w:ascii="Calibri" w:hAnsi="Calibri" w:cs="Calibri"/>
        </w:rPr>
        <w:t xml:space="preserve">, C., &amp; Compo, G. P. (1998). A Practical Guide to Wavelet Analysis. </w:t>
      </w:r>
      <w:r w:rsidRPr="006243FD">
        <w:rPr>
          <w:rFonts w:ascii="Calibri" w:hAnsi="Calibri" w:cs="Calibri"/>
          <w:i/>
          <w:iCs/>
        </w:rPr>
        <w:t>Bulletin of the American Meteorological Society</w:t>
      </w:r>
      <w:r w:rsidRPr="006243FD">
        <w:rPr>
          <w:rFonts w:ascii="Calibri" w:hAnsi="Calibri" w:cs="Calibri"/>
        </w:rPr>
        <w:t xml:space="preserve">, </w:t>
      </w:r>
      <w:r w:rsidRPr="006243FD">
        <w:rPr>
          <w:rFonts w:ascii="Calibri" w:hAnsi="Calibri" w:cs="Calibri"/>
          <w:i/>
          <w:iCs/>
        </w:rPr>
        <w:t>79</w:t>
      </w:r>
      <w:r w:rsidRPr="006243FD">
        <w:rPr>
          <w:rFonts w:ascii="Calibri" w:hAnsi="Calibri" w:cs="Calibri"/>
        </w:rPr>
        <w:t>(1), 61–78. https://doi.org/10.1175/1520-0477(1998)079&lt;</w:t>
      </w:r>
      <w:proofErr w:type="gramStart"/>
      <w:r w:rsidRPr="006243FD">
        <w:rPr>
          <w:rFonts w:ascii="Calibri" w:hAnsi="Calibri" w:cs="Calibri"/>
        </w:rPr>
        <w:t>0061:APGTWA</w:t>
      </w:r>
      <w:proofErr w:type="gramEnd"/>
      <w:r w:rsidRPr="006243FD">
        <w:rPr>
          <w:rFonts w:ascii="Calibri" w:hAnsi="Calibri" w:cs="Calibri"/>
        </w:rPr>
        <w:t>&gt;2.0.CO;2</w:t>
      </w:r>
    </w:p>
    <w:p w14:paraId="60028A42" w14:textId="5E43E489" w:rsidR="00DC6118" w:rsidRPr="00CA485F" w:rsidRDefault="00DC6118">
      <w:pPr>
        <w:rPr>
          <w:b/>
          <w:bCs/>
          <w:sz w:val="24"/>
          <w:szCs w:val="24"/>
        </w:rPr>
      </w:pPr>
      <w:r>
        <w:rPr>
          <w:b/>
          <w:bCs/>
          <w:sz w:val="24"/>
          <w:szCs w:val="24"/>
        </w:rPr>
        <w:fldChar w:fldCharType="end"/>
      </w:r>
    </w:p>
    <w:p w14:paraId="1F69A764" w14:textId="33476EF6" w:rsidR="00CA485F" w:rsidRDefault="00CA485F"/>
    <w:p w14:paraId="56789FB8" w14:textId="6C943334" w:rsidR="00CA485F" w:rsidRDefault="00CA485F"/>
    <w:p w14:paraId="0C7D382C" w14:textId="7097ABCF" w:rsidR="00CA485F" w:rsidRPr="00CA485F" w:rsidRDefault="00CA485F">
      <w:pPr>
        <w:rPr>
          <w:b/>
          <w:bCs/>
          <w:sz w:val="24"/>
          <w:szCs w:val="24"/>
        </w:rPr>
      </w:pPr>
      <w:r w:rsidRPr="00CA485F">
        <w:rPr>
          <w:b/>
          <w:bCs/>
          <w:sz w:val="24"/>
          <w:szCs w:val="24"/>
        </w:rPr>
        <w:t>Supplementary Information</w:t>
      </w:r>
    </w:p>
    <w:p w14:paraId="05A71E69" w14:textId="6256E1D1" w:rsidR="00CA485F" w:rsidRDefault="00CA485F">
      <w:r>
        <w:t>Annex A – Hierarchical Clustering</w:t>
      </w:r>
    </w:p>
    <w:p w14:paraId="61CAF55C" w14:textId="1C7FC953" w:rsidR="00CA485F" w:rsidRDefault="00B0576F">
      <w:r>
        <w:t xml:space="preserve">Annex B – Streamflow Replications for AR Modelling. </w:t>
      </w:r>
    </w:p>
    <w:p w14:paraId="6D5B43F9" w14:textId="2DB3F343" w:rsidR="004C5031" w:rsidRDefault="004C5031">
      <w:pPr>
        <w:rPr>
          <w:noProof/>
        </w:rPr>
      </w:pPr>
      <w:r>
        <w:rPr>
          <w:noProof/>
        </w:rPr>
        <w:drawing>
          <wp:inline distT="0" distB="0" distL="0" distR="0" wp14:anchorId="39CB214F" wp14:editId="40C9AF30">
            <wp:extent cx="2624157" cy="175261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4157" cy="1752613"/>
                    </a:xfrm>
                    <a:prstGeom prst="rect">
                      <a:avLst/>
                    </a:prstGeom>
                  </pic:spPr>
                </pic:pic>
              </a:graphicData>
            </a:graphic>
          </wp:inline>
        </w:drawing>
      </w:r>
      <w:r w:rsidR="00BE33E8" w:rsidRPr="00BE33E8">
        <w:rPr>
          <w:noProof/>
        </w:rPr>
        <w:t xml:space="preserve"> </w:t>
      </w:r>
      <w:r w:rsidR="00BE33E8">
        <w:rPr>
          <w:noProof/>
        </w:rPr>
        <w:drawing>
          <wp:inline distT="0" distB="0" distL="0" distR="0" wp14:anchorId="13D42FF6" wp14:editId="4E40B753">
            <wp:extent cx="2624157" cy="175261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4157" cy="1752613"/>
                    </a:xfrm>
                    <a:prstGeom prst="rect">
                      <a:avLst/>
                    </a:prstGeom>
                  </pic:spPr>
                </pic:pic>
              </a:graphicData>
            </a:graphic>
          </wp:inline>
        </w:drawing>
      </w:r>
      <w:r w:rsidR="00BE33E8" w:rsidRPr="00BE33E8">
        <w:rPr>
          <w:noProof/>
        </w:rPr>
        <w:t xml:space="preserve"> </w:t>
      </w:r>
      <w:r w:rsidR="00BE33E8">
        <w:rPr>
          <w:noProof/>
        </w:rPr>
        <w:drawing>
          <wp:inline distT="0" distB="0" distL="0" distR="0" wp14:anchorId="5115CBE6" wp14:editId="4C3C09F3">
            <wp:extent cx="2624157" cy="175261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4157" cy="1752613"/>
                    </a:xfrm>
                    <a:prstGeom prst="rect">
                      <a:avLst/>
                    </a:prstGeom>
                  </pic:spPr>
                </pic:pic>
              </a:graphicData>
            </a:graphic>
          </wp:inline>
        </w:drawing>
      </w:r>
      <w:r w:rsidR="00BE33E8" w:rsidRPr="00BE33E8">
        <w:rPr>
          <w:noProof/>
        </w:rPr>
        <w:t xml:space="preserve"> </w:t>
      </w:r>
      <w:r w:rsidR="00BE33E8">
        <w:rPr>
          <w:noProof/>
        </w:rPr>
        <w:drawing>
          <wp:inline distT="0" distB="0" distL="0" distR="0" wp14:anchorId="688DFCBB" wp14:editId="2A258FAB">
            <wp:extent cx="2624157" cy="1752613"/>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4157" cy="1752613"/>
                    </a:xfrm>
                    <a:prstGeom prst="rect">
                      <a:avLst/>
                    </a:prstGeom>
                  </pic:spPr>
                </pic:pic>
              </a:graphicData>
            </a:graphic>
          </wp:inline>
        </w:drawing>
      </w:r>
    </w:p>
    <w:p w14:paraId="6B881419" w14:textId="18B9482A" w:rsidR="00BE33E8" w:rsidRDefault="00BE33E8">
      <w:r>
        <w:rPr>
          <w:noProof/>
        </w:rPr>
        <w:drawing>
          <wp:inline distT="0" distB="0" distL="0" distR="0" wp14:anchorId="7666118E" wp14:editId="44BC6068">
            <wp:extent cx="2624157" cy="1752613"/>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4157" cy="1752613"/>
                    </a:xfrm>
                    <a:prstGeom prst="rect">
                      <a:avLst/>
                    </a:prstGeom>
                  </pic:spPr>
                </pic:pic>
              </a:graphicData>
            </a:graphic>
          </wp:inline>
        </w:drawing>
      </w:r>
      <w:r w:rsidRPr="00BE33E8">
        <w:rPr>
          <w:noProof/>
        </w:rPr>
        <w:t xml:space="preserve"> </w:t>
      </w:r>
      <w:r>
        <w:rPr>
          <w:noProof/>
        </w:rPr>
        <w:drawing>
          <wp:inline distT="0" distB="0" distL="0" distR="0" wp14:anchorId="3BC94000" wp14:editId="32A901DD">
            <wp:extent cx="2624157" cy="175261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4157" cy="1752613"/>
                    </a:xfrm>
                    <a:prstGeom prst="rect">
                      <a:avLst/>
                    </a:prstGeom>
                  </pic:spPr>
                </pic:pic>
              </a:graphicData>
            </a:graphic>
          </wp:inline>
        </w:drawing>
      </w:r>
    </w:p>
    <w:p w14:paraId="36D09C6B" w14:textId="0F979B32" w:rsidR="004C5031" w:rsidRDefault="004C5031">
      <w:pPr>
        <w:rPr>
          <w:noProof/>
        </w:rPr>
      </w:pPr>
      <w:r>
        <w:rPr>
          <w:noProof/>
        </w:rPr>
        <w:lastRenderedPageBreak/>
        <w:drawing>
          <wp:inline distT="0" distB="0" distL="0" distR="0" wp14:anchorId="7C21EC69" wp14:editId="3C77781F">
            <wp:extent cx="2624157" cy="1752613"/>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4157" cy="1752613"/>
                    </a:xfrm>
                    <a:prstGeom prst="rect">
                      <a:avLst/>
                    </a:prstGeom>
                  </pic:spPr>
                </pic:pic>
              </a:graphicData>
            </a:graphic>
          </wp:inline>
        </w:drawing>
      </w:r>
      <w:r w:rsidRPr="004C5031">
        <w:rPr>
          <w:noProof/>
        </w:rPr>
        <w:t xml:space="preserve"> </w:t>
      </w:r>
      <w:r>
        <w:rPr>
          <w:noProof/>
        </w:rPr>
        <w:drawing>
          <wp:inline distT="0" distB="0" distL="0" distR="0" wp14:anchorId="77E88AB4" wp14:editId="2F1E1753">
            <wp:extent cx="2624157" cy="175261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4157" cy="1752613"/>
                    </a:xfrm>
                    <a:prstGeom prst="rect">
                      <a:avLst/>
                    </a:prstGeom>
                  </pic:spPr>
                </pic:pic>
              </a:graphicData>
            </a:graphic>
          </wp:inline>
        </w:drawing>
      </w:r>
    </w:p>
    <w:p w14:paraId="304AAB88" w14:textId="3BA3596C" w:rsidR="00BE33E8" w:rsidRDefault="004C5031" w:rsidP="00BE33E8">
      <w:pPr>
        <w:jc w:val="center"/>
        <w:rPr>
          <w:noProof/>
        </w:rPr>
      </w:pPr>
      <w:r>
        <w:rPr>
          <w:noProof/>
        </w:rPr>
        <w:drawing>
          <wp:inline distT="0" distB="0" distL="0" distR="0" wp14:anchorId="0E74020E" wp14:editId="137F7A34">
            <wp:extent cx="2624157" cy="1752613"/>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4157" cy="1752613"/>
                    </a:xfrm>
                    <a:prstGeom prst="rect">
                      <a:avLst/>
                    </a:prstGeom>
                  </pic:spPr>
                </pic:pic>
              </a:graphicData>
            </a:graphic>
          </wp:inline>
        </w:drawing>
      </w:r>
    </w:p>
    <w:p w14:paraId="46297DCB" w14:textId="78F156D4" w:rsidR="004C5031" w:rsidRDefault="00BE33E8">
      <w:pPr>
        <w:rPr>
          <w:noProof/>
        </w:rPr>
      </w:pPr>
      <w:r>
        <w:rPr>
          <w:noProof/>
        </w:rPr>
        <w:drawing>
          <wp:inline distT="0" distB="0" distL="0" distR="0" wp14:anchorId="2FFEB70E" wp14:editId="59C16EE6">
            <wp:extent cx="2624157" cy="175261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4157" cy="1752613"/>
                    </a:xfrm>
                    <a:prstGeom prst="rect">
                      <a:avLst/>
                    </a:prstGeom>
                  </pic:spPr>
                </pic:pic>
              </a:graphicData>
            </a:graphic>
          </wp:inline>
        </w:drawing>
      </w:r>
      <w:r w:rsidRPr="00BE33E8">
        <w:rPr>
          <w:noProof/>
        </w:rPr>
        <w:t xml:space="preserve"> </w:t>
      </w:r>
      <w:r>
        <w:rPr>
          <w:noProof/>
        </w:rPr>
        <w:drawing>
          <wp:inline distT="0" distB="0" distL="0" distR="0" wp14:anchorId="56FA0435" wp14:editId="5080489C">
            <wp:extent cx="2624157" cy="1752613"/>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4157" cy="1752613"/>
                    </a:xfrm>
                    <a:prstGeom prst="rect">
                      <a:avLst/>
                    </a:prstGeom>
                  </pic:spPr>
                </pic:pic>
              </a:graphicData>
            </a:graphic>
          </wp:inline>
        </w:drawing>
      </w:r>
    </w:p>
    <w:p w14:paraId="5D9D00D2" w14:textId="05D95B39" w:rsidR="00BE33E8" w:rsidRDefault="00BE33E8">
      <w:pPr>
        <w:rPr>
          <w:noProof/>
        </w:rPr>
      </w:pPr>
      <w:r>
        <w:rPr>
          <w:noProof/>
        </w:rPr>
        <w:drawing>
          <wp:inline distT="0" distB="0" distL="0" distR="0" wp14:anchorId="7E8D40D1" wp14:editId="0BFC8B17">
            <wp:extent cx="2624157" cy="1752613"/>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4157" cy="1752613"/>
                    </a:xfrm>
                    <a:prstGeom prst="rect">
                      <a:avLst/>
                    </a:prstGeom>
                  </pic:spPr>
                </pic:pic>
              </a:graphicData>
            </a:graphic>
          </wp:inline>
        </w:drawing>
      </w:r>
    </w:p>
    <w:p w14:paraId="6FFCFEFA" w14:textId="77777777" w:rsidR="00BE33E8" w:rsidRDefault="00BE33E8">
      <w:pPr>
        <w:rPr>
          <w:noProof/>
        </w:rPr>
      </w:pPr>
    </w:p>
    <w:p w14:paraId="160C9C05" w14:textId="77777777" w:rsidR="00BE33E8" w:rsidRDefault="00BE33E8"/>
    <w:p w14:paraId="7F04061F" w14:textId="3C660F46" w:rsidR="00757770" w:rsidRDefault="00757770">
      <w:r>
        <w:t xml:space="preserve">The AR model fits as a good first step to model this dynamical process. </w:t>
      </w:r>
    </w:p>
    <w:p w14:paraId="67117847" w14:textId="5CE02ED6" w:rsidR="00C20DB4" w:rsidRDefault="00C20DB4">
      <w:r>
        <w:lastRenderedPageBreak/>
        <w:t>Annex C – CDF and Moment Replications for the Individual Sites</w:t>
      </w:r>
    </w:p>
    <w:p w14:paraId="1F719D63" w14:textId="1A8048F4" w:rsidR="00C20DB4" w:rsidRDefault="00C20DB4" w:rsidP="00C20DB4">
      <w:pPr>
        <w:jc w:val="center"/>
      </w:pPr>
      <w:r>
        <w:rPr>
          <w:noProof/>
        </w:rPr>
        <w:drawing>
          <wp:inline distT="0" distB="0" distL="0" distR="0" wp14:anchorId="52BDDBC1" wp14:editId="58A45E2B">
            <wp:extent cx="2624157" cy="175261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4157" cy="1752613"/>
                    </a:xfrm>
                    <a:prstGeom prst="rect">
                      <a:avLst/>
                    </a:prstGeom>
                  </pic:spPr>
                </pic:pic>
              </a:graphicData>
            </a:graphic>
          </wp:inline>
        </w:drawing>
      </w:r>
      <w:r>
        <w:rPr>
          <w:noProof/>
        </w:rPr>
        <w:drawing>
          <wp:inline distT="0" distB="0" distL="0" distR="0" wp14:anchorId="02259D09" wp14:editId="7806087B">
            <wp:extent cx="2624157" cy="175261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4157" cy="1752613"/>
                    </a:xfrm>
                    <a:prstGeom prst="rect">
                      <a:avLst/>
                    </a:prstGeom>
                  </pic:spPr>
                </pic:pic>
              </a:graphicData>
            </a:graphic>
          </wp:inline>
        </w:drawing>
      </w:r>
    </w:p>
    <w:p w14:paraId="467B8332" w14:textId="47754AC9" w:rsidR="00C20DB4" w:rsidRDefault="00C20DB4" w:rsidP="00C20DB4">
      <w:pPr>
        <w:jc w:val="center"/>
      </w:pPr>
      <w:r>
        <w:rPr>
          <w:noProof/>
        </w:rPr>
        <w:drawing>
          <wp:inline distT="0" distB="0" distL="0" distR="0" wp14:anchorId="0504B74F" wp14:editId="20F9070D">
            <wp:extent cx="2624157" cy="175261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4157" cy="1752613"/>
                    </a:xfrm>
                    <a:prstGeom prst="rect">
                      <a:avLst/>
                    </a:prstGeom>
                  </pic:spPr>
                </pic:pic>
              </a:graphicData>
            </a:graphic>
          </wp:inline>
        </w:drawing>
      </w:r>
      <w:r>
        <w:rPr>
          <w:noProof/>
        </w:rPr>
        <w:drawing>
          <wp:inline distT="0" distB="0" distL="0" distR="0" wp14:anchorId="42EE8B89" wp14:editId="546BD272">
            <wp:extent cx="2624157" cy="175261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157" cy="1752613"/>
                    </a:xfrm>
                    <a:prstGeom prst="rect">
                      <a:avLst/>
                    </a:prstGeom>
                  </pic:spPr>
                </pic:pic>
              </a:graphicData>
            </a:graphic>
          </wp:inline>
        </w:drawing>
      </w:r>
    </w:p>
    <w:p w14:paraId="79C2E605" w14:textId="6D9F4143" w:rsidR="00C20DB4" w:rsidRPr="00496E30" w:rsidRDefault="00C20DB4" w:rsidP="00C20DB4">
      <w:pPr>
        <w:jc w:val="center"/>
      </w:pPr>
      <w:r>
        <w:rPr>
          <w:noProof/>
        </w:rPr>
        <w:drawing>
          <wp:inline distT="0" distB="0" distL="0" distR="0" wp14:anchorId="1197A0E0" wp14:editId="01037CD5">
            <wp:extent cx="2624157" cy="175261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4157" cy="1752613"/>
                    </a:xfrm>
                    <a:prstGeom prst="rect">
                      <a:avLst/>
                    </a:prstGeom>
                  </pic:spPr>
                </pic:pic>
              </a:graphicData>
            </a:graphic>
          </wp:inline>
        </w:drawing>
      </w:r>
    </w:p>
    <w:sectPr w:rsidR="00C20DB4" w:rsidRPr="00496E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ash Amonkar" w:date="2019-09-22T12:26:00Z" w:initials="YA">
    <w:p w14:paraId="798FAA71" w14:textId="5D9286A3" w:rsidR="001723E8" w:rsidRDefault="001723E8">
      <w:pPr>
        <w:pStyle w:val="CommentText"/>
      </w:pPr>
      <w:r>
        <w:rPr>
          <w:rStyle w:val="CommentReference"/>
        </w:rPr>
        <w:annotationRef/>
      </w:r>
      <w:r>
        <w:t xml:space="preserve">Read a review recent review paper on the applications of wavelet analysis in hydrology. </w:t>
      </w:r>
    </w:p>
  </w:comment>
  <w:comment w:id="2" w:author="Yash Amonkar" w:date="2019-09-22T12:19:00Z" w:initials="YA">
    <w:p w14:paraId="72D6E3B1" w14:textId="463C23D3" w:rsidR="00A44A9B" w:rsidRDefault="00A44A9B">
      <w:pPr>
        <w:pStyle w:val="CommentText"/>
      </w:pPr>
      <w:r>
        <w:rPr>
          <w:rStyle w:val="CommentReference"/>
        </w:rPr>
        <w:annotationRef/>
      </w:r>
      <w:r>
        <w:t xml:space="preserve">Confirm with Manu if he wrote the code for the wavelet or if it was from the </w:t>
      </w:r>
      <w:proofErr w:type="spellStart"/>
      <w:r w:rsidR="001723E8">
        <w:t>Torrence</w:t>
      </w:r>
      <w:proofErr w:type="spellEnd"/>
      <w:r w:rsidR="001723E8">
        <w:t xml:space="preserve"> et al. </w:t>
      </w:r>
    </w:p>
  </w:comment>
  <w:comment w:id="3" w:author="Yash Amonkar" w:date="2019-09-20T10:58:00Z" w:initials="YA">
    <w:p w14:paraId="101312F2" w14:textId="3C7EE190" w:rsidR="00EF5319" w:rsidRDefault="00EF5319">
      <w:pPr>
        <w:pStyle w:val="CommentText"/>
      </w:pPr>
      <w:r>
        <w:rPr>
          <w:rStyle w:val="CommentReference"/>
        </w:rPr>
        <w:annotationRef/>
      </w:r>
      <w:r>
        <w:t xml:space="preserve">Re-code this graph. </w:t>
      </w:r>
    </w:p>
  </w:comment>
  <w:comment w:id="4" w:author="Yash Amonkar" w:date="2019-08-12T10:24:00Z" w:initials="YA">
    <w:p w14:paraId="0D2370A9" w14:textId="3EAA3ECA" w:rsidR="00701630" w:rsidRDefault="00701630">
      <w:pPr>
        <w:pStyle w:val="CommentText"/>
      </w:pPr>
      <w:r>
        <w:rPr>
          <w:rStyle w:val="CommentReference"/>
        </w:rPr>
        <w:annotationRef/>
      </w:r>
      <w:r>
        <w:t xml:space="preserve">Have changed the names from </w:t>
      </w:r>
      <w:proofErr w:type="spellStart"/>
      <w:r>
        <w:t>pcwavelet</w:t>
      </w:r>
      <w:proofErr w:type="spellEnd"/>
      <w:r>
        <w:t xml:space="preserve"> and </w:t>
      </w:r>
      <w:proofErr w:type="spellStart"/>
      <w:r>
        <w:t>hclustwavelet</w:t>
      </w:r>
      <w:proofErr w:type="spellEnd"/>
      <w:r>
        <w:t xml:space="preserve"> to implicit clustering and explicit clustering followed by wavelet analysis.</w:t>
      </w:r>
    </w:p>
  </w:comment>
  <w:comment w:id="5" w:author="Yash Amonkar" w:date="2019-09-17T11:26:00Z" w:initials="YA">
    <w:p w14:paraId="17E7533E" w14:textId="0338BC79" w:rsidR="00701630" w:rsidRDefault="00701630">
      <w:pPr>
        <w:pStyle w:val="CommentText"/>
      </w:pPr>
      <w:r>
        <w:rPr>
          <w:rStyle w:val="CommentReference"/>
        </w:rPr>
        <w:annotationRef/>
      </w:r>
      <w:r>
        <w:t xml:space="preserve">Should I also include the KNN </w:t>
      </w:r>
      <w:proofErr w:type="gramStart"/>
      <w:r>
        <w:t>work ?</w:t>
      </w:r>
      <w:proofErr w:type="gramEnd"/>
      <w:r>
        <w:t xml:space="preserve"> KNN is quite competitive when compared to SETAR. </w:t>
      </w:r>
    </w:p>
  </w:comment>
  <w:comment w:id="6" w:author="Yash Amonkar" w:date="2019-09-17T11:33:00Z" w:initials="YA">
    <w:p w14:paraId="4B40DAA2" w14:textId="201D86A7" w:rsidR="00701630" w:rsidRDefault="00701630">
      <w:pPr>
        <w:pStyle w:val="CommentText"/>
      </w:pPr>
      <w:r>
        <w:rPr>
          <w:rStyle w:val="CommentReference"/>
        </w:rPr>
        <w:annotationRef/>
      </w:r>
      <w:r>
        <w:t xml:space="preserve">Add citation for AIC. </w:t>
      </w:r>
    </w:p>
  </w:comment>
  <w:comment w:id="7" w:author="Yash Amonkar" w:date="2019-09-17T11:35:00Z" w:initials="YA">
    <w:p w14:paraId="5EC43E41" w14:textId="0AC668DB" w:rsidR="00701630" w:rsidRDefault="00701630">
      <w:pPr>
        <w:pStyle w:val="CommentText"/>
      </w:pPr>
      <w:r>
        <w:rPr>
          <w:rStyle w:val="CommentReference"/>
        </w:rPr>
        <w:annotationRef/>
      </w:r>
      <w:r>
        <w:t xml:space="preserve">Add citation for </w:t>
      </w:r>
      <w:proofErr w:type="spellStart"/>
      <w:r>
        <w:t>tsDyn</w:t>
      </w:r>
      <w:proofErr w:type="spellEnd"/>
      <w:r>
        <w:t xml:space="preserve">. </w:t>
      </w:r>
    </w:p>
  </w:comment>
  <w:comment w:id="8" w:author="Yash Amonkar" w:date="2019-09-17T11:19:00Z" w:initials="YA">
    <w:p w14:paraId="7DD8A77B" w14:textId="4F793154" w:rsidR="00701630" w:rsidRDefault="00701630">
      <w:pPr>
        <w:pStyle w:val="CommentText"/>
      </w:pPr>
      <w:r>
        <w:rPr>
          <w:rStyle w:val="CommentReference"/>
        </w:rPr>
        <w:annotationRef/>
      </w:r>
      <w:r>
        <w:t xml:space="preserve">Should I keep both PDF and </w:t>
      </w:r>
      <w:proofErr w:type="gramStart"/>
      <w:r>
        <w:t>CDF ?</w:t>
      </w:r>
      <w:proofErr w:type="gramEnd"/>
    </w:p>
  </w:comment>
  <w:comment w:id="9" w:author="Yash Amonkar" w:date="2019-09-17T18:09:00Z" w:initials="YA">
    <w:p w14:paraId="08DB091D" w14:textId="77777777" w:rsidR="00701630" w:rsidRDefault="00701630" w:rsidP="00120BDB">
      <w:pPr>
        <w:pStyle w:val="CommentText"/>
      </w:pPr>
      <w:r>
        <w:rPr>
          <w:rStyle w:val="CommentReference"/>
        </w:rPr>
        <w:annotationRef/>
      </w:r>
      <w:r>
        <w:t xml:space="preserve">Citation for modes of climate variability. </w:t>
      </w:r>
    </w:p>
  </w:comment>
  <w:comment w:id="10" w:author="Yash Amonkar" w:date="2019-09-17T18:43:00Z" w:initials="YA">
    <w:p w14:paraId="77BD8FBA" w14:textId="32E81BEC" w:rsidR="00701630" w:rsidRDefault="00701630">
      <w:pPr>
        <w:pStyle w:val="CommentText"/>
      </w:pPr>
      <w:r>
        <w:rPr>
          <w:rStyle w:val="CommentReference"/>
        </w:rPr>
        <w:annotationRef/>
      </w:r>
      <w:r>
        <w:t xml:space="preserve">Need lit-review about how NAO and ENSO-PDO could affect the region.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8FAA71" w15:done="0"/>
  <w15:commentEx w15:paraId="72D6E3B1" w15:done="0"/>
  <w15:commentEx w15:paraId="101312F2" w15:done="0"/>
  <w15:commentEx w15:paraId="0D2370A9" w15:done="0"/>
  <w15:commentEx w15:paraId="17E7533E" w15:done="0"/>
  <w15:commentEx w15:paraId="4B40DAA2" w15:done="0"/>
  <w15:commentEx w15:paraId="5EC43E41" w15:done="0"/>
  <w15:commentEx w15:paraId="7DD8A77B" w15:done="0"/>
  <w15:commentEx w15:paraId="08DB091D" w15:done="0"/>
  <w15:commentEx w15:paraId="77BD8F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8FAA71" w16cid:durableId="2131E6F1"/>
  <w16cid:commentId w16cid:paraId="72D6E3B1" w16cid:durableId="2131E560"/>
  <w16cid:commentId w16cid:paraId="101312F2" w16cid:durableId="212F2F68"/>
  <w16cid:commentId w16cid:paraId="0D2370A9" w16cid:durableId="20FBBCE7"/>
  <w16cid:commentId w16cid:paraId="17E7533E" w16cid:durableId="212B415F"/>
  <w16cid:commentId w16cid:paraId="4B40DAA2" w16cid:durableId="212B4312"/>
  <w16cid:commentId w16cid:paraId="5EC43E41" w16cid:durableId="212B4388"/>
  <w16cid:commentId w16cid:paraId="7DD8A77B" w16cid:durableId="212B3FD4"/>
  <w16cid:commentId w16cid:paraId="08DB091D" w16cid:durableId="212B9FE4"/>
  <w16cid:commentId w16cid:paraId="77BD8FBA" w16cid:durableId="212BA7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A1693"/>
    <w:multiLevelType w:val="hybridMultilevel"/>
    <w:tmpl w:val="17406B50"/>
    <w:lvl w:ilvl="0" w:tplc="7B2A7084">
      <w:start w:val="1"/>
      <w:numFmt w:val="lowerLetter"/>
      <w:lvlText w:val="(%1)"/>
      <w:lvlJc w:val="left"/>
      <w:pPr>
        <w:ind w:left="908" w:hanging="360"/>
      </w:pPr>
      <w:rPr>
        <w:rFonts w:hint="default"/>
      </w:rPr>
    </w:lvl>
    <w:lvl w:ilvl="1" w:tplc="04090019" w:tentative="1">
      <w:start w:val="1"/>
      <w:numFmt w:val="lowerLetter"/>
      <w:lvlText w:val="%2."/>
      <w:lvlJc w:val="left"/>
      <w:pPr>
        <w:ind w:left="1628" w:hanging="360"/>
      </w:pPr>
    </w:lvl>
    <w:lvl w:ilvl="2" w:tplc="0409001B" w:tentative="1">
      <w:start w:val="1"/>
      <w:numFmt w:val="lowerRoman"/>
      <w:lvlText w:val="%3."/>
      <w:lvlJc w:val="right"/>
      <w:pPr>
        <w:ind w:left="2348" w:hanging="180"/>
      </w:pPr>
    </w:lvl>
    <w:lvl w:ilvl="3" w:tplc="0409000F" w:tentative="1">
      <w:start w:val="1"/>
      <w:numFmt w:val="decimal"/>
      <w:lvlText w:val="%4."/>
      <w:lvlJc w:val="left"/>
      <w:pPr>
        <w:ind w:left="3068" w:hanging="360"/>
      </w:pPr>
    </w:lvl>
    <w:lvl w:ilvl="4" w:tplc="04090019" w:tentative="1">
      <w:start w:val="1"/>
      <w:numFmt w:val="lowerLetter"/>
      <w:lvlText w:val="%5."/>
      <w:lvlJc w:val="left"/>
      <w:pPr>
        <w:ind w:left="3788" w:hanging="360"/>
      </w:pPr>
    </w:lvl>
    <w:lvl w:ilvl="5" w:tplc="0409001B" w:tentative="1">
      <w:start w:val="1"/>
      <w:numFmt w:val="lowerRoman"/>
      <w:lvlText w:val="%6."/>
      <w:lvlJc w:val="right"/>
      <w:pPr>
        <w:ind w:left="4508" w:hanging="180"/>
      </w:pPr>
    </w:lvl>
    <w:lvl w:ilvl="6" w:tplc="0409000F" w:tentative="1">
      <w:start w:val="1"/>
      <w:numFmt w:val="decimal"/>
      <w:lvlText w:val="%7."/>
      <w:lvlJc w:val="left"/>
      <w:pPr>
        <w:ind w:left="5228" w:hanging="360"/>
      </w:pPr>
    </w:lvl>
    <w:lvl w:ilvl="7" w:tplc="04090019" w:tentative="1">
      <w:start w:val="1"/>
      <w:numFmt w:val="lowerLetter"/>
      <w:lvlText w:val="%8."/>
      <w:lvlJc w:val="left"/>
      <w:pPr>
        <w:ind w:left="5948" w:hanging="360"/>
      </w:pPr>
    </w:lvl>
    <w:lvl w:ilvl="8" w:tplc="0409001B" w:tentative="1">
      <w:start w:val="1"/>
      <w:numFmt w:val="lowerRoman"/>
      <w:lvlText w:val="%9."/>
      <w:lvlJc w:val="right"/>
      <w:pPr>
        <w:ind w:left="6668" w:hanging="180"/>
      </w:pPr>
    </w:lvl>
  </w:abstractNum>
  <w:abstractNum w:abstractNumId="1" w15:restartNumberingAfterBreak="0">
    <w:nsid w:val="66D0783D"/>
    <w:multiLevelType w:val="hybridMultilevel"/>
    <w:tmpl w:val="8FA2D12A"/>
    <w:lvl w:ilvl="0" w:tplc="C6ECC1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sh Amonkar">
    <w15:presenceInfo w15:providerId="None" w15:userId="Yash Amo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EDF"/>
    <w:rsid w:val="00002A02"/>
    <w:rsid w:val="00006555"/>
    <w:rsid w:val="00021E7B"/>
    <w:rsid w:val="00044A98"/>
    <w:rsid w:val="00046408"/>
    <w:rsid w:val="00051F67"/>
    <w:rsid w:val="00053045"/>
    <w:rsid w:val="000C2E3C"/>
    <w:rsid w:val="00101403"/>
    <w:rsid w:val="00101476"/>
    <w:rsid w:val="00116F91"/>
    <w:rsid w:val="00120BDB"/>
    <w:rsid w:val="001723E8"/>
    <w:rsid w:val="00191F2B"/>
    <w:rsid w:val="00193F93"/>
    <w:rsid w:val="001B0BF3"/>
    <w:rsid w:val="001C72B5"/>
    <w:rsid w:val="001D3929"/>
    <w:rsid w:val="001E2BF9"/>
    <w:rsid w:val="001E5E3D"/>
    <w:rsid w:val="00203172"/>
    <w:rsid w:val="0020570D"/>
    <w:rsid w:val="00205E29"/>
    <w:rsid w:val="002137F2"/>
    <w:rsid w:val="002232E3"/>
    <w:rsid w:val="002325CA"/>
    <w:rsid w:val="00235509"/>
    <w:rsid w:val="00261FA0"/>
    <w:rsid w:val="002672F1"/>
    <w:rsid w:val="0027619C"/>
    <w:rsid w:val="0028139F"/>
    <w:rsid w:val="002C595E"/>
    <w:rsid w:val="002C5A38"/>
    <w:rsid w:val="002E5BD7"/>
    <w:rsid w:val="002E7C53"/>
    <w:rsid w:val="003360EC"/>
    <w:rsid w:val="00336C76"/>
    <w:rsid w:val="00371C04"/>
    <w:rsid w:val="00380074"/>
    <w:rsid w:val="003837ED"/>
    <w:rsid w:val="003A4609"/>
    <w:rsid w:val="003A4E3F"/>
    <w:rsid w:val="003C1453"/>
    <w:rsid w:val="003E4C55"/>
    <w:rsid w:val="003F4984"/>
    <w:rsid w:val="004228C6"/>
    <w:rsid w:val="00454412"/>
    <w:rsid w:val="00456E4C"/>
    <w:rsid w:val="0048045B"/>
    <w:rsid w:val="00496E30"/>
    <w:rsid w:val="004B2367"/>
    <w:rsid w:val="004B3832"/>
    <w:rsid w:val="004C5031"/>
    <w:rsid w:val="00501EDE"/>
    <w:rsid w:val="0055052C"/>
    <w:rsid w:val="0057084C"/>
    <w:rsid w:val="00580A40"/>
    <w:rsid w:val="005D6DD4"/>
    <w:rsid w:val="005F06EE"/>
    <w:rsid w:val="006243FD"/>
    <w:rsid w:val="00640EDC"/>
    <w:rsid w:val="006444EF"/>
    <w:rsid w:val="00652A71"/>
    <w:rsid w:val="006959C6"/>
    <w:rsid w:val="006A4939"/>
    <w:rsid w:val="006C3D4B"/>
    <w:rsid w:val="006E12AD"/>
    <w:rsid w:val="006F7FE2"/>
    <w:rsid w:val="00701630"/>
    <w:rsid w:val="00746544"/>
    <w:rsid w:val="00753188"/>
    <w:rsid w:val="00757770"/>
    <w:rsid w:val="00771B98"/>
    <w:rsid w:val="00782637"/>
    <w:rsid w:val="00792BF1"/>
    <w:rsid w:val="00795362"/>
    <w:rsid w:val="007A0584"/>
    <w:rsid w:val="007D0316"/>
    <w:rsid w:val="007F0E0A"/>
    <w:rsid w:val="007F116C"/>
    <w:rsid w:val="007F4459"/>
    <w:rsid w:val="00820105"/>
    <w:rsid w:val="008227EE"/>
    <w:rsid w:val="00823DC3"/>
    <w:rsid w:val="00831C80"/>
    <w:rsid w:val="0083589F"/>
    <w:rsid w:val="00863A40"/>
    <w:rsid w:val="00890D65"/>
    <w:rsid w:val="008B13BF"/>
    <w:rsid w:val="008B37F1"/>
    <w:rsid w:val="008B3EAE"/>
    <w:rsid w:val="008C04F3"/>
    <w:rsid w:val="008D2539"/>
    <w:rsid w:val="00937538"/>
    <w:rsid w:val="00955B85"/>
    <w:rsid w:val="009D017A"/>
    <w:rsid w:val="009D076F"/>
    <w:rsid w:val="009E0EDF"/>
    <w:rsid w:val="00A44A9B"/>
    <w:rsid w:val="00A532C8"/>
    <w:rsid w:val="00A878D0"/>
    <w:rsid w:val="00AA2181"/>
    <w:rsid w:val="00AA379F"/>
    <w:rsid w:val="00AC199E"/>
    <w:rsid w:val="00AC4408"/>
    <w:rsid w:val="00AC7320"/>
    <w:rsid w:val="00AF5004"/>
    <w:rsid w:val="00B01763"/>
    <w:rsid w:val="00B0576F"/>
    <w:rsid w:val="00B248E0"/>
    <w:rsid w:val="00B248E2"/>
    <w:rsid w:val="00B60733"/>
    <w:rsid w:val="00B66729"/>
    <w:rsid w:val="00B7057A"/>
    <w:rsid w:val="00B95513"/>
    <w:rsid w:val="00BC3946"/>
    <w:rsid w:val="00BE33E8"/>
    <w:rsid w:val="00C01F15"/>
    <w:rsid w:val="00C036F9"/>
    <w:rsid w:val="00C04A92"/>
    <w:rsid w:val="00C050DE"/>
    <w:rsid w:val="00C05EB9"/>
    <w:rsid w:val="00C10DE5"/>
    <w:rsid w:val="00C20DB4"/>
    <w:rsid w:val="00C60619"/>
    <w:rsid w:val="00C8153C"/>
    <w:rsid w:val="00C86023"/>
    <w:rsid w:val="00C90E59"/>
    <w:rsid w:val="00CA485F"/>
    <w:rsid w:val="00CC3D9E"/>
    <w:rsid w:val="00CE0EEE"/>
    <w:rsid w:val="00CF7F8B"/>
    <w:rsid w:val="00D02128"/>
    <w:rsid w:val="00D04022"/>
    <w:rsid w:val="00D104DD"/>
    <w:rsid w:val="00D339CB"/>
    <w:rsid w:val="00D45E1A"/>
    <w:rsid w:val="00D950AB"/>
    <w:rsid w:val="00DA110B"/>
    <w:rsid w:val="00DB4B2C"/>
    <w:rsid w:val="00DB5DD6"/>
    <w:rsid w:val="00DC332E"/>
    <w:rsid w:val="00DC6118"/>
    <w:rsid w:val="00DD3459"/>
    <w:rsid w:val="00DF3A45"/>
    <w:rsid w:val="00DF54C4"/>
    <w:rsid w:val="00E1025F"/>
    <w:rsid w:val="00E10C03"/>
    <w:rsid w:val="00E110A9"/>
    <w:rsid w:val="00E202FE"/>
    <w:rsid w:val="00E21A71"/>
    <w:rsid w:val="00E5089B"/>
    <w:rsid w:val="00E548D6"/>
    <w:rsid w:val="00E80257"/>
    <w:rsid w:val="00EA4106"/>
    <w:rsid w:val="00ED5881"/>
    <w:rsid w:val="00EF5319"/>
    <w:rsid w:val="00F01ABA"/>
    <w:rsid w:val="00F421FF"/>
    <w:rsid w:val="00F52D52"/>
    <w:rsid w:val="00F61425"/>
    <w:rsid w:val="00F70F16"/>
    <w:rsid w:val="00F77A16"/>
    <w:rsid w:val="00F863B3"/>
    <w:rsid w:val="00FA119E"/>
    <w:rsid w:val="00FA7863"/>
    <w:rsid w:val="00FB0DA1"/>
    <w:rsid w:val="00FB26E3"/>
    <w:rsid w:val="00FE6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25E1"/>
  <w15:chartTrackingRefBased/>
  <w15:docId w15:val="{FE51858D-AF87-46C1-A877-BE9AF01F0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022"/>
    <w:pPr>
      <w:ind w:left="720"/>
      <w:contextualSpacing/>
    </w:pPr>
  </w:style>
  <w:style w:type="table" w:styleId="TableGrid">
    <w:name w:val="Table Grid"/>
    <w:basedOn w:val="TableNormal"/>
    <w:uiPriority w:val="39"/>
    <w:rsid w:val="00E50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89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360EC"/>
    <w:rPr>
      <w:sz w:val="16"/>
      <w:szCs w:val="16"/>
    </w:rPr>
  </w:style>
  <w:style w:type="paragraph" w:styleId="CommentText">
    <w:name w:val="annotation text"/>
    <w:basedOn w:val="Normal"/>
    <w:link w:val="CommentTextChar"/>
    <w:uiPriority w:val="99"/>
    <w:semiHidden/>
    <w:unhideWhenUsed/>
    <w:rsid w:val="003360EC"/>
    <w:pPr>
      <w:spacing w:line="240" w:lineRule="auto"/>
    </w:pPr>
    <w:rPr>
      <w:sz w:val="20"/>
      <w:szCs w:val="20"/>
    </w:rPr>
  </w:style>
  <w:style w:type="character" w:customStyle="1" w:styleId="CommentTextChar">
    <w:name w:val="Comment Text Char"/>
    <w:basedOn w:val="DefaultParagraphFont"/>
    <w:link w:val="CommentText"/>
    <w:uiPriority w:val="99"/>
    <w:semiHidden/>
    <w:rsid w:val="003360EC"/>
    <w:rPr>
      <w:sz w:val="20"/>
      <w:szCs w:val="20"/>
    </w:rPr>
  </w:style>
  <w:style w:type="paragraph" w:styleId="CommentSubject">
    <w:name w:val="annotation subject"/>
    <w:basedOn w:val="CommentText"/>
    <w:next w:val="CommentText"/>
    <w:link w:val="CommentSubjectChar"/>
    <w:uiPriority w:val="99"/>
    <w:semiHidden/>
    <w:unhideWhenUsed/>
    <w:rsid w:val="003360EC"/>
    <w:rPr>
      <w:b/>
      <w:bCs/>
    </w:rPr>
  </w:style>
  <w:style w:type="character" w:customStyle="1" w:styleId="CommentSubjectChar">
    <w:name w:val="Comment Subject Char"/>
    <w:basedOn w:val="CommentTextChar"/>
    <w:link w:val="CommentSubject"/>
    <w:uiPriority w:val="99"/>
    <w:semiHidden/>
    <w:rsid w:val="003360EC"/>
    <w:rPr>
      <w:b/>
      <w:bCs/>
      <w:sz w:val="20"/>
      <w:szCs w:val="20"/>
    </w:rPr>
  </w:style>
  <w:style w:type="paragraph" w:styleId="BalloonText">
    <w:name w:val="Balloon Text"/>
    <w:basedOn w:val="Normal"/>
    <w:link w:val="BalloonTextChar"/>
    <w:uiPriority w:val="99"/>
    <w:semiHidden/>
    <w:unhideWhenUsed/>
    <w:rsid w:val="003360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0EC"/>
    <w:rPr>
      <w:rFonts w:ascii="Segoe UI" w:hAnsi="Segoe UI" w:cs="Segoe UI"/>
      <w:sz w:val="18"/>
      <w:szCs w:val="18"/>
    </w:rPr>
  </w:style>
  <w:style w:type="character" w:styleId="PlaceholderText">
    <w:name w:val="Placeholder Text"/>
    <w:basedOn w:val="DefaultParagraphFont"/>
    <w:uiPriority w:val="99"/>
    <w:semiHidden/>
    <w:rsid w:val="00B248E2"/>
    <w:rPr>
      <w:color w:val="808080"/>
    </w:rPr>
  </w:style>
  <w:style w:type="character" w:customStyle="1" w:styleId="gghfmyibcob">
    <w:name w:val="gghfmyibcob"/>
    <w:basedOn w:val="DefaultParagraphFont"/>
    <w:rsid w:val="0083589F"/>
  </w:style>
  <w:style w:type="paragraph" w:styleId="Bibliography">
    <w:name w:val="Bibliography"/>
    <w:basedOn w:val="Normal"/>
    <w:next w:val="Normal"/>
    <w:uiPriority w:val="37"/>
    <w:unhideWhenUsed/>
    <w:rsid w:val="00DC611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03671">
      <w:bodyDiv w:val="1"/>
      <w:marLeft w:val="0"/>
      <w:marRight w:val="0"/>
      <w:marTop w:val="0"/>
      <w:marBottom w:val="0"/>
      <w:divBdr>
        <w:top w:val="none" w:sz="0" w:space="0" w:color="auto"/>
        <w:left w:val="none" w:sz="0" w:space="0" w:color="auto"/>
        <w:bottom w:val="none" w:sz="0" w:space="0" w:color="auto"/>
        <w:right w:val="none" w:sz="0" w:space="0" w:color="auto"/>
      </w:divBdr>
    </w:div>
    <w:div w:id="609707512">
      <w:bodyDiv w:val="1"/>
      <w:marLeft w:val="0"/>
      <w:marRight w:val="0"/>
      <w:marTop w:val="0"/>
      <w:marBottom w:val="0"/>
      <w:divBdr>
        <w:top w:val="none" w:sz="0" w:space="0" w:color="auto"/>
        <w:left w:val="none" w:sz="0" w:space="0" w:color="auto"/>
        <w:bottom w:val="none" w:sz="0" w:space="0" w:color="auto"/>
        <w:right w:val="none" w:sz="0" w:space="0" w:color="auto"/>
      </w:divBdr>
    </w:div>
    <w:div w:id="1004209348">
      <w:bodyDiv w:val="1"/>
      <w:marLeft w:val="0"/>
      <w:marRight w:val="0"/>
      <w:marTop w:val="0"/>
      <w:marBottom w:val="0"/>
      <w:divBdr>
        <w:top w:val="none" w:sz="0" w:space="0" w:color="auto"/>
        <w:left w:val="none" w:sz="0" w:space="0" w:color="auto"/>
        <w:bottom w:val="none" w:sz="0" w:space="0" w:color="auto"/>
        <w:right w:val="none" w:sz="0" w:space="0" w:color="auto"/>
      </w:divBdr>
    </w:div>
    <w:div w:id="1013191172">
      <w:bodyDiv w:val="1"/>
      <w:marLeft w:val="0"/>
      <w:marRight w:val="0"/>
      <w:marTop w:val="0"/>
      <w:marBottom w:val="0"/>
      <w:divBdr>
        <w:top w:val="none" w:sz="0" w:space="0" w:color="auto"/>
        <w:left w:val="none" w:sz="0" w:space="0" w:color="auto"/>
        <w:bottom w:val="none" w:sz="0" w:space="0" w:color="auto"/>
        <w:right w:val="none" w:sz="0" w:space="0" w:color="auto"/>
      </w:divBdr>
    </w:div>
    <w:div w:id="1499737054">
      <w:bodyDiv w:val="1"/>
      <w:marLeft w:val="0"/>
      <w:marRight w:val="0"/>
      <w:marTop w:val="0"/>
      <w:marBottom w:val="0"/>
      <w:divBdr>
        <w:top w:val="none" w:sz="0" w:space="0" w:color="auto"/>
        <w:left w:val="none" w:sz="0" w:space="0" w:color="auto"/>
        <w:bottom w:val="none" w:sz="0" w:space="0" w:color="auto"/>
        <w:right w:val="none" w:sz="0" w:space="0" w:color="auto"/>
      </w:divBdr>
    </w:div>
    <w:div w:id="1525947633">
      <w:bodyDiv w:val="1"/>
      <w:marLeft w:val="0"/>
      <w:marRight w:val="0"/>
      <w:marTop w:val="0"/>
      <w:marBottom w:val="0"/>
      <w:divBdr>
        <w:top w:val="none" w:sz="0" w:space="0" w:color="auto"/>
        <w:left w:val="none" w:sz="0" w:space="0" w:color="auto"/>
        <w:bottom w:val="none" w:sz="0" w:space="0" w:color="auto"/>
        <w:right w:val="none" w:sz="0" w:space="0" w:color="auto"/>
      </w:divBdr>
    </w:div>
    <w:div w:id="1554731454">
      <w:bodyDiv w:val="1"/>
      <w:marLeft w:val="0"/>
      <w:marRight w:val="0"/>
      <w:marTop w:val="0"/>
      <w:marBottom w:val="0"/>
      <w:divBdr>
        <w:top w:val="none" w:sz="0" w:space="0" w:color="auto"/>
        <w:left w:val="none" w:sz="0" w:space="0" w:color="auto"/>
        <w:bottom w:val="none" w:sz="0" w:space="0" w:color="auto"/>
        <w:right w:val="none" w:sz="0" w:space="0" w:color="auto"/>
      </w:divBdr>
    </w:div>
    <w:div w:id="1693916106">
      <w:bodyDiv w:val="1"/>
      <w:marLeft w:val="0"/>
      <w:marRight w:val="0"/>
      <w:marTop w:val="0"/>
      <w:marBottom w:val="0"/>
      <w:divBdr>
        <w:top w:val="none" w:sz="0" w:space="0" w:color="auto"/>
        <w:left w:val="none" w:sz="0" w:space="0" w:color="auto"/>
        <w:bottom w:val="none" w:sz="0" w:space="0" w:color="auto"/>
        <w:right w:val="none" w:sz="0" w:space="0" w:color="auto"/>
      </w:divBdr>
    </w:div>
    <w:div w:id="1953392081">
      <w:bodyDiv w:val="1"/>
      <w:marLeft w:val="0"/>
      <w:marRight w:val="0"/>
      <w:marTop w:val="0"/>
      <w:marBottom w:val="0"/>
      <w:divBdr>
        <w:top w:val="none" w:sz="0" w:space="0" w:color="auto"/>
        <w:left w:val="none" w:sz="0" w:space="0" w:color="auto"/>
        <w:bottom w:val="none" w:sz="0" w:space="0" w:color="auto"/>
        <w:right w:val="none" w:sz="0" w:space="0" w:color="auto"/>
      </w:divBdr>
    </w:div>
    <w:div w:id="209238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microsoft.com/office/2016/09/relationships/commentsIds" Target="commentsId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370D-4E53-4EC1-B36E-E7159974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7460</TotalTime>
  <Pages>21</Pages>
  <Words>7074</Words>
  <Characters>40327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Amonkar</dc:creator>
  <cp:keywords/>
  <dc:description/>
  <cp:lastModifiedBy>Yash Amonkar</cp:lastModifiedBy>
  <cp:revision>115</cp:revision>
  <dcterms:created xsi:type="dcterms:W3CDTF">2019-08-05T16:39:00Z</dcterms:created>
  <dcterms:modified xsi:type="dcterms:W3CDTF">2019-09-22T21:50:00Z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id="ci04ru6H"/&gt;&lt;style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