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4D0" w:rsidRDefault="004B37CF">
      <w:pPr>
        <w:keepNext/>
        <w:spacing w:before="120" w:after="80"/>
      </w:pPr>
      <w:r>
        <w:rPr>
          <w:b/>
          <w:color w:val="0B4F8A"/>
          <w:sz w:val="24"/>
        </w:rPr>
        <w:t>ABSTRACT</w:t>
      </w:r>
    </w:p>
    <w:p w:rsidR="002834D0" w:rsidRDefault="004B37CF">
      <w:pPr>
        <w:spacing w:before="20" w:after="120"/>
      </w:pPr>
      <w:r>
        <w:rPr>
          <w:b/>
          <w:color w:val="1F1F1F"/>
          <w:sz w:val="22"/>
        </w:rPr>
        <w:t>Causal Inference and Uplift Engine for Product Experimentation</w:t>
      </w:r>
    </w:p>
    <w:p w:rsidR="002834D0" w:rsidRDefault="004B37CF">
      <w:pPr>
        <w:spacing w:before="20" w:after="120"/>
      </w:pPr>
      <w:r>
        <w:rPr>
          <w:color w:val="1F1F1F"/>
          <w:sz w:val="21"/>
        </w:rPr>
        <w:t>Project members (alphabetical by last name): He, Jim; Khond, Ameya; Mankar, Prathamesh; Sawant, Tejas; Shinde, Yashashree</w:t>
      </w:r>
    </w:p>
    <w:p w:rsidR="002834D0" w:rsidRDefault="004B37CF">
      <w:pPr>
        <w:spacing w:before="20" w:after="120"/>
      </w:pPr>
      <w:r>
        <w:rPr>
          <w:color w:val="1F1F1F"/>
          <w:sz w:val="21"/>
        </w:rPr>
        <w:t>Team number, section and topic number: Team 4, Section 22, Topic 20</w:t>
      </w:r>
    </w:p>
    <w:p w:rsidR="002834D0" w:rsidRDefault="004B37CF">
      <w:pPr>
        <w:spacing w:before="20" w:after="120"/>
      </w:pPr>
      <w:r>
        <w:rPr>
          <w:color w:val="1F1F1F"/>
          <w:sz w:val="21"/>
        </w:rPr>
        <w:t>Date: September 9, 2026</w:t>
      </w:r>
    </w:p>
    <w:p w:rsidR="002834D0" w:rsidRDefault="004B37CF">
      <w:pPr>
        <w:spacing w:before="80" w:after="120" w:line="252" w:lineRule="auto"/>
      </w:pPr>
      <w:r>
        <w:rPr>
          <w:color w:val="1F1F1F"/>
          <w:sz w:val="21"/>
        </w:rPr>
        <w:t>Autonomous-driving teams evaluate new motion planners across thousands of simulation scenarios, yet aggregate benchmark scores can hide scenario-specific regressions: a candidate planner may improve performance in dense intersections while degrading behavior during merges or pedestrian interactions. This project develops an experimentation engine that treats a planner change as an intervention and estimates heterogeneous treatment effects across driving scenarios, enabling engineers to identify where a new planner helps, where it hurts, and which cases should be prioritized for regression testing. The primary benchmark is the publicly available nuPlan v1.1 dataset and closed-loop simulation framework, which contains more than 1,200 hours of driving data from Boston, Pittsburgh, Las Vegas, and Singapore; public access has been confirmed and download is pending. For each selected scenario, the same initial scene will be evaluated under a baseline planner and a candidate planner, producing paired simulation outcomes and scenario covariates such as road geometry, agent density, interaction type, speed, and traffic context. The team will build four models: (1) a gradient-boosted T-learner, (2) a Causal Forest, (3) a Doubly Robust learner, and (4) a policy-learning model that ranks scenarios by estimated planner benefit or regression risk. Separately, the team will reproduce the IDM Planner closed-loop reactive score of 0.76 reported by Karnchanachari et al. (2024, Table III) to verify the nuPlan evaluation pipeline; this published baseline is not one of the four causal models. Causal estimators will be evaluated on held-out paired simulations using PEHE, treatment-effect RMSE, policy regret, and regression-retrieval precision at fixed review budgets, with a target of at least 15% lower PEHE than the T-learner and at least 20% higher top-decile regression retrieval than random prioritization. By the end of DATA 298A, the team will deliver a versioned scenario pipeline, reproduced nuPlan baseline, trained first causal model, experiment tracking, and a deployed prototype dashboard. The completed system is intended for autonomous-driving planning, simulation, and safety-validation teams seeking scenario-level evidence for planner releases rather than relying only on average benchmark performance.</w:t>
      </w:r>
    </w:p>
    <w:p w:rsidR="002834D0" w:rsidRDefault="004B37CF">
      <w:pPr>
        <w:spacing w:before="20" w:after="120"/>
      </w:pPr>
      <w:r>
        <w:rPr>
          <w:b/>
          <w:sz w:val="21"/>
        </w:rPr>
        <w:t>Keywords:</w:t>
      </w:r>
      <w:r>
        <w:rPr>
          <w:sz w:val="21"/>
        </w:rPr>
        <w:t xml:space="preserve"> causal inference, heterogeneous treatment effects, autonomous driving, motion planning, regression testing, nuPlan</w:t>
      </w:r>
    </w:p>
    <w:p w:rsidR="002834D0" w:rsidRDefault="004B37CF">
      <w:pPr>
        <w:keepNext/>
        <w:pageBreakBefore/>
        <w:spacing w:before="120" w:after="80"/>
      </w:pPr>
      <w:r>
        <w:rPr>
          <w:b/>
          <w:color w:val="0B4F8A"/>
          <w:sz w:val="24"/>
        </w:rPr>
        <w:lastRenderedPageBreak/>
        <w:t>Project information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5184"/>
      </w:tblGrid>
      <w:tr w:rsidR="002834D0">
        <w:tc>
          <w:tcPr>
            <w:tcW w:w="4320" w:type="dxa"/>
            <w:shd w:val="clear" w:color="auto" w:fill="E8EEF5"/>
          </w:tcPr>
          <w:p w:rsidR="002834D0" w:rsidRDefault="004B37CF">
            <w:pPr>
              <w:spacing w:before="40" w:after="40"/>
            </w:pPr>
            <w:r>
              <w:rPr>
                <w:b/>
                <w:color w:val="0B4F8A"/>
                <w:sz w:val="19"/>
              </w:rPr>
              <w:t>Item</w:t>
            </w:r>
          </w:p>
        </w:tc>
        <w:tc>
          <w:tcPr>
            <w:tcW w:w="5184" w:type="dxa"/>
            <w:shd w:val="clear" w:color="auto" w:fill="E8EEF5"/>
          </w:tcPr>
          <w:p w:rsidR="002834D0" w:rsidRDefault="004B37CF">
            <w:pPr>
              <w:spacing w:before="40" w:after="40"/>
            </w:pPr>
            <w:r>
              <w:rPr>
                <w:b/>
                <w:color w:val="0B4F8A"/>
                <w:sz w:val="19"/>
              </w:rPr>
              <w:t>Your entry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Abstract word count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327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Four proposed models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Gradient-boosted T-learner; Causal Forest; Doubly Robust (DR) learner; Policy-learning model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Published baseline to reproduce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Karnchanachari et al. (2024) - IDM Planner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Exact baseline result location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Table III - IDM Planner closed-loop reactive score = 0.76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Benchmark or dataset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nuPlan v1.1 dataset and closed-loop planning benchmark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Dataset access status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Pending download; public access confirmed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Primary evaluation metric(s)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PEHE; treatment-effect RMSE; policy regret; regression-retrieval precision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Target success criterion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At least 15% lower PEHE than the T-learner and at least 20% higher top-decile regression retrieval than random prioritization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>GitHub repository URL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TBD</w:t>
            </w:r>
          </w:p>
        </w:tc>
      </w:tr>
      <w:tr w:rsidR="002834D0">
        <w:tc>
          <w:tcPr>
            <w:tcW w:w="4320" w:type="dxa"/>
          </w:tcPr>
          <w:p w:rsidR="002834D0" w:rsidRDefault="004B37CF">
            <w:pPr>
              <w:spacing w:before="40" w:after="40"/>
            </w:pPr>
            <w:r>
              <w:rPr>
                <w:color w:val="1F1F1F"/>
                <w:sz w:val="19"/>
              </w:rPr>
              <w:t xml:space="preserve">Linear </w:t>
            </w:r>
            <w:r>
              <w:rPr>
                <w:color w:val="1F1F1F"/>
                <w:sz w:val="19"/>
              </w:rPr>
              <w:t>board URL (instructor + ISA as admins)</w:t>
            </w:r>
          </w:p>
        </w:tc>
        <w:tc>
          <w:tcPr>
            <w:tcW w:w="5184" w:type="dxa"/>
          </w:tcPr>
          <w:p>
            <w:r>
              <w:rPr>
                <w:b w:val="0"/>
                <w:i w:val="0"/>
                <w:color w:val="1F1F1F"/>
                <w:sz w:val="19"/>
              </w:rPr>
              <w:t>TBD</w:t>
            </w:r>
          </w:p>
        </w:tc>
      </w:tr>
    </w:tbl>
    <w:p w:rsidR="002834D0" w:rsidRDefault="004B37CF">
      <w:pPr>
        <w:keepNext/>
        <w:spacing w:before="120" w:after="80"/>
      </w:pPr>
      <w:r>
        <w:rPr>
          <w:b/>
          <w:color w:val="0B4F8A"/>
          <w:sz w:val="24"/>
        </w:rPr>
        <w:t>References</w:t>
      </w:r>
    </w:p>
    <w:p w:rsidR="002834D0" w:rsidRDefault="004B37CF">
      <w:pPr>
        <w:spacing w:before="20" w:after="0"/>
      </w:pPr>
      <w:r>
        <w:rPr>
          <w:color w:val="1F1F1F"/>
          <w:sz w:val="19"/>
        </w:rPr>
        <w:t>Karnchanachari, N., Geromichalos, D., Tan, K. S., Li, N., Eriksen, C., Yaghoubi, S., Mehdipour, N., Bernasconi, G., Fong, W. K., Guo, Y., &amp; Caesar, H. (2024). Towards learning-based planning: The nuPlan benchmark for real-world autonomous driving. IEEE International Conference on Robotics and Automation (ICRA), 629-636. https://doi.org/10.1109/ICRA57147.2024.10610077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4D0"/>
    <w:rsid w:val="0029639D"/>
    <w:rsid w:val="00326F90"/>
    <w:rsid w:val="004B37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50B48"/>
  <w14:defaultImageDpi w14:val="300"/>
  <w15:docId w15:val="{E5EF1675-2407-4416-AF70-C726A7F9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EBF01-6A0E-4469-ACC9-89BF75E1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4881</Words>
  <Characters>27828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Y Shim</cp:lastModifiedBy>
  <cp:revision>2</cp:revision>
  <dcterms:created xsi:type="dcterms:W3CDTF">2013-12-23T23:15:00Z</dcterms:created>
  <dcterms:modified xsi:type="dcterms:W3CDTF">2026-09-03T19:16:00Z</dcterms:modified>
  <cp:category/>
</cp:coreProperties>
</file>