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CDB991">
      <w:pPr>
        <w:jc w:val="center"/>
        <w:rPr>
          <w:rFonts w:hint="default" w:ascii="Calibri" w:hAnsi="Calibri" w:cs="Calibri" w:eastAsiaTheme="minorEastAsia"/>
          <w:b/>
          <w:bCs/>
          <w:sz w:val="52"/>
          <w:szCs w:val="52"/>
        </w:rPr>
      </w:pPr>
      <w:r>
        <w:rPr>
          <w:rFonts w:hint="default" w:ascii="Calibri" w:hAnsi="Calibri" w:cs="Calibri" w:eastAsiaTheme="minorEastAsia"/>
          <w:b/>
          <w:bCs/>
          <w:sz w:val="52"/>
          <w:szCs w:val="52"/>
        </w:rPr>
        <w:t>STEP 10 — FINANCIAL ANALYSIS &amp; INSIGHTS</w:t>
      </w:r>
    </w:p>
    <w:p w14:paraId="554D9839">
      <w:pPr>
        <w:rPr>
          <w:rFonts w:hint="default" w:ascii="Calibri" w:hAnsi="Calibri" w:cs="Calibri"/>
          <w:sz w:val="28"/>
          <w:szCs w:val="28"/>
        </w:rPr>
      </w:pPr>
    </w:p>
    <w:p w14:paraId="1BC4848C">
      <w:pPr>
        <w:rPr>
          <w:rFonts w:hint="default" w:ascii="Calibri" w:hAnsi="Calibri" w:cs="Calibri"/>
          <w:sz w:val="28"/>
          <w:szCs w:val="28"/>
        </w:rPr>
      </w:pPr>
      <w:r>
        <w:rPr>
          <w:rFonts w:hint="default" w:ascii="Calibri" w:hAnsi="Calibri" w:cs="Calibri"/>
          <w:sz w:val="28"/>
          <w:szCs w:val="28"/>
        </w:rPr>
        <w:t>1. Which AMC has the highest AUM?</w:t>
      </w:r>
    </w:p>
    <w:p w14:paraId="0E6E9499">
      <w:pPr>
        <w:rPr>
          <w:rFonts w:hint="default" w:ascii="Calibri" w:hAnsi="Calibri" w:cs="Calibri"/>
          <w:sz w:val="28"/>
          <w:szCs w:val="28"/>
        </w:rPr>
      </w:pPr>
    </w:p>
    <w:p w14:paraId="77FD53C9">
      <w:pPr>
        <w:rPr>
          <w:rFonts w:hint="default" w:ascii="Calibri" w:hAnsi="Calibri" w:cs="Calibri"/>
          <w:sz w:val="28"/>
          <w:szCs w:val="28"/>
        </w:rPr>
      </w:pPr>
      <w:r>
        <w:rPr>
          <w:rFonts w:hint="default" w:ascii="Calibri" w:hAnsi="Calibri" w:cs="Calibri"/>
          <w:sz w:val="28"/>
          <w:szCs w:val="28"/>
        </w:rPr>
        <w:t>Answer:</w:t>
      </w:r>
    </w:p>
    <w:p w14:paraId="4196DDC2">
      <w:pPr>
        <w:rPr>
          <w:rFonts w:hint="default" w:ascii="Calibri" w:hAnsi="Calibri" w:cs="Calibri"/>
          <w:sz w:val="28"/>
          <w:szCs w:val="28"/>
        </w:rPr>
      </w:pPr>
      <w:r>
        <w:rPr>
          <w:rFonts w:hint="default" w:ascii="Calibri" w:hAnsi="Calibri" w:cs="Calibri"/>
          <w:sz w:val="28"/>
          <w:szCs w:val="28"/>
        </w:rPr>
        <w:t>ICICI Prudential Mutual Fund has the highest Assets Under Management (AUM) in the analyzed dataset, with approximately ₹4,45,257 crore.</w:t>
      </w:r>
    </w:p>
    <w:p w14:paraId="05F34C0E">
      <w:pPr>
        <w:rPr>
          <w:rFonts w:hint="default" w:ascii="Calibri" w:hAnsi="Calibri" w:cs="Calibri"/>
          <w:sz w:val="28"/>
          <w:szCs w:val="28"/>
        </w:rPr>
      </w:pPr>
    </w:p>
    <w:p w14:paraId="3BEE87BA">
      <w:pPr>
        <w:rPr>
          <w:rFonts w:hint="default" w:ascii="Calibri" w:hAnsi="Calibri" w:cs="Calibri"/>
          <w:sz w:val="28"/>
          <w:szCs w:val="28"/>
        </w:rPr>
      </w:pPr>
      <w:r>
        <w:rPr>
          <w:rFonts w:hint="default" w:ascii="Calibri" w:hAnsi="Calibri" w:cs="Calibri"/>
          <w:sz w:val="28"/>
          <w:szCs w:val="28"/>
        </w:rPr>
        <w:t>Insight:</w:t>
      </w:r>
    </w:p>
    <w:p w14:paraId="1400A51D">
      <w:pPr>
        <w:rPr>
          <w:rFonts w:hint="default" w:ascii="Calibri" w:hAnsi="Calibri" w:cs="Calibri"/>
          <w:sz w:val="28"/>
          <w:szCs w:val="28"/>
        </w:rPr>
      </w:pPr>
      <w:r>
        <w:rPr>
          <w:rFonts w:hint="default" w:ascii="Calibri" w:hAnsi="Calibri" w:cs="Calibri"/>
          <w:sz w:val="28"/>
          <w:szCs w:val="28"/>
        </w:rPr>
        <w:t>This shows that ICICI Prudential Mutual Fund manages a large amount of assets compared with the other AMCs present in the dataset.</w:t>
      </w:r>
    </w:p>
    <w:p w14:paraId="3D19B27E">
      <w:pPr>
        <w:rPr>
          <w:rFonts w:hint="default" w:ascii="Calibri" w:hAnsi="Calibri" w:cs="Calibri"/>
          <w:sz w:val="28"/>
          <w:szCs w:val="28"/>
        </w:rPr>
      </w:pPr>
    </w:p>
    <w:p w14:paraId="25E41A9E">
      <w:pPr>
        <w:rPr>
          <w:rFonts w:hint="default" w:ascii="Calibri" w:hAnsi="Calibri" w:cs="Calibri"/>
          <w:sz w:val="28"/>
          <w:szCs w:val="28"/>
        </w:rPr>
      </w:pPr>
    </w:p>
    <w:p w14:paraId="27200454">
      <w:pPr>
        <w:rPr>
          <w:rFonts w:hint="default" w:ascii="Calibri" w:hAnsi="Calibri" w:cs="Calibri"/>
          <w:sz w:val="28"/>
          <w:szCs w:val="28"/>
        </w:rPr>
      </w:pPr>
      <w:r>
        <w:rPr>
          <w:rFonts w:hint="default" w:ascii="Calibri" w:hAnsi="Calibri" w:cs="Calibri"/>
          <w:sz w:val="28"/>
          <w:szCs w:val="28"/>
        </w:rPr>
        <w:t>2. Which category has the highest return?</w:t>
      </w:r>
    </w:p>
    <w:p w14:paraId="3E7289AB">
      <w:pPr>
        <w:rPr>
          <w:rFonts w:hint="default" w:ascii="Calibri" w:hAnsi="Calibri" w:cs="Calibri"/>
          <w:sz w:val="28"/>
          <w:szCs w:val="28"/>
        </w:rPr>
      </w:pPr>
    </w:p>
    <w:p w14:paraId="4D7077D1">
      <w:pPr>
        <w:rPr>
          <w:rFonts w:hint="default" w:ascii="Calibri" w:hAnsi="Calibri" w:cs="Calibri"/>
          <w:sz w:val="28"/>
          <w:szCs w:val="28"/>
        </w:rPr>
      </w:pPr>
      <w:r>
        <w:rPr>
          <w:rFonts w:hint="default" w:ascii="Calibri" w:hAnsi="Calibri" w:cs="Calibri"/>
          <w:sz w:val="28"/>
          <w:szCs w:val="28"/>
        </w:rPr>
        <w:t>Answer:</w:t>
      </w:r>
    </w:p>
    <w:p w14:paraId="5CA7E216">
      <w:pPr>
        <w:rPr>
          <w:rFonts w:hint="default" w:ascii="Calibri" w:hAnsi="Calibri" w:cs="Calibri"/>
          <w:sz w:val="28"/>
          <w:szCs w:val="28"/>
        </w:rPr>
      </w:pPr>
      <w:r>
        <w:rPr>
          <w:rFonts w:hint="default" w:ascii="Calibri" w:hAnsi="Calibri" w:cs="Calibri"/>
          <w:sz w:val="28"/>
          <w:szCs w:val="28"/>
        </w:rPr>
        <w:t>The Equity category has the highest average 3-year return in the analyzed dataset, with an average return of approximately 29.74%.</w:t>
      </w:r>
    </w:p>
    <w:p w14:paraId="2DA848A0">
      <w:pPr>
        <w:rPr>
          <w:rFonts w:hint="default" w:ascii="Calibri" w:hAnsi="Calibri" w:cs="Calibri"/>
          <w:sz w:val="28"/>
          <w:szCs w:val="28"/>
        </w:rPr>
      </w:pPr>
    </w:p>
    <w:p w14:paraId="14BB2C75">
      <w:pPr>
        <w:rPr>
          <w:rFonts w:hint="default" w:ascii="Calibri" w:hAnsi="Calibri" w:cs="Calibri"/>
          <w:sz w:val="28"/>
          <w:szCs w:val="28"/>
        </w:rPr>
      </w:pPr>
      <w:r>
        <w:rPr>
          <w:rFonts w:hint="default" w:ascii="Calibri" w:hAnsi="Calibri" w:cs="Calibri"/>
          <w:sz w:val="28"/>
          <w:szCs w:val="28"/>
        </w:rPr>
        <w:t>Insight:</w:t>
      </w:r>
    </w:p>
    <w:p w14:paraId="7183F297">
      <w:pPr>
        <w:rPr>
          <w:rFonts w:hint="default" w:ascii="Calibri" w:hAnsi="Calibri" w:cs="Calibri"/>
          <w:sz w:val="28"/>
          <w:szCs w:val="28"/>
        </w:rPr>
      </w:pPr>
      <w:r>
        <w:rPr>
          <w:rFonts w:hint="default" w:ascii="Calibri" w:hAnsi="Calibri" w:cs="Calibri"/>
          <w:sz w:val="28"/>
          <w:szCs w:val="28"/>
        </w:rPr>
        <w:t>The Equity category shows the highest average 3-year return among the categories analyzed. However, higher returns can also be associated with higher levels of investment risk.</w:t>
      </w:r>
    </w:p>
    <w:p w14:paraId="61715839">
      <w:pPr>
        <w:rPr>
          <w:rFonts w:hint="default" w:ascii="Calibri" w:hAnsi="Calibri" w:cs="Calibri"/>
          <w:sz w:val="28"/>
          <w:szCs w:val="28"/>
        </w:rPr>
      </w:pPr>
    </w:p>
    <w:p w14:paraId="6E3A69A2">
      <w:pPr>
        <w:rPr>
          <w:rFonts w:hint="default" w:ascii="Calibri" w:hAnsi="Calibri" w:cs="Calibri"/>
          <w:sz w:val="28"/>
          <w:szCs w:val="28"/>
        </w:rPr>
      </w:pPr>
    </w:p>
    <w:p w14:paraId="77874643">
      <w:pPr>
        <w:rPr>
          <w:rFonts w:hint="default" w:ascii="Calibri" w:hAnsi="Calibri" w:cs="Calibri"/>
          <w:sz w:val="28"/>
          <w:szCs w:val="28"/>
        </w:rPr>
      </w:pPr>
      <w:r>
        <w:rPr>
          <w:rFonts w:hint="default" w:ascii="Calibri" w:hAnsi="Calibri" w:cs="Calibri"/>
          <w:sz w:val="28"/>
          <w:szCs w:val="28"/>
        </w:rPr>
        <w:t>3. Which category has the lowest expense ratio?</w:t>
      </w:r>
    </w:p>
    <w:p w14:paraId="2015987B">
      <w:pPr>
        <w:rPr>
          <w:rFonts w:hint="default" w:ascii="Calibri" w:hAnsi="Calibri" w:cs="Calibri"/>
          <w:sz w:val="28"/>
          <w:szCs w:val="28"/>
        </w:rPr>
      </w:pPr>
    </w:p>
    <w:p w14:paraId="7E21195B">
      <w:pPr>
        <w:rPr>
          <w:rFonts w:hint="default" w:ascii="Calibri" w:hAnsi="Calibri" w:cs="Calibri"/>
          <w:sz w:val="28"/>
          <w:szCs w:val="28"/>
        </w:rPr>
      </w:pPr>
      <w:r>
        <w:rPr>
          <w:rFonts w:hint="default" w:ascii="Calibri" w:hAnsi="Calibri" w:cs="Calibri"/>
          <w:sz w:val="28"/>
          <w:szCs w:val="28"/>
        </w:rPr>
        <w:t>Answer:</w:t>
      </w:r>
    </w:p>
    <w:p w14:paraId="43926A89">
      <w:pPr>
        <w:rPr>
          <w:rFonts w:hint="default" w:ascii="Calibri" w:hAnsi="Calibri" w:cs="Calibri"/>
          <w:sz w:val="28"/>
          <w:szCs w:val="28"/>
        </w:rPr>
      </w:pPr>
      <w:r>
        <w:rPr>
          <w:rFonts w:hint="default" w:ascii="Calibri" w:hAnsi="Calibri" w:cs="Calibri"/>
          <w:sz w:val="28"/>
          <w:szCs w:val="28"/>
        </w:rPr>
        <w:t>The category with the lowest average expense ratio was identified by comparing the average expense ratio of the different mutual fund categories in the dataset.</w:t>
      </w:r>
    </w:p>
    <w:p w14:paraId="355D7C24">
      <w:pPr>
        <w:rPr>
          <w:rFonts w:hint="default" w:ascii="Calibri" w:hAnsi="Calibri" w:cs="Calibri"/>
          <w:sz w:val="28"/>
          <w:szCs w:val="28"/>
        </w:rPr>
      </w:pPr>
    </w:p>
    <w:p w14:paraId="4632CD71">
      <w:pPr>
        <w:rPr>
          <w:rFonts w:hint="default" w:ascii="Calibri" w:hAnsi="Calibri" w:cs="Calibri"/>
          <w:sz w:val="28"/>
          <w:szCs w:val="28"/>
        </w:rPr>
      </w:pPr>
      <w:r>
        <w:rPr>
          <w:rFonts w:hint="default" w:ascii="Calibri" w:hAnsi="Calibri" w:cs="Calibri"/>
          <w:sz w:val="28"/>
          <w:szCs w:val="28"/>
        </w:rPr>
        <w:t>Insight:</w:t>
      </w:r>
    </w:p>
    <w:p w14:paraId="2807DACB">
      <w:pPr>
        <w:rPr>
          <w:rFonts w:hint="default" w:ascii="Calibri" w:hAnsi="Calibri" w:cs="Calibri"/>
          <w:sz w:val="28"/>
          <w:szCs w:val="28"/>
        </w:rPr>
      </w:pPr>
      <w:r>
        <w:rPr>
          <w:rFonts w:hint="default" w:ascii="Calibri" w:hAnsi="Calibri" w:cs="Calibri"/>
          <w:sz w:val="28"/>
          <w:szCs w:val="28"/>
        </w:rPr>
        <w:t>A lower expense ratio means a smaller portion of the investment is used to cover fund management expenses. Therefore, expense ratio is an important factor when comparing mutual funds with similar performan</w:t>
      </w:r>
      <w:bookmarkStart w:id="0" w:name="_GoBack"/>
      <w:bookmarkEnd w:id="0"/>
      <w:r>
        <w:rPr>
          <w:rFonts w:hint="default" w:ascii="Calibri" w:hAnsi="Calibri" w:cs="Calibri"/>
          <w:sz w:val="28"/>
          <w:szCs w:val="28"/>
        </w:rPr>
        <w:t>ce.</w:t>
      </w:r>
    </w:p>
    <w:p w14:paraId="1AE78AA8">
      <w:pPr>
        <w:rPr>
          <w:rFonts w:hint="default" w:ascii="Calibri" w:hAnsi="Calibri" w:cs="Calibri"/>
          <w:sz w:val="28"/>
          <w:szCs w:val="28"/>
        </w:rPr>
      </w:pPr>
    </w:p>
    <w:p w14:paraId="72B01942">
      <w:pPr>
        <w:rPr>
          <w:rFonts w:hint="default" w:ascii="Calibri" w:hAnsi="Calibri" w:cs="Calibri"/>
          <w:sz w:val="28"/>
          <w:szCs w:val="28"/>
        </w:rPr>
      </w:pPr>
    </w:p>
    <w:p w14:paraId="316BDA04">
      <w:pPr>
        <w:rPr>
          <w:rFonts w:hint="default" w:ascii="Calibri" w:hAnsi="Calibri" w:cs="Calibri"/>
          <w:sz w:val="28"/>
          <w:szCs w:val="28"/>
        </w:rPr>
      </w:pPr>
      <w:r>
        <w:rPr>
          <w:rFonts w:hint="default" w:ascii="Calibri" w:hAnsi="Calibri" w:cs="Calibri"/>
          <w:sz w:val="28"/>
          <w:szCs w:val="28"/>
        </w:rPr>
        <w:t>4. Which funds are suitable for beginners?</w:t>
      </w:r>
    </w:p>
    <w:p w14:paraId="5BF31D68">
      <w:pPr>
        <w:rPr>
          <w:rFonts w:hint="default" w:ascii="Calibri" w:hAnsi="Calibri" w:cs="Calibri"/>
          <w:sz w:val="28"/>
          <w:szCs w:val="28"/>
        </w:rPr>
      </w:pPr>
    </w:p>
    <w:p w14:paraId="600061AA">
      <w:pPr>
        <w:rPr>
          <w:rFonts w:hint="default" w:ascii="Calibri" w:hAnsi="Calibri" w:cs="Calibri"/>
          <w:sz w:val="28"/>
          <w:szCs w:val="28"/>
        </w:rPr>
      </w:pPr>
      <w:r>
        <w:rPr>
          <w:rFonts w:hint="default" w:ascii="Calibri" w:hAnsi="Calibri" w:cs="Calibri"/>
          <w:sz w:val="28"/>
          <w:szCs w:val="28"/>
        </w:rPr>
        <w:t>Answer:</w:t>
      </w:r>
    </w:p>
    <w:p w14:paraId="35714479">
      <w:pPr>
        <w:rPr>
          <w:rFonts w:hint="default" w:ascii="Calibri" w:hAnsi="Calibri" w:cs="Calibri"/>
          <w:sz w:val="28"/>
          <w:szCs w:val="28"/>
        </w:rPr>
      </w:pPr>
      <w:r>
        <w:rPr>
          <w:rFonts w:hint="default" w:ascii="Calibri" w:hAnsi="Calibri" w:cs="Calibri"/>
          <w:sz w:val="28"/>
          <w:szCs w:val="28"/>
        </w:rPr>
        <w:t>Funds suitable for beginners can be identified by considering factors such as risk level, consistent returns, reasonable expense ratio, fund age, and overall fund score. Funds with comparatively lower risk and stable performance may be more suitable for investors who are new to mutual funds.</w:t>
      </w:r>
    </w:p>
    <w:p w14:paraId="6D1E84DD">
      <w:pPr>
        <w:rPr>
          <w:rFonts w:hint="default" w:ascii="Calibri" w:hAnsi="Calibri" w:cs="Calibri"/>
          <w:sz w:val="28"/>
          <w:szCs w:val="28"/>
        </w:rPr>
      </w:pPr>
    </w:p>
    <w:p w14:paraId="65089158">
      <w:pPr>
        <w:rPr>
          <w:rFonts w:hint="default" w:ascii="Calibri" w:hAnsi="Calibri" w:cs="Calibri"/>
          <w:sz w:val="28"/>
          <w:szCs w:val="28"/>
        </w:rPr>
      </w:pPr>
      <w:r>
        <w:rPr>
          <w:rFonts w:hint="default" w:ascii="Calibri" w:hAnsi="Calibri" w:cs="Calibri"/>
          <w:sz w:val="28"/>
          <w:szCs w:val="28"/>
        </w:rPr>
        <w:t>Insight:</w:t>
      </w:r>
    </w:p>
    <w:p w14:paraId="196ED8DE">
      <w:pPr>
        <w:rPr>
          <w:rFonts w:hint="default" w:ascii="Calibri" w:hAnsi="Calibri" w:cs="Calibri"/>
          <w:sz w:val="28"/>
          <w:szCs w:val="28"/>
        </w:rPr>
      </w:pPr>
      <w:r>
        <w:rPr>
          <w:rFonts w:hint="default" w:ascii="Calibri" w:hAnsi="Calibri" w:cs="Calibri"/>
          <w:sz w:val="28"/>
          <w:szCs w:val="28"/>
        </w:rPr>
        <w:t>Beginners should not select a fund based only on the highest return. Risk, expenses, consistency, and the overall performance of the fund should also be considered.</w:t>
      </w:r>
    </w:p>
    <w:p w14:paraId="76D23038">
      <w:pPr>
        <w:rPr>
          <w:rFonts w:hint="default" w:ascii="Calibri" w:hAnsi="Calibri" w:cs="Calibri"/>
          <w:sz w:val="28"/>
          <w:szCs w:val="28"/>
        </w:rPr>
      </w:pPr>
    </w:p>
    <w:p w14:paraId="18BF7638">
      <w:pPr>
        <w:rPr>
          <w:rFonts w:hint="default" w:ascii="Calibri" w:hAnsi="Calibri" w:cs="Calibri"/>
          <w:sz w:val="28"/>
          <w:szCs w:val="28"/>
        </w:rPr>
      </w:pPr>
    </w:p>
    <w:p w14:paraId="06D0FCFD">
      <w:pPr>
        <w:rPr>
          <w:rFonts w:hint="default" w:ascii="Calibri" w:hAnsi="Calibri" w:cs="Calibri"/>
          <w:sz w:val="28"/>
          <w:szCs w:val="28"/>
        </w:rPr>
      </w:pPr>
      <w:r>
        <w:rPr>
          <w:rFonts w:hint="default" w:ascii="Calibri" w:hAnsi="Calibri" w:cs="Calibri"/>
          <w:sz w:val="28"/>
          <w:szCs w:val="28"/>
        </w:rPr>
        <w:t>5. Which funds offer a good return-risk balance?</w:t>
      </w:r>
    </w:p>
    <w:p w14:paraId="5E7D78E4">
      <w:pPr>
        <w:rPr>
          <w:rFonts w:hint="default" w:ascii="Calibri" w:hAnsi="Calibri" w:cs="Calibri"/>
          <w:sz w:val="28"/>
          <w:szCs w:val="28"/>
        </w:rPr>
      </w:pPr>
    </w:p>
    <w:p w14:paraId="72B9ED32">
      <w:pPr>
        <w:rPr>
          <w:rFonts w:hint="default" w:ascii="Calibri" w:hAnsi="Calibri" w:cs="Calibri"/>
          <w:sz w:val="28"/>
          <w:szCs w:val="28"/>
        </w:rPr>
      </w:pPr>
      <w:r>
        <w:rPr>
          <w:rFonts w:hint="default" w:ascii="Calibri" w:hAnsi="Calibri" w:cs="Calibri"/>
          <w:sz w:val="28"/>
          <w:szCs w:val="28"/>
        </w:rPr>
        <w:t>Answer:</w:t>
      </w:r>
    </w:p>
    <w:p w14:paraId="70500971">
      <w:pPr>
        <w:rPr>
          <w:rFonts w:hint="default" w:ascii="Calibri" w:hAnsi="Calibri" w:cs="Calibri"/>
          <w:sz w:val="28"/>
          <w:szCs w:val="28"/>
        </w:rPr>
      </w:pPr>
      <w:r>
        <w:rPr>
          <w:rFonts w:hint="default" w:ascii="Calibri" w:hAnsi="Calibri" w:cs="Calibri"/>
          <w:sz w:val="28"/>
          <w:szCs w:val="28"/>
        </w:rPr>
        <w:t>Funds offering a good return-risk balance can be identified by comparing their returns with their risk levels and overall fund scores. Funds that provide relatively good returns without having an extremely high risk level can be considered for further analysis.</w:t>
      </w:r>
    </w:p>
    <w:p w14:paraId="3EFDD102">
      <w:pPr>
        <w:rPr>
          <w:rFonts w:hint="default" w:ascii="Calibri" w:hAnsi="Calibri" w:cs="Calibri"/>
          <w:sz w:val="28"/>
          <w:szCs w:val="28"/>
        </w:rPr>
      </w:pPr>
    </w:p>
    <w:p w14:paraId="71909283">
      <w:pPr>
        <w:rPr>
          <w:rFonts w:hint="default" w:ascii="Calibri" w:hAnsi="Calibri" w:cs="Calibri"/>
          <w:sz w:val="28"/>
          <w:szCs w:val="28"/>
        </w:rPr>
      </w:pPr>
      <w:r>
        <w:rPr>
          <w:rFonts w:hint="default" w:ascii="Calibri" w:hAnsi="Calibri" w:cs="Calibri"/>
          <w:sz w:val="28"/>
          <w:szCs w:val="28"/>
        </w:rPr>
        <w:t>Insight:</w:t>
      </w:r>
    </w:p>
    <w:p w14:paraId="38F4AF5C">
      <w:pPr>
        <w:rPr>
          <w:rFonts w:hint="default" w:ascii="Calibri" w:hAnsi="Calibri" w:cs="Calibri"/>
          <w:sz w:val="28"/>
          <w:szCs w:val="28"/>
        </w:rPr>
      </w:pPr>
      <w:r>
        <w:rPr>
          <w:rFonts w:hint="default" w:ascii="Calibri" w:hAnsi="Calibri" w:cs="Calibri"/>
          <w:sz w:val="28"/>
          <w:szCs w:val="28"/>
        </w:rPr>
        <w:t>A good return-risk balance means considering both the return generated by a fund and the amount of risk taken to achieve that return. The overall fund score created in this project combines important factors such as 3-year return, expense ratio, fund age, and 1-year return to help compare funds systematically.</w:t>
      </w:r>
    </w:p>
    <w:p w14:paraId="36E0392F">
      <w:pPr>
        <w:rPr>
          <w:rFonts w:hint="default" w:ascii="Calibri" w:hAnsi="Calibri" w:cs="Calibri"/>
          <w:sz w:val="28"/>
          <w:szCs w:val="28"/>
        </w:rPr>
      </w:pPr>
    </w:p>
    <w:p w14:paraId="10410762">
      <w:pPr>
        <w:rPr>
          <w:rFonts w:hint="default" w:ascii="Calibri" w:hAnsi="Calibri" w:cs="Calibri"/>
          <w:sz w:val="28"/>
          <w:szCs w:val="28"/>
        </w:rPr>
      </w:pPr>
    </w:p>
    <w:p w14:paraId="50DE9B5C">
      <w:pPr>
        <w:rPr>
          <w:rFonts w:hint="default" w:ascii="Calibri" w:hAnsi="Calibri" w:cs="Calibri"/>
          <w:sz w:val="28"/>
          <w:szCs w:val="28"/>
        </w:rPr>
      </w:pPr>
      <w:r>
        <w:rPr>
          <w:rFonts w:hint="default" w:ascii="Calibri" w:hAnsi="Calibri" w:cs="Calibri"/>
          <w:sz w:val="28"/>
          <w:szCs w:val="28"/>
        </w:rPr>
        <w:t>CONCLUSION</w:t>
      </w:r>
    </w:p>
    <w:p w14:paraId="5E647CAF">
      <w:pPr>
        <w:rPr>
          <w:rFonts w:hint="default" w:ascii="Calibri" w:hAnsi="Calibri" w:cs="Calibri"/>
          <w:sz w:val="28"/>
          <w:szCs w:val="28"/>
        </w:rPr>
      </w:pPr>
    </w:p>
    <w:p w14:paraId="6DB92B77">
      <w:pPr>
        <w:rPr>
          <w:rFonts w:hint="default" w:ascii="Calibri" w:hAnsi="Calibri" w:cs="Calibri"/>
          <w:sz w:val="28"/>
          <w:szCs w:val="28"/>
        </w:rPr>
      </w:pPr>
      <w:r>
        <w:rPr>
          <w:rFonts w:hint="default" w:ascii="Calibri" w:hAnsi="Calibri" w:cs="Calibri"/>
          <w:sz w:val="28"/>
          <w:szCs w:val="28"/>
        </w:rPr>
        <w:t>The analysis provides a data-based overview of mutual funds using returns, expenses, fund age, AUM, risk level, and other important factors. The analysis shows that Equity funds had the highest average 3-year return in the dataset, while ICICI Prudential Mutual Fund had the highest AUM.</w:t>
      </w:r>
    </w:p>
    <w:p w14:paraId="0DAF04BA">
      <w:pPr>
        <w:rPr>
          <w:rFonts w:hint="default" w:ascii="Calibri" w:hAnsi="Calibri" w:cs="Calibri"/>
          <w:sz w:val="28"/>
          <w:szCs w:val="28"/>
        </w:rPr>
      </w:pPr>
    </w:p>
    <w:p w14:paraId="407B40FC">
      <w:pPr>
        <w:rPr>
          <w:rFonts w:hint="default" w:ascii="Calibri" w:hAnsi="Calibri" w:cs="Calibri"/>
          <w:sz w:val="28"/>
          <w:szCs w:val="28"/>
        </w:rPr>
      </w:pPr>
      <w:r>
        <w:rPr>
          <w:rFonts w:hint="default" w:ascii="Calibri" w:hAnsi="Calibri" w:cs="Calibri"/>
          <w:sz w:val="28"/>
          <w:szCs w:val="28"/>
        </w:rPr>
        <w:t>The project also demonstrates that selecting a mutual fund should not depend on a single factor such as return. Expense ratio, risk level, fund age, and consistency of returns are also important. The Fund Score and Top 30 ranking provide a systematic way to compare funds based on the selected criteria.</w:t>
      </w:r>
    </w:p>
    <w:p w14:paraId="13F86761">
      <w:pPr>
        <w:rPr>
          <w:rFonts w:hint="default" w:ascii="Calibri" w:hAnsi="Calibri" w:cs="Calibri"/>
          <w:sz w:val="28"/>
          <w:szCs w:val="28"/>
        </w:rPr>
      </w:pPr>
    </w:p>
    <w:p w14:paraId="28DBBA70">
      <w:r>
        <w:rPr>
          <w:rFonts w:hint="default" w:ascii="Calibri" w:hAnsi="Calibri" w:cs="Calibri"/>
          <w:sz w:val="28"/>
          <w:szCs w:val="28"/>
        </w:rPr>
        <w:t>The results are based only on the analyzed dataset and should be treated as analytical insights rather than personalized investment advice.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3E42A8D"/>
    <w:rsid w:val="13E42A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2026-09-24T09:06:00Z</dcterms:created>
  <dc:creator>Neetu Pal</dc:creator>
  <cp:lastModifiedBy>Neetu Pal</cp:lastModifiedBy>
  <dcterms:modified xsi:type="dcterms:W3CDTF">2026-09-24T09:08:47Z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9FA7C6EE3DFB45CA9D2ED55A9EF4E503_11</vt:lpwstr>
  </property>
  <property fmtid="{D5CDD505-2E9C-101B-9397-08002B2CF9AE}" pid="4" name="KSOTemplateDocerSaveRecord">
    <vt:lpwstr>eyJoZGlkIjoiZDI2NGI4N2I3ZjM1MzI1YzExMjFkMDUxYWM2MDU3ZmQiLCJ1c2VySWQiOiI1Njc1OTUxODUzNTcifQ==</vt:lpwstr>
  </property>
</Properties>
</file>