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42AB" w14:textId="77777777" w:rsidR="006C2E44" w:rsidRDefault="00000000">
      <w:pPr>
        <w:spacing w:after="40"/>
        <w:jc w:val="center"/>
      </w:pPr>
      <w:r>
        <w:rPr>
          <w:b/>
          <w:bCs/>
          <w:color w:val="1F4E79"/>
          <w:sz w:val="32"/>
          <w:szCs w:val="32"/>
        </w:rPr>
        <w:t>Factory Optimisation Initiative</w:t>
      </w:r>
    </w:p>
    <w:p w14:paraId="1B649DEC" w14:textId="77777777" w:rsidR="006C2E44" w:rsidRDefault="00000000">
      <w:pPr>
        <w:spacing w:after="140"/>
        <w:jc w:val="center"/>
      </w:pPr>
      <w:r>
        <w:rPr>
          <w:color w:val="2E75B6"/>
          <w:sz w:val="22"/>
          <w:szCs w:val="22"/>
        </w:rPr>
        <w:t>Executive Summary — Nassau Candy Distributor</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4"/>
        <w:gridCol w:w="2104"/>
        <w:gridCol w:w="2104"/>
        <w:gridCol w:w="2104"/>
        <w:gridCol w:w="2104"/>
      </w:tblGrid>
      <w:tr w:rsidR="006C2E44" w14:paraId="4A0B7527" w14:textId="77777777">
        <w:tblPrEx>
          <w:tblCellMar>
            <w:top w:w="0" w:type="dxa"/>
            <w:bottom w:w="0" w:type="dxa"/>
          </w:tblCellMar>
        </w:tblPrEx>
        <w:trPr>
          <w:tblHeader/>
        </w:trPr>
        <w:tc>
          <w:tcPr>
            <w:tcW w:w="2016"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7E0B2DB0" w14:textId="77777777" w:rsidR="006C2E44" w:rsidRDefault="00000000">
            <w:r>
              <w:rPr>
                <w:b/>
                <w:bCs/>
                <w:color w:val="FFFFFF"/>
                <w:sz w:val="19"/>
                <w:szCs w:val="19"/>
              </w:rPr>
              <w:t>Orders Analysed</w:t>
            </w:r>
          </w:p>
        </w:tc>
        <w:tc>
          <w:tcPr>
            <w:tcW w:w="2016"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0DE4B9AB" w14:textId="77777777" w:rsidR="006C2E44" w:rsidRDefault="00000000">
            <w:r>
              <w:rPr>
                <w:b/>
                <w:bCs/>
                <w:color w:val="FFFFFF"/>
                <w:sz w:val="19"/>
                <w:szCs w:val="19"/>
              </w:rPr>
              <w:t>Time Period</w:t>
            </w:r>
          </w:p>
        </w:tc>
        <w:tc>
          <w:tcPr>
            <w:tcW w:w="2016"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1AB38AFF" w14:textId="77777777" w:rsidR="006C2E44" w:rsidRDefault="00000000">
            <w:r>
              <w:rPr>
                <w:b/>
                <w:bCs/>
                <w:color w:val="FFFFFF"/>
                <w:sz w:val="19"/>
                <w:szCs w:val="19"/>
              </w:rPr>
              <w:t>Factories</w:t>
            </w:r>
          </w:p>
        </w:tc>
        <w:tc>
          <w:tcPr>
            <w:tcW w:w="2016"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74E8231D" w14:textId="77777777" w:rsidR="006C2E44" w:rsidRDefault="00000000">
            <w:r>
              <w:rPr>
                <w:b/>
                <w:bCs/>
                <w:color w:val="FFFFFF"/>
                <w:sz w:val="19"/>
                <w:szCs w:val="19"/>
              </w:rPr>
              <w:t>Products</w:t>
            </w:r>
          </w:p>
        </w:tc>
        <w:tc>
          <w:tcPr>
            <w:tcW w:w="2016"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0897FE82" w14:textId="77777777" w:rsidR="006C2E44" w:rsidRDefault="00000000">
            <w:r>
              <w:rPr>
                <w:b/>
                <w:bCs/>
                <w:color w:val="FFFFFF"/>
                <w:sz w:val="19"/>
                <w:szCs w:val="19"/>
              </w:rPr>
              <w:t>Avg. Margin</w:t>
            </w:r>
          </w:p>
        </w:tc>
      </w:tr>
      <w:tr w:rsidR="006C2E44" w14:paraId="29C70E9F" w14:textId="77777777">
        <w:tblPrEx>
          <w:tblCellMar>
            <w:top w:w="0" w:type="dxa"/>
            <w:bottom w:w="0" w:type="dxa"/>
          </w:tblCellMar>
        </w:tblPrEx>
        <w:tc>
          <w:tcPr>
            <w:tcW w:w="201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349A2E4A" w14:textId="77777777" w:rsidR="006C2E44" w:rsidRDefault="00000000">
            <w:r>
              <w:rPr>
                <w:sz w:val="19"/>
                <w:szCs w:val="19"/>
              </w:rPr>
              <w:t>10,194</w:t>
            </w:r>
          </w:p>
        </w:tc>
        <w:tc>
          <w:tcPr>
            <w:tcW w:w="201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19EE8D8C" w14:textId="77777777" w:rsidR="006C2E44" w:rsidRDefault="00000000">
            <w:r>
              <w:rPr>
                <w:sz w:val="19"/>
                <w:szCs w:val="19"/>
              </w:rPr>
              <w:t>2024–2025</w:t>
            </w:r>
          </w:p>
        </w:tc>
        <w:tc>
          <w:tcPr>
            <w:tcW w:w="201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6FB90454" w14:textId="77777777" w:rsidR="006C2E44" w:rsidRDefault="00000000">
            <w:r>
              <w:rPr>
                <w:sz w:val="19"/>
                <w:szCs w:val="19"/>
              </w:rPr>
              <w:t>5</w:t>
            </w:r>
          </w:p>
        </w:tc>
        <w:tc>
          <w:tcPr>
            <w:tcW w:w="201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27E80DDE" w14:textId="77777777" w:rsidR="006C2E44" w:rsidRDefault="00000000">
            <w:r>
              <w:rPr>
                <w:sz w:val="19"/>
                <w:szCs w:val="19"/>
              </w:rPr>
              <w:t>15</w:t>
            </w:r>
          </w:p>
        </w:tc>
        <w:tc>
          <w:tcPr>
            <w:tcW w:w="2016"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0C68C12A" w14:textId="77777777" w:rsidR="006C2E44" w:rsidRDefault="00000000">
            <w:r>
              <w:rPr>
                <w:sz w:val="19"/>
                <w:szCs w:val="19"/>
              </w:rPr>
              <w:t>66.5%</w:t>
            </w:r>
          </w:p>
        </w:tc>
      </w:tr>
    </w:tbl>
    <w:p w14:paraId="5488C39A" w14:textId="77777777" w:rsidR="006C2E44" w:rsidRDefault="006C2E44">
      <w:pPr>
        <w:spacing w:after="100"/>
      </w:pPr>
    </w:p>
    <w:p w14:paraId="1DC4BC9F" w14:textId="77777777" w:rsidR="006C2E44" w:rsidRDefault="00000000">
      <w:pPr>
        <w:pStyle w:val="Heading1"/>
      </w:pPr>
      <w:r>
        <w:t>The Situation</w:t>
      </w:r>
    </w:p>
    <w:p w14:paraId="1F84D2CA" w14:textId="77777777" w:rsidR="006C2E44" w:rsidRDefault="00000000">
      <w:pPr>
        <w:spacing w:after="110" w:line="252" w:lineRule="auto"/>
      </w:pPr>
      <w:r>
        <w:rPr>
          <w:sz w:val="20"/>
          <w:szCs w:val="20"/>
        </w:rPr>
        <w:t>Nassau Candy currently assigns each of its 15 products to one of five factories using fixed, historical rules — not data. As the business has grown, leadership has had no way to test whether these assignments are still the right ones, or to know how a change would affect shipping efficiency and profit before making it.</w:t>
      </w:r>
    </w:p>
    <w:p w14:paraId="45975D9C" w14:textId="77777777" w:rsidR="006C2E44" w:rsidRDefault="00000000">
      <w:pPr>
        <w:spacing w:after="110" w:line="252" w:lineRule="auto"/>
      </w:pPr>
      <w:r>
        <w:rPr>
          <w:sz w:val="20"/>
          <w:szCs w:val="20"/>
        </w:rPr>
        <w:t>This project built a data-driven decision tool that analyses two full years of order history to answer one question: are our products being made in the right place?</w:t>
      </w:r>
    </w:p>
    <w:p w14:paraId="5AEEF56C" w14:textId="77777777" w:rsidR="006C2E44" w:rsidRDefault="00000000">
      <w:pPr>
        <w:pStyle w:val="Heading1"/>
      </w:pPr>
      <w:r>
        <w:t>What We Found</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0"/>
        <w:gridCol w:w="5260"/>
      </w:tblGrid>
      <w:tr w:rsidR="006C2E44" w14:paraId="0E2746F3" w14:textId="77777777">
        <w:tblPrEx>
          <w:tblCellMar>
            <w:top w:w="0" w:type="dxa"/>
            <w:bottom w:w="0" w:type="dxa"/>
          </w:tblCellMar>
        </w:tblPrEx>
        <w:tc>
          <w:tcPr>
            <w:tcW w:w="5160" w:type="dxa"/>
            <w:tcBorders>
              <w:top w:val="none" w:sz="0" w:space="0" w:color="FFFFFF"/>
              <w:left w:val="none" w:sz="0" w:space="0" w:color="FFFFFF"/>
              <w:bottom w:val="none" w:sz="0" w:space="0" w:color="FFFFFF"/>
              <w:right w:val="none" w:sz="0" w:space="0" w:color="FFFFFF"/>
            </w:tcBorders>
          </w:tcPr>
          <w:p w14:paraId="1C4A2294" w14:textId="77777777" w:rsidR="006C2E44" w:rsidRDefault="00000000">
            <w:pPr>
              <w:jc w:val="center"/>
            </w:pPr>
            <w:r>
              <w:rPr>
                <w:noProof/>
              </w:rPr>
              <w:drawing>
                <wp:inline distT="0" distB="0" distL="0" distR="0" wp14:anchorId="55F5513D" wp14:editId="3F3A6F92">
                  <wp:extent cx="2381250" cy="1752600"/>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752600"/>
                          </a:xfrm>
                          <a:prstGeom prst="rect">
                            <a:avLst/>
                          </a:prstGeom>
                        </pic:spPr>
                      </pic:pic>
                    </a:graphicData>
                  </a:graphic>
                </wp:inline>
              </w:drawing>
            </w:r>
          </w:p>
          <w:p w14:paraId="631D4248" w14:textId="77777777" w:rsidR="006C2E44" w:rsidRDefault="00000000">
            <w:pPr>
              <w:spacing w:before="40" w:after="100"/>
              <w:jc w:val="center"/>
            </w:pPr>
            <w:r>
              <w:rPr>
                <w:i/>
                <w:iCs/>
                <w:color w:val="595959"/>
                <w:sz w:val="16"/>
                <w:szCs w:val="16"/>
              </w:rPr>
              <w:t>Two factories handle 96.6% of all orders.</w:t>
            </w:r>
          </w:p>
        </w:tc>
        <w:tc>
          <w:tcPr>
            <w:tcW w:w="5160" w:type="dxa"/>
            <w:tcBorders>
              <w:top w:val="none" w:sz="0" w:space="0" w:color="FFFFFF"/>
              <w:left w:val="none" w:sz="0" w:space="0" w:color="FFFFFF"/>
              <w:bottom w:val="none" w:sz="0" w:space="0" w:color="FFFFFF"/>
              <w:right w:val="none" w:sz="0" w:space="0" w:color="FFFFFF"/>
            </w:tcBorders>
          </w:tcPr>
          <w:p w14:paraId="7484BF09" w14:textId="77777777" w:rsidR="006C2E44" w:rsidRDefault="00000000">
            <w:pPr>
              <w:jc w:val="center"/>
            </w:pPr>
            <w:r>
              <w:rPr>
                <w:noProof/>
              </w:rPr>
              <w:drawing>
                <wp:inline distT="0" distB="0" distL="0" distR="0" wp14:anchorId="3FD708C9" wp14:editId="3778CB35">
                  <wp:extent cx="2381250" cy="1695450"/>
                  <wp:effectExtent l="0" t="0" r="0" b="0"/>
                  <wp:docPr id="10017907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695450"/>
                          </a:xfrm>
                          <a:prstGeom prst="rect">
                            <a:avLst/>
                          </a:prstGeom>
                        </pic:spPr>
                      </pic:pic>
                    </a:graphicData>
                  </a:graphic>
                </wp:inline>
              </w:drawing>
            </w:r>
          </w:p>
          <w:p w14:paraId="23A1B847" w14:textId="77777777" w:rsidR="006C2E44" w:rsidRDefault="00000000">
            <w:pPr>
              <w:spacing w:before="40" w:after="100"/>
              <w:jc w:val="center"/>
            </w:pPr>
            <w:r>
              <w:rPr>
                <w:i/>
                <w:iCs/>
                <w:color w:val="595959"/>
                <w:sz w:val="16"/>
                <w:szCs w:val="16"/>
              </w:rPr>
              <w:t xml:space="preserve">One product, </w:t>
            </w:r>
            <w:proofErr w:type="spellStart"/>
            <w:r>
              <w:rPr>
                <w:i/>
                <w:iCs/>
                <w:color w:val="595959"/>
                <w:sz w:val="16"/>
                <w:szCs w:val="16"/>
              </w:rPr>
              <w:t>Kazookles</w:t>
            </w:r>
            <w:proofErr w:type="spellEnd"/>
            <w:r>
              <w:rPr>
                <w:i/>
                <w:iCs/>
                <w:color w:val="595959"/>
                <w:sz w:val="16"/>
                <w:szCs w:val="16"/>
              </w:rPr>
              <w:t>, sits far below the company's profit norm.</w:t>
            </w:r>
          </w:p>
        </w:tc>
      </w:tr>
    </w:tbl>
    <w:p w14:paraId="13D992E0" w14:textId="77777777" w:rsidR="006C2E44" w:rsidRDefault="00000000">
      <w:pPr>
        <w:spacing w:after="110" w:line="252" w:lineRule="auto"/>
      </w:pPr>
      <w:r>
        <w:rPr>
          <w:b/>
          <w:bCs/>
          <w:sz w:val="20"/>
          <w:szCs w:val="20"/>
        </w:rPr>
        <w:t>Three findings stand out:</w:t>
      </w:r>
    </w:p>
    <w:p w14:paraId="1CE45080" w14:textId="77777777" w:rsidR="006C2E44" w:rsidRDefault="00000000">
      <w:pPr>
        <w:pStyle w:val="ListParagraph"/>
        <w:numPr>
          <w:ilvl w:val="0"/>
          <w:numId w:val="2"/>
        </w:numPr>
        <w:spacing w:after="60" w:line="246" w:lineRule="auto"/>
      </w:pPr>
      <w:r>
        <w:rPr>
          <w:sz w:val="20"/>
          <w:szCs w:val="20"/>
        </w:rPr>
        <w:t>Heavy concentration. Two factories — Lot's O' Nuts and Wicked Choccy's — handle 96.6% of all order volume; the other three are lightly used.</w:t>
      </w:r>
    </w:p>
    <w:p w14:paraId="7DF11005" w14:textId="77777777" w:rsidR="006C2E44" w:rsidRDefault="00000000">
      <w:pPr>
        <w:pStyle w:val="ListParagraph"/>
        <w:numPr>
          <w:ilvl w:val="0"/>
          <w:numId w:val="2"/>
        </w:numPr>
        <w:spacing w:after="60" w:line="246" w:lineRule="auto"/>
      </w:pPr>
      <w:r>
        <w:rPr>
          <w:sz w:val="20"/>
          <w:szCs w:val="20"/>
        </w:rPr>
        <w:t xml:space="preserve">One product is the real problem, not a whole factory. “The Other Factory” initially looked underperforming, but this was driven almost entirely by one product, </w:t>
      </w:r>
      <w:proofErr w:type="spellStart"/>
      <w:r>
        <w:rPr>
          <w:sz w:val="20"/>
          <w:szCs w:val="20"/>
        </w:rPr>
        <w:t>Kazookles</w:t>
      </w:r>
      <w:proofErr w:type="spellEnd"/>
      <w:r>
        <w:rPr>
          <w:sz w:val="20"/>
          <w:szCs w:val="20"/>
        </w:rPr>
        <w:t xml:space="preserve"> (7.7% margin vs. 66.5% company average) — not the factory itself. Its other product, Hair Toffee, is healthy at 77.8%.</w:t>
      </w:r>
    </w:p>
    <w:p w14:paraId="240081A2" w14:textId="77777777" w:rsidR="006C2E44" w:rsidRDefault="00000000">
      <w:pPr>
        <w:pStyle w:val="ListParagraph"/>
        <w:numPr>
          <w:ilvl w:val="0"/>
          <w:numId w:val="2"/>
        </w:numPr>
        <w:spacing w:after="60" w:line="246" w:lineRule="auto"/>
      </w:pPr>
      <w:r>
        <w:rPr>
          <w:sz w:val="20"/>
          <w:szCs w:val="20"/>
        </w:rPr>
        <w:t>Delivery timing follows the calendar, not the factory. Shipping speed is driven by seasonal demand patterns (e.g., holiday surges), not by which factory makes the product. We report this honestly rather than overstate what the data supports.</w:t>
      </w:r>
    </w:p>
    <w:p w14:paraId="4279FA65" w14:textId="77777777" w:rsidR="006C2E44" w:rsidRDefault="00000000">
      <w:pPr>
        <w:pStyle w:val="Heading1"/>
      </w:pPr>
      <w:r>
        <w:t>What We Recommend</w:t>
      </w:r>
    </w:p>
    <w:tbl>
      <w:tblPr>
        <w:tblW w:w="10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6867"/>
      </w:tblGrid>
      <w:tr w:rsidR="006C2E44" w14:paraId="4486AF23" w14:textId="77777777">
        <w:tblPrEx>
          <w:tblCellMar>
            <w:top w:w="0" w:type="dxa"/>
            <w:bottom w:w="0" w:type="dxa"/>
          </w:tblCellMar>
        </w:tblPrEx>
        <w:trPr>
          <w:tblHeader/>
        </w:trPr>
        <w:tc>
          <w:tcPr>
            <w:tcW w:w="3500"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5C87C6A9" w14:textId="77777777" w:rsidR="006C2E44" w:rsidRDefault="00000000">
            <w:r>
              <w:rPr>
                <w:b/>
                <w:bCs/>
                <w:color w:val="FFFFFF"/>
                <w:sz w:val="19"/>
                <w:szCs w:val="19"/>
              </w:rPr>
              <w:t>Action</w:t>
            </w:r>
          </w:p>
        </w:tc>
        <w:tc>
          <w:tcPr>
            <w:tcW w:w="6580" w:type="dxa"/>
            <w:tcBorders>
              <w:top w:val="single" w:sz="1" w:space="0" w:color="D9D9D9"/>
              <w:left w:val="single" w:sz="1" w:space="0" w:color="D9D9D9"/>
              <w:bottom w:val="single" w:sz="1" w:space="0" w:color="D9D9D9"/>
              <w:right w:val="single" w:sz="1" w:space="0" w:color="D9D9D9"/>
            </w:tcBorders>
            <w:shd w:val="clear" w:color="auto" w:fill="1F4E79"/>
            <w:tcMar>
              <w:top w:w="50" w:type="dxa"/>
              <w:left w:w="100" w:type="dxa"/>
              <w:bottom w:w="50" w:type="dxa"/>
              <w:right w:w="100" w:type="dxa"/>
            </w:tcMar>
            <w:vAlign w:val="center"/>
          </w:tcPr>
          <w:p w14:paraId="5FDD36A8" w14:textId="77777777" w:rsidR="006C2E44" w:rsidRDefault="00000000">
            <w:r>
              <w:rPr>
                <w:b/>
                <w:bCs/>
                <w:color w:val="FFFFFF"/>
                <w:sz w:val="19"/>
                <w:szCs w:val="19"/>
              </w:rPr>
              <w:t>Why</w:t>
            </w:r>
          </w:p>
        </w:tc>
      </w:tr>
      <w:tr w:rsidR="006C2E44" w14:paraId="794097E2"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7DF99EF6" w14:textId="77777777" w:rsidR="006C2E44" w:rsidRDefault="00000000">
            <w:r>
              <w:rPr>
                <w:sz w:val="19"/>
                <w:szCs w:val="19"/>
              </w:rPr>
              <w:t xml:space="preserve">Review </w:t>
            </w:r>
            <w:proofErr w:type="spellStart"/>
            <w:r>
              <w:rPr>
                <w:sz w:val="19"/>
                <w:szCs w:val="19"/>
              </w:rPr>
              <w:t>Kazookles</w:t>
            </w:r>
            <w:proofErr w:type="spellEnd"/>
            <w:r>
              <w:rPr>
                <w:sz w:val="19"/>
                <w:szCs w:val="19"/>
              </w:rPr>
              <w:t xml:space="preserve"> pricing/cost</w:t>
            </w:r>
          </w:p>
        </w:tc>
        <w:tc>
          <w:tcPr>
            <w:tcW w:w="658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6C544DFB" w14:textId="77777777" w:rsidR="006C2E44" w:rsidRDefault="00000000">
            <w:r>
              <w:rPr>
                <w:sz w:val="19"/>
                <w:szCs w:val="19"/>
              </w:rPr>
              <w:t>Its margin (7.7%) is a pricing issue, not a shipping issue — moving factories will not fix it.</w:t>
            </w:r>
          </w:p>
        </w:tc>
      </w:tr>
      <w:tr w:rsidR="006C2E44" w14:paraId="71C61159"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6FA"/>
            <w:tcMar>
              <w:top w:w="50" w:type="dxa"/>
              <w:left w:w="100" w:type="dxa"/>
              <w:bottom w:w="50" w:type="dxa"/>
              <w:right w:w="100" w:type="dxa"/>
            </w:tcMar>
            <w:vAlign w:val="center"/>
          </w:tcPr>
          <w:p w14:paraId="3E0FA320" w14:textId="77777777" w:rsidR="006C2E44" w:rsidRDefault="00000000">
            <w:r>
              <w:rPr>
                <w:sz w:val="19"/>
                <w:szCs w:val="19"/>
              </w:rPr>
              <w:t>Reassign 4 products currently made at Sugar Shack</w:t>
            </w:r>
          </w:p>
        </w:tc>
        <w:tc>
          <w:tcPr>
            <w:tcW w:w="6580" w:type="dxa"/>
            <w:tcBorders>
              <w:top w:val="single" w:sz="1" w:space="0" w:color="D9D9D9"/>
              <w:left w:val="single" w:sz="1" w:space="0" w:color="D9D9D9"/>
              <w:bottom w:val="single" w:sz="1" w:space="0" w:color="D9D9D9"/>
              <w:right w:val="single" w:sz="1" w:space="0" w:color="D9D9D9"/>
            </w:tcBorders>
            <w:shd w:val="clear" w:color="auto" w:fill="F2F6FA"/>
            <w:tcMar>
              <w:top w:w="50" w:type="dxa"/>
              <w:left w:w="100" w:type="dxa"/>
              <w:bottom w:w="50" w:type="dxa"/>
              <w:right w:w="100" w:type="dxa"/>
            </w:tcMar>
            <w:vAlign w:val="center"/>
          </w:tcPr>
          <w:p w14:paraId="78F1DD5C" w14:textId="77777777" w:rsidR="006C2E44" w:rsidRDefault="00000000">
            <w:r>
              <w:rPr>
                <w:sz w:val="19"/>
                <w:szCs w:val="19"/>
              </w:rPr>
              <w:t>Both cost and shipping distance improve; low risk to make this change.</w:t>
            </w:r>
          </w:p>
        </w:tc>
      </w:tr>
      <w:tr w:rsidR="006C2E44" w14:paraId="4BF6F8EE"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56947825" w14:textId="77777777" w:rsidR="006C2E44" w:rsidRDefault="00000000">
            <w:r>
              <w:rPr>
                <w:sz w:val="19"/>
                <w:szCs w:val="19"/>
              </w:rPr>
              <w:t>Leave high-performing products as-is</w:t>
            </w:r>
          </w:p>
        </w:tc>
        <w:tc>
          <w:tcPr>
            <w:tcW w:w="6580" w:type="dxa"/>
            <w:tcBorders>
              <w:top w:val="single" w:sz="1" w:space="0" w:color="D9D9D9"/>
              <w:left w:val="single" w:sz="1" w:space="0" w:color="D9D9D9"/>
              <w:bottom w:val="single" w:sz="1" w:space="0" w:color="D9D9D9"/>
              <w:right w:val="single" w:sz="1" w:space="0" w:color="D9D9D9"/>
            </w:tcBorders>
            <w:tcMar>
              <w:top w:w="50" w:type="dxa"/>
              <w:left w:w="100" w:type="dxa"/>
              <w:bottom w:w="50" w:type="dxa"/>
              <w:right w:w="100" w:type="dxa"/>
            </w:tcMar>
            <w:vAlign w:val="center"/>
          </w:tcPr>
          <w:p w14:paraId="18D2042D" w14:textId="77777777" w:rsidR="006C2E44" w:rsidRDefault="00000000">
            <w:r>
              <w:rPr>
                <w:sz w:val="19"/>
                <w:szCs w:val="19"/>
              </w:rPr>
              <w:t>Several products (e.g., the core Wonka Bar chocolate line) are already well-placed; moving them would add risk for little gain.</w:t>
            </w:r>
          </w:p>
        </w:tc>
      </w:tr>
      <w:tr w:rsidR="006C2E44" w14:paraId="4F79746D" w14:textId="77777777">
        <w:tblPrEx>
          <w:tblCellMar>
            <w:top w:w="0" w:type="dxa"/>
            <w:bottom w:w="0" w:type="dxa"/>
          </w:tblCellMar>
        </w:tblPrEx>
        <w:tc>
          <w:tcPr>
            <w:tcW w:w="3500" w:type="dxa"/>
            <w:tcBorders>
              <w:top w:val="single" w:sz="1" w:space="0" w:color="D9D9D9"/>
              <w:left w:val="single" w:sz="1" w:space="0" w:color="D9D9D9"/>
              <w:bottom w:val="single" w:sz="1" w:space="0" w:color="D9D9D9"/>
              <w:right w:val="single" w:sz="1" w:space="0" w:color="D9D9D9"/>
            </w:tcBorders>
            <w:shd w:val="clear" w:color="auto" w:fill="F2F6FA"/>
            <w:tcMar>
              <w:top w:w="50" w:type="dxa"/>
              <w:left w:w="100" w:type="dxa"/>
              <w:bottom w:w="50" w:type="dxa"/>
              <w:right w:w="100" w:type="dxa"/>
            </w:tcMar>
            <w:vAlign w:val="center"/>
          </w:tcPr>
          <w:p w14:paraId="5CB8A058" w14:textId="77777777" w:rsidR="006C2E44" w:rsidRDefault="00000000">
            <w:r>
              <w:rPr>
                <w:sz w:val="19"/>
                <w:szCs w:val="19"/>
              </w:rPr>
              <w:t>Adopt the live dashboard</w:t>
            </w:r>
          </w:p>
        </w:tc>
        <w:tc>
          <w:tcPr>
            <w:tcW w:w="6580" w:type="dxa"/>
            <w:tcBorders>
              <w:top w:val="single" w:sz="1" w:space="0" w:color="D9D9D9"/>
              <w:left w:val="single" w:sz="1" w:space="0" w:color="D9D9D9"/>
              <w:bottom w:val="single" w:sz="1" w:space="0" w:color="D9D9D9"/>
              <w:right w:val="single" w:sz="1" w:space="0" w:color="D9D9D9"/>
            </w:tcBorders>
            <w:shd w:val="clear" w:color="auto" w:fill="F2F6FA"/>
            <w:tcMar>
              <w:top w:w="50" w:type="dxa"/>
              <w:left w:w="100" w:type="dxa"/>
              <w:bottom w:w="50" w:type="dxa"/>
              <w:right w:w="100" w:type="dxa"/>
            </w:tcMar>
            <w:vAlign w:val="center"/>
          </w:tcPr>
          <w:p w14:paraId="31EC40A9" w14:textId="77777777" w:rsidR="006C2E44" w:rsidRDefault="00000000">
            <w:proofErr w:type="spellStart"/>
            <w:proofErr w:type="gramStart"/>
            <w:r>
              <w:rPr>
                <w:sz w:val="19"/>
                <w:szCs w:val="19"/>
              </w:rPr>
              <w:t>Lets</w:t>
            </w:r>
            <w:proofErr w:type="spellEnd"/>
            <w:proofErr w:type="gramEnd"/>
            <w:r>
              <w:rPr>
                <w:sz w:val="19"/>
                <w:szCs w:val="19"/>
              </w:rPr>
              <w:t xml:space="preserve"> your team test “what-if” factory changes before committing, going forward.</w:t>
            </w:r>
          </w:p>
        </w:tc>
      </w:tr>
    </w:tbl>
    <w:p w14:paraId="01745C0F" w14:textId="5D04060F" w:rsidR="006C2E44" w:rsidRDefault="00000000">
      <w:pPr>
        <w:pStyle w:val="Heading1"/>
      </w:pPr>
      <w:r>
        <w:t>Tool</w:t>
      </w:r>
      <w:r w:rsidR="00A74552">
        <w:t xml:space="preserve">s </w:t>
      </w:r>
      <w:r>
        <w:t>Delivered</w:t>
      </w:r>
    </w:p>
    <w:p w14:paraId="67FC527C" w14:textId="77777777" w:rsidR="006C2E44" w:rsidRDefault="00000000">
      <w:pPr>
        <w:spacing w:after="110" w:line="252" w:lineRule="auto"/>
      </w:pPr>
      <w:r>
        <w:rPr>
          <w:sz w:val="20"/>
          <w:szCs w:val="20"/>
        </w:rPr>
        <w:t>Alongside this summary, the project team has delivered a live, interactive dashboard where staff can select any product, compare factories side by side, and see which reassignments are recommended and why — no technical expertise required. A full technical research paper with complete methodology is available as a companion document.</w:t>
      </w:r>
    </w:p>
    <w:sectPr w:rsidR="006C2E44">
      <w:headerReference w:type="default" r:id="rId9"/>
      <w:footerReference w:type="default" r:id="rId10"/>
      <w:pgSz w:w="12240" w:h="15840"/>
      <w:pgMar w:top="860" w:right="860" w:bottom="860" w:left="8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1A66D" w14:textId="77777777" w:rsidR="007D5AD9" w:rsidRDefault="007D5AD9">
      <w:r>
        <w:separator/>
      </w:r>
    </w:p>
  </w:endnote>
  <w:endnote w:type="continuationSeparator" w:id="0">
    <w:p w14:paraId="5BC2F0AE" w14:textId="77777777" w:rsidR="007D5AD9" w:rsidRDefault="007D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6B57" w14:textId="77777777" w:rsidR="006C2E44" w:rsidRDefault="00000000">
    <w:pPr>
      <w:jc w:val="center"/>
    </w:pPr>
    <w:r>
      <w:rPr>
        <w:color w:val="808080"/>
        <w:sz w:val="15"/>
        <w:szCs w:val="15"/>
      </w:rPr>
      <w:t>Prepared for government stakeholder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34ABC" w14:textId="77777777" w:rsidR="007D5AD9" w:rsidRDefault="007D5AD9">
      <w:r>
        <w:separator/>
      </w:r>
    </w:p>
  </w:footnote>
  <w:footnote w:type="continuationSeparator" w:id="0">
    <w:p w14:paraId="1CC9CBAA" w14:textId="77777777" w:rsidR="007D5AD9" w:rsidRDefault="007D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4830" w14:textId="77777777" w:rsidR="006C2E44" w:rsidRDefault="00000000">
    <w:pPr>
      <w:jc w:val="right"/>
    </w:pPr>
    <w:r>
      <w:rPr>
        <w:color w:val="808080"/>
        <w:sz w:val="15"/>
        <w:szCs w:val="15"/>
      </w:rPr>
      <w:t>Nassau Candy Distributor —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8674B"/>
    <w:multiLevelType w:val="hybridMultilevel"/>
    <w:tmpl w:val="3372EA50"/>
    <w:lvl w:ilvl="0" w:tplc="B5843952">
      <w:start w:val="1"/>
      <w:numFmt w:val="bullet"/>
      <w:lvlText w:val="●"/>
      <w:lvlJc w:val="left"/>
      <w:pPr>
        <w:ind w:left="720" w:hanging="360"/>
      </w:pPr>
    </w:lvl>
    <w:lvl w:ilvl="1" w:tplc="508800D4">
      <w:start w:val="1"/>
      <w:numFmt w:val="bullet"/>
      <w:lvlText w:val="○"/>
      <w:lvlJc w:val="left"/>
      <w:pPr>
        <w:ind w:left="1440" w:hanging="360"/>
      </w:pPr>
    </w:lvl>
    <w:lvl w:ilvl="2" w:tplc="2D86EAB2">
      <w:start w:val="1"/>
      <w:numFmt w:val="bullet"/>
      <w:lvlText w:val="■"/>
      <w:lvlJc w:val="left"/>
      <w:pPr>
        <w:ind w:left="2160" w:hanging="360"/>
      </w:pPr>
    </w:lvl>
    <w:lvl w:ilvl="3" w:tplc="46409024">
      <w:start w:val="1"/>
      <w:numFmt w:val="bullet"/>
      <w:lvlText w:val="●"/>
      <w:lvlJc w:val="left"/>
      <w:pPr>
        <w:ind w:left="2880" w:hanging="360"/>
      </w:pPr>
    </w:lvl>
    <w:lvl w:ilvl="4" w:tplc="45346730">
      <w:start w:val="1"/>
      <w:numFmt w:val="bullet"/>
      <w:lvlText w:val="○"/>
      <w:lvlJc w:val="left"/>
      <w:pPr>
        <w:ind w:left="3600" w:hanging="360"/>
      </w:pPr>
    </w:lvl>
    <w:lvl w:ilvl="5" w:tplc="F350E54C">
      <w:start w:val="1"/>
      <w:numFmt w:val="bullet"/>
      <w:lvlText w:val="■"/>
      <w:lvlJc w:val="left"/>
      <w:pPr>
        <w:ind w:left="4320" w:hanging="360"/>
      </w:pPr>
    </w:lvl>
    <w:lvl w:ilvl="6" w:tplc="531020AA">
      <w:start w:val="1"/>
      <w:numFmt w:val="bullet"/>
      <w:lvlText w:val="●"/>
      <w:lvlJc w:val="left"/>
      <w:pPr>
        <w:ind w:left="5040" w:hanging="360"/>
      </w:pPr>
    </w:lvl>
    <w:lvl w:ilvl="7" w:tplc="72FCBA3E">
      <w:start w:val="1"/>
      <w:numFmt w:val="bullet"/>
      <w:lvlText w:val="●"/>
      <w:lvlJc w:val="left"/>
      <w:pPr>
        <w:ind w:left="5760" w:hanging="360"/>
      </w:pPr>
    </w:lvl>
    <w:lvl w:ilvl="8" w:tplc="8300258A">
      <w:start w:val="1"/>
      <w:numFmt w:val="bullet"/>
      <w:lvlText w:val="●"/>
      <w:lvlJc w:val="left"/>
      <w:pPr>
        <w:ind w:left="6480" w:hanging="360"/>
      </w:pPr>
    </w:lvl>
  </w:abstractNum>
  <w:abstractNum w:abstractNumId="1" w15:restartNumberingAfterBreak="0">
    <w:nsid w:val="78BB6FBC"/>
    <w:multiLevelType w:val="hybridMultilevel"/>
    <w:tmpl w:val="C3ECBE84"/>
    <w:lvl w:ilvl="0" w:tplc="42169586">
      <w:start w:val="1"/>
      <w:numFmt w:val="bullet"/>
      <w:lvlText w:val="•"/>
      <w:lvlJc w:val="left"/>
      <w:pPr>
        <w:ind w:left="640" w:hanging="320"/>
      </w:pPr>
    </w:lvl>
    <w:lvl w:ilvl="1" w:tplc="DFD8DBA0">
      <w:numFmt w:val="decimal"/>
      <w:lvlText w:val=""/>
      <w:lvlJc w:val="left"/>
    </w:lvl>
    <w:lvl w:ilvl="2" w:tplc="2486A6D4">
      <w:numFmt w:val="decimal"/>
      <w:lvlText w:val=""/>
      <w:lvlJc w:val="left"/>
    </w:lvl>
    <w:lvl w:ilvl="3" w:tplc="94D68144">
      <w:numFmt w:val="decimal"/>
      <w:lvlText w:val=""/>
      <w:lvlJc w:val="left"/>
    </w:lvl>
    <w:lvl w:ilvl="4" w:tplc="9080E89A">
      <w:numFmt w:val="decimal"/>
      <w:lvlText w:val=""/>
      <w:lvlJc w:val="left"/>
    </w:lvl>
    <w:lvl w:ilvl="5" w:tplc="02FA6E68">
      <w:numFmt w:val="decimal"/>
      <w:lvlText w:val=""/>
      <w:lvlJc w:val="left"/>
    </w:lvl>
    <w:lvl w:ilvl="6" w:tplc="12FC9980">
      <w:numFmt w:val="decimal"/>
      <w:lvlText w:val=""/>
      <w:lvlJc w:val="left"/>
    </w:lvl>
    <w:lvl w:ilvl="7" w:tplc="583E9EFA">
      <w:numFmt w:val="decimal"/>
      <w:lvlText w:val=""/>
      <w:lvlJc w:val="left"/>
    </w:lvl>
    <w:lvl w:ilvl="8" w:tplc="4FBE987C">
      <w:numFmt w:val="decimal"/>
      <w:lvlText w:val=""/>
      <w:lvlJc w:val="left"/>
    </w:lvl>
  </w:abstractNum>
  <w:num w:numId="1" w16cid:durableId="346832199">
    <w:abstractNumId w:val="0"/>
    <w:lvlOverride w:ilvl="0">
      <w:startOverride w:val="1"/>
    </w:lvlOverride>
  </w:num>
  <w:num w:numId="2" w16cid:durableId="38824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E44"/>
    <w:rsid w:val="006C2E44"/>
    <w:rsid w:val="007D5AD9"/>
    <w:rsid w:val="00A74552"/>
    <w:rsid w:val="00BB4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A837E"/>
  <w15:docId w15:val="{5ACFA4DE-33A1-4467-A7FA-915D2733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1F4E79"/>
      </w:pBdr>
      <w:spacing w:before="140" w:after="80"/>
      <w:outlineLvl w:val="0"/>
    </w:pPr>
    <w:rPr>
      <w:b/>
      <w:bCs/>
      <w:color w:val="1F4E79"/>
      <w:sz w:val="25"/>
      <w:szCs w:val="25"/>
    </w:rPr>
  </w:style>
  <w:style w:type="paragraph" w:styleId="Heading2">
    <w:name w:val="heading 2"/>
    <w:uiPriority w:val="9"/>
    <w:semiHidden/>
    <w:unhideWhenUsed/>
    <w:qFormat/>
    <w:pPr>
      <w:spacing w:before="200" w:after="10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Yashasvi Gholse</cp:lastModifiedBy>
  <cp:revision>3</cp:revision>
  <dcterms:created xsi:type="dcterms:W3CDTF">2026-06-20T11:11:00Z</dcterms:created>
  <dcterms:modified xsi:type="dcterms:W3CDTF">2026-07-04T10:46:00Z</dcterms:modified>
</cp:coreProperties>
</file>