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901A" w14:textId="77777777" w:rsidR="000454F8" w:rsidRDefault="000454F8" w:rsidP="00C5509C">
      <w:pPr>
        <w:pStyle w:val="NormalWeb"/>
        <w:spacing w:before="0" w:beforeAutospacing="0" w:after="0" w:afterAutospacing="0"/>
        <w:ind w:right="-399"/>
        <w:rPr>
          <w:color w:val="0E101A"/>
        </w:rPr>
      </w:pPr>
    </w:p>
    <w:p w14:paraId="5E81697B" w14:textId="7795DA83" w:rsidR="00C5509C" w:rsidRPr="00C5509C" w:rsidRDefault="000454F8" w:rsidP="00C5509C">
      <w:pPr>
        <w:pStyle w:val="Heading2"/>
        <w:spacing w:before="0"/>
        <w:ind w:right="-399"/>
        <w:jc w:val="center"/>
        <w:rPr>
          <w:rFonts w:ascii="Times New Roman" w:hAnsi="Times New Roman" w:cs="Times New Roman"/>
          <w:b/>
          <w:bCs/>
          <w:color w:val="0E101A"/>
          <w:sz w:val="36"/>
          <w:szCs w:val="36"/>
        </w:rPr>
      </w:pPr>
      <w:r w:rsidRPr="00C5509C">
        <w:rPr>
          <w:rFonts w:ascii="Times New Roman" w:hAnsi="Times New Roman" w:cs="Times New Roman"/>
          <w:b/>
          <w:bCs/>
          <w:color w:val="0E101A"/>
          <w:sz w:val="36"/>
          <w:szCs w:val="36"/>
        </w:rPr>
        <w:t>Visualizing the central bank's balance sheet changes over time with the implementation of monetary policy.</w:t>
      </w:r>
    </w:p>
    <w:p w14:paraId="3F4D2128" w14:textId="77777777" w:rsidR="00C5509C" w:rsidRPr="00C5509C" w:rsidRDefault="00C5509C" w:rsidP="00C5509C"/>
    <w:p w14:paraId="004B968F" w14:textId="2A9E5FFC" w:rsidR="00C5509C" w:rsidRPr="00185590" w:rsidRDefault="00185590" w:rsidP="00C5509C">
      <w:pPr>
        <w:rPr>
          <w:sz w:val="28"/>
          <w:szCs w:val="28"/>
        </w:rPr>
      </w:pPr>
      <w:r w:rsidRPr="00185590">
        <w:rPr>
          <w:sz w:val="28"/>
          <w:szCs w:val="28"/>
        </w:rPr>
        <w:t>November 12, 2024</w:t>
      </w:r>
    </w:p>
    <w:p w14:paraId="7B23C2E5" w14:textId="77777777" w:rsidR="00C5509C" w:rsidRPr="00C5509C" w:rsidRDefault="00C5509C" w:rsidP="00C5509C"/>
    <w:p w14:paraId="5436EFF2" w14:textId="77777777" w:rsidR="000454F8" w:rsidRDefault="000454F8" w:rsidP="00C5509C">
      <w:pPr>
        <w:pStyle w:val="NormalWeb"/>
        <w:spacing w:before="0" w:beforeAutospacing="0" w:after="0" w:afterAutospacing="0"/>
        <w:ind w:right="-399"/>
        <w:rPr>
          <w:color w:val="0E101A"/>
        </w:rPr>
      </w:pPr>
    </w:p>
    <w:p w14:paraId="4CFB5115" w14:textId="77777777" w:rsidR="0024390A" w:rsidRDefault="000454F8" w:rsidP="0024390A">
      <w:pPr>
        <w:pStyle w:val="NormalWeb"/>
        <w:spacing w:before="0" w:beforeAutospacing="0" w:after="0" w:afterAutospacing="0"/>
        <w:ind w:right="-399"/>
        <w:rPr>
          <w:color w:val="4472C4" w:themeColor="accent1"/>
        </w:rPr>
      </w:pPr>
      <w:r w:rsidRPr="00C5509C">
        <w:rPr>
          <w:color w:val="4472C4" w:themeColor="accent1"/>
        </w:rPr>
        <w:t>INTRODUCTION:</w:t>
      </w:r>
    </w:p>
    <w:p w14:paraId="3DD92762" w14:textId="77777777" w:rsidR="0024390A" w:rsidRDefault="0024390A" w:rsidP="0024390A">
      <w:pPr>
        <w:pStyle w:val="NormalWeb"/>
        <w:spacing w:before="0" w:beforeAutospacing="0" w:after="0" w:afterAutospacing="0"/>
        <w:ind w:right="-399"/>
        <w:rPr>
          <w:color w:val="4472C4" w:themeColor="accent1"/>
        </w:rPr>
      </w:pPr>
    </w:p>
    <w:p w14:paraId="09AB976F" w14:textId="60628019" w:rsidR="0024390A" w:rsidRPr="0024390A" w:rsidRDefault="0024390A" w:rsidP="0024390A">
      <w:pPr>
        <w:pStyle w:val="NormalWeb"/>
        <w:spacing w:before="0" w:beforeAutospacing="0" w:after="0" w:afterAutospacing="0"/>
        <w:ind w:right="-399"/>
        <w:rPr>
          <w:color w:val="4472C4" w:themeColor="accent1"/>
        </w:rPr>
      </w:pPr>
      <w:r w:rsidRPr="0024390A">
        <w:rPr>
          <w:color w:val="0E101A"/>
        </w:rPr>
        <w:t>This report looks at how changes in interest rates affect the economy and financial stability. Normally, when interest rates go down, it becomes cheaper for businesses and people to borrow money (called expansionary monetary policy). This often leads to more spending on things like investments and purchases, which can boost the economy. It also tends to increase the value of assets like stocks and real estate.</w:t>
      </w:r>
      <w:r>
        <w:rPr>
          <w:color w:val="0E101A"/>
        </w:rPr>
        <w:t xml:space="preserve"> </w:t>
      </w:r>
      <w:r w:rsidRPr="0024390A">
        <w:rPr>
          <w:color w:val="0E101A"/>
        </w:rPr>
        <w:t>But this report goes deeper. It looks at something called "financial friction channels." These are extra factors that show how changes in interest rates affect the economy through different ways, like dealing with problems or imperfections in the financial markets.</w:t>
      </w:r>
    </w:p>
    <w:p w14:paraId="0765791D" w14:textId="714B948D" w:rsidR="000454F8" w:rsidRDefault="0024390A" w:rsidP="0024390A">
      <w:pPr>
        <w:pStyle w:val="NormalWeb"/>
        <w:spacing w:before="0" w:beforeAutospacing="0" w:after="0" w:afterAutospacing="0"/>
        <w:ind w:right="-399"/>
        <w:rPr>
          <w:color w:val="0E101A"/>
        </w:rPr>
      </w:pPr>
      <w:r w:rsidRPr="0024390A">
        <w:rPr>
          <w:color w:val="0E101A"/>
        </w:rPr>
        <w:t xml:space="preserve">Understanding these channels is </w:t>
      </w:r>
      <w:r w:rsidR="00316436" w:rsidRPr="0024390A">
        <w:rPr>
          <w:color w:val="0E101A"/>
        </w:rPr>
        <w:t>important</w:t>
      </w:r>
      <w:r w:rsidRPr="0024390A">
        <w:rPr>
          <w:color w:val="0E101A"/>
        </w:rPr>
        <w:t xml:space="preserve"> for policymakers because it helps them figure out how to manage interest rates effectively and keep the financial system stable. Basically, we want to figure out how much these financial factors make the effects of interest rate changes stronger, and how interest rate policies can help keep the financial system stable by looking at broader economic factors.</w:t>
      </w:r>
    </w:p>
    <w:p w14:paraId="5AE402CF" w14:textId="77777777" w:rsidR="000454F8" w:rsidRDefault="000454F8" w:rsidP="00C5509C">
      <w:pPr>
        <w:pStyle w:val="NormalWeb"/>
        <w:spacing w:before="0" w:beforeAutospacing="0" w:after="0" w:afterAutospacing="0"/>
        <w:ind w:right="-399"/>
        <w:rPr>
          <w:color w:val="0E101A"/>
        </w:rPr>
      </w:pPr>
    </w:p>
    <w:p w14:paraId="750E9B6C" w14:textId="77777777" w:rsidR="0024390A" w:rsidRDefault="0024390A" w:rsidP="0024390A">
      <w:pPr>
        <w:pStyle w:val="NormalWeb"/>
        <w:spacing w:before="0" w:beforeAutospacing="0" w:after="0" w:afterAutospacing="0"/>
        <w:ind w:right="-399"/>
        <w:rPr>
          <w:color w:val="4472C4" w:themeColor="accent1"/>
        </w:rPr>
      </w:pPr>
    </w:p>
    <w:p w14:paraId="6209D59D" w14:textId="18F11DBD" w:rsidR="0024390A" w:rsidRDefault="000454F8" w:rsidP="0024390A">
      <w:pPr>
        <w:pStyle w:val="NormalWeb"/>
        <w:spacing w:before="0" w:beforeAutospacing="0" w:after="0" w:afterAutospacing="0"/>
        <w:ind w:right="-399"/>
        <w:rPr>
          <w:color w:val="4472C4" w:themeColor="accent1"/>
        </w:rPr>
      </w:pPr>
      <w:r w:rsidRPr="00FE05C4">
        <w:rPr>
          <w:color w:val="4472C4" w:themeColor="accent1"/>
        </w:rPr>
        <w:t>BACKGROUND/LITERATURE</w:t>
      </w:r>
      <w:r w:rsidR="00FE05C4">
        <w:rPr>
          <w:color w:val="4472C4" w:themeColor="accent1"/>
        </w:rPr>
        <w:t>:</w:t>
      </w:r>
    </w:p>
    <w:p w14:paraId="09082D3A" w14:textId="77777777" w:rsidR="0024390A" w:rsidRDefault="0024390A" w:rsidP="0024390A">
      <w:pPr>
        <w:pStyle w:val="NormalWeb"/>
        <w:spacing w:before="0" w:beforeAutospacing="0" w:after="0" w:afterAutospacing="0"/>
        <w:ind w:right="-399"/>
        <w:rPr>
          <w:color w:val="4472C4" w:themeColor="accent1"/>
        </w:rPr>
      </w:pPr>
    </w:p>
    <w:p w14:paraId="7C519B71" w14:textId="3B38CD23" w:rsidR="0024390A" w:rsidRPr="0024390A" w:rsidRDefault="0024390A" w:rsidP="0024390A">
      <w:pPr>
        <w:pStyle w:val="NormalWeb"/>
        <w:spacing w:before="0" w:beforeAutospacing="0" w:after="0" w:afterAutospacing="0"/>
        <w:ind w:right="-399"/>
        <w:rPr>
          <w:color w:val="4472C4" w:themeColor="accent1"/>
        </w:rPr>
      </w:pPr>
      <w:r w:rsidRPr="0024390A">
        <w:rPr>
          <w:color w:val="0E101A"/>
        </w:rPr>
        <w:t>There</w:t>
      </w:r>
      <w:r>
        <w:rPr>
          <w:color w:val="0E101A"/>
        </w:rPr>
        <w:t xml:space="preserve"> </w:t>
      </w:r>
      <w:r w:rsidR="00316436">
        <w:rPr>
          <w:color w:val="0E101A"/>
        </w:rPr>
        <w:t>has</w:t>
      </w:r>
      <w:r>
        <w:rPr>
          <w:color w:val="0E101A"/>
        </w:rPr>
        <w:t xml:space="preserve"> been previously</w:t>
      </w:r>
      <w:r w:rsidRPr="0024390A">
        <w:rPr>
          <w:color w:val="0E101A"/>
        </w:rPr>
        <w:t xml:space="preserve"> a study called "Monetary Policy and Balance Sheets" by Deniz Igan and others. </w:t>
      </w:r>
      <w:r w:rsidR="00316436" w:rsidRPr="0024390A">
        <w:rPr>
          <w:color w:val="0E101A"/>
        </w:rPr>
        <w:t>It is</w:t>
      </w:r>
      <w:r w:rsidRPr="0024390A">
        <w:rPr>
          <w:color w:val="0E101A"/>
        </w:rPr>
        <w:t xml:space="preserve"> important because it focuses on the years from 1990 to 2008, which had big events like the dot-com bubble and the financial crisis. This study helps us see how changes in monetary policy affect the financial health of different parts of the economy during these tough times.</w:t>
      </w:r>
    </w:p>
    <w:p w14:paraId="19D867E0" w14:textId="7D5BA4FD" w:rsidR="000454F8" w:rsidRDefault="0024390A" w:rsidP="0024390A">
      <w:pPr>
        <w:pStyle w:val="NormalWeb"/>
        <w:spacing w:before="0" w:beforeAutospacing="0" w:after="0" w:afterAutospacing="0"/>
        <w:ind w:right="-399"/>
        <w:rPr>
          <w:color w:val="0E101A"/>
        </w:rPr>
      </w:pPr>
      <w:r w:rsidRPr="0024390A">
        <w:rPr>
          <w:color w:val="0E101A"/>
        </w:rPr>
        <w:t xml:space="preserve">It adds to what we already know about how monetary policy works. Usually, we look at things like interest rates and asset prices. But this study also looks closely at balance sheets. These are like financial health check-ups for businesses, households, and banks. It builds on earlier research that showed how problems in financial markets can make monetary policy </w:t>
      </w:r>
      <w:r w:rsidR="00316436" w:rsidRPr="0024390A">
        <w:rPr>
          <w:color w:val="0E101A"/>
        </w:rPr>
        <w:t>effective</w:t>
      </w:r>
      <w:r w:rsidRPr="0024390A">
        <w:rPr>
          <w:color w:val="0E101A"/>
        </w:rPr>
        <w:t xml:space="preserve">. For example, if banks </w:t>
      </w:r>
      <w:r w:rsidR="00316436" w:rsidRPr="0024390A">
        <w:rPr>
          <w:color w:val="0E101A"/>
        </w:rPr>
        <w:t>are not</w:t>
      </w:r>
      <w:r w:rsidRPr="0024390A">
        <w:rPr>
          <w:color w:val="0E101A"/>
        </w:rPr>
        <w:t xml:space="preserve"> lending enough money, cutting interest rates might not help the economy as much as </w:t>
      </w:r>
      <w:r w:rsidR="00316436" w:rsidRPr="0024390A">
        <w:rPr>
          <w:color w:val="0E101A"/>
        </w:rPr>
        <w:t>we would</w:t>
      </w:r>
      <w:r w:rsidRPr="0024390A">
        <w:rPr>
          <w:color w:val="0E101A"/>
        </w:rPr>
        <w:t xml:space="preserve"> hope.</w:t>
      </w:r>
    </w:p>
    <w:p w14:paraId="2484E9D3" w14:textId="77777777" w:rsidR="0024390A" w:rsidRDefault="0024390A" w:rsidP="0024390A">
      <w:pPr>
        <w:pStyle w:val="NormalWeb"/>
        <w:spacing w:before="0" w:beforeAutospacing="0" w:after="0" w:afterAutospacing="0"/>
        <w:ind w:right="-399"/>
        <w:rPr>
          <w:color w:val="0E101A"/>
        </w:rPr>
      </w:pPr>
    </w:p>
    <w:p w14:paraId="1D289C93" w14:textId="77777777" w:rsidR="0024390A" w:rsidRDefault="0024390A" w:rsidP="00C5509C">
      <w:pPr>
        <w:pStyle w:val="NormalWeb"/>
        <w:spacing w:before="0" w:beforeAutospacing="0" w:after="0" w:afterAutospacing="0"/>
        <w:ind w:right="-399"/>
        <w:rPr>
          <w:color w:val="4472C4" w:themeColor="accent1"/>
        </w:rPr>
      </w:pPr>
    </w:p>
    <w:p w14:paraId="1E15C86E" w14:textId="4C6D6E2D" w:rsidR="000454F8" w:rsidRDefault="000454F8" w:rsidP="00C5509C">
      <w:pPr>
        <w:pStyle w:val="NormalWeb"/>
        <w:spacing w:before="0" w:beforeAutospacing="0" w:after="0" w:afterAutospacing="0"/>
        <w:ind w:right="-399"/>
        <w:rPr>
          <w:color w:val="4472C4" w:themeColor="accent1"/>
        </w:rPr>
      </w:pPr>
      <w:r w:rsidRPr="0024390A">
        <w:rPr>
          <w:color w:val="4472C4" w:themeColor="accent1"/>
        </w:rPr>
        <w:t>DESCRIPTION</w:t>
      </w:r>
      <w:r w:rsidR="0024390A">
        <w:rPr>
          <w:color w:val="4472C4" w:themeColor="accent1"/>
        </w:rPr>
        <w:t>:</w:t>
      </w:r>
    </w:p>
    <w:p w14:paraId="72CF3CF2" w14:textId="77777777" w:rsidR="0024390A" w:rsidRPr="0024390A" w:rsidRDefault="0024390A" w:rsidP="00C5509C">
      <w:pPr>
        <w:pStyle w:val="NormalWeb"/>
        <w:spacing w:before="0" w:beforeAutospacing="0" w:after="0" w:afterAutospacing="0"/>
        <w:ind w:right="-399"/>
        <w:rPr>
          <w:color w:val="4472C4" w:themeColor="accent1"/>
        </w:rPr>
      </w:pPr>
    </w:p>
    <w:p w14:paraId="44B6E573" w14:textId="766DEE77" w:rsidR="000454F8" w:rsidRDefault="000454F8" w:rsidP="00C5509C">
      <w:pPr>
        <w:pStyle w:val="NormalWeb"/>
        <w:spacing w:before="0" w:beforeAutospacing="0" w:after="0" w:afterAutospacing="0"/>
        <w:ind w:right="-399"/>
        <w:rPr>
          <w:color w:val="0E101A"/>
        </w:rPr>
      </w:pPr>
      <w:r>
        <w:rPr>
          <w:color w:val="0E101A"/>
        </w:rPr>
        <w:t xml:space="preserve">Despite much research, more debate still needs to be about how important these financial friction channels are. Some studies support their significance, while others question it. </w:t>
      </w:r>
      <w:r w:rsidR="0024390A">
        <w:rPr>
          <w:color w:val="0E101A"/>
        </w:rPr>
        <w:t xml:space="preserve">We </w:t>
      </w:r>
      <w:proofErr w:type="gramStart"/>
      <w:r w:rsidR="0024390A">
        <w:rPr>
          <w:color w:val="0E101A"/>
        </w:rPr>
        <w:t>here</w:t>
      </w:r>
      <w:proofErr w:type="gramEnd"/>
      <w:r>
        <w:rPr>
          <w:color w:val="0E101A"/>
        </w:rPr>
        <w:t xml:space="preserve"> revisit one of the original ideas about the "credit channel," which suggests that it does not replace traditional channels but amplifies their effects.</w:t>
      </w:r>
    </w:p>
    <w:p w14:paraId="0ED98D50" w14:textId="77777777" w:rsidR="00E74698" w:rsidRDefault="00E74698" w:rsidP="00C5509C">
      <w:pPr>
        <w:pStyle w:val="NormalWeb"/>
        <w:spacing w:before="0" w:beforeAutospacing="0" w:after="0" w:afterAutospacing="0"/>
        <w:ind w:right="-399"/>
        <w:rPr>
          <w:color w:val="0E101A"/>
        </w:rPr>
      </w:pPr>
    </w:p>
    <w:p w14:paraId="4070BD5E" w14:textId="662AB11D" w:rsidR="000454F8" w:rsidRDefault="000454F8" w:rsidP="00C5509C">
      <w:pPr>
        <w:pStyle w:val="NormalWeb"/>
        <w:spacing w:before="0" w:beforeAutospacing="0" w:after="0" w:afterAutospacing="0"/>
        <w:ind w:right="-399"/>
        <w:rPr>
          <w:color w:val="0E101A"/>
        </w:rPr>
      </w:pPr>
      <w:r>
        <w:rPr>
          <w:color w:val="0E101A"/>
        </w:rPr>
        <w:t>The report focuses on three critical financial friction channels:</w:t>
      </w:r>
    </w:p>
    <w:p w14:paraId="3FACD661" w14:textId="77777777" w:rsidR="0024390A" w:rsidRDefault="0024390A" w:rsidP="00C5509C">
      <w:pPr>
        <w:pStyle w:val="NormalWeb"/>
        <w:spacing w:before="0" w:beforeAutospacing="0" w:after="0" w:afterAutospacing="0"/>
        <w:ind w:right="-399"/>
        <w:rPr>
          <w:color w:val="0E101A"/>
        </w:rPr>
      </w:pPr>
    </w:p>
    <w:p w14:paraId="401D86B5" w14:textId="77777777" w:rsidR="000454F8" w:rsidRDefault="000454F8" w:rsidP="00C5509C">
      <w:pPr>
        <w:pStyle w:val="NormalWeb"/>
        <w:spacing w:before="0" w:beforeAutospacing="0" w:after="0" w:afterAutospacing="0"/>
        <w:ind w:right="-399"/>
        <w:rPr>
          <w:color w:val="0E101A"/>
        </w:rPr>
      </w:pPr>
      <w:r>
        <w:rPr>
          <w:color w:val="0E101A"/>
        </w:rPr>
        <w:t>1. </w:t>
      </w:r>
      <w:r>
        <w:rPr>
          <w:rStyle w:val="Strong"/>
          <w:color w:val="0E101A"/>
        </w:rPr>
        <w:t>Lending Channel</w:t>
      </w:r>
      <w:r>
        <w:rPr>
          <w:color w:val="0E101A"/>
        </w:rPr>
        <w:t>: This channel examines how monetary policy changes influence the credit supply from financial intermediaries, such as banks. It explores how interest rate adjustments affect lending activity, impacting investment and consumption.</w:t>
      </w:r>
    </w:p>
    <w:p w14:paraId="6DF1FA00" w14:textId="77777777" w:rsidR="0024390A" w:rsidRDefault="0024390A" w:rsidP="00C5509C">
      <w:pPr>
        <w:pStyle w:val="NormalWeb"/>
        <w:spacing w:before="0" w:beforeAutospacing="0" w:after="0" w:afterAutospacing="0"/>
        <w:ind w:right="-399"/>
        <w:rPr>
          <w:color w:val="0E101A"/>
        </w:rPr>
      </w:pPr>
    </w:p>
    <w:p w14:paraId="47C59323" w14:textId="77777777" w:rsidR="000454F8" w:rsidRDefault="000454F8" w:rsidP="00C5509C">
      <w:pPr>
        <w:pStyle w:val="NormalWeb"/>
        <w:spacing w:before="0" w:beforeAutospacing="0" w:after="0" w:afterAutospacing="0"/>
        <w:ind w:right="-399"/>
        <w:rPr>
          <w:color w:val="0E101A"/>
        </w:rPr>
      </w:pPr>
      <w:r>
        <w:rPr>
          <w:color w:val="0E101A"/>
        </w:rPr>
        <w:t>2. </w:t>
      </w:r>
      <w:r>
        <w:rPr>
          <w:rStyle w:val="Strong"/>
          <w:color w:val="0E101A"/>
        </w:rPr>
        <w:t>Balance-Sheet Channel</w:t>
      </w:r>
      <w:r>
        <w:rPr>
          <w:color w:val="0E101A"/>
        </w:rPr>
        <w:t>: Here, the report delves into how changes in interest rates affect the financial health and behaviour of borrowers and lenders. It explores how higher interest rates can make borrowing more expensive, potentially reducing borrowing and investment, and how changes in interest rates can affect the value of assets used as collateral for loans.</w:t>
      </w:r>
    </w:p>
    <w:p w14:paraId="01AA8733" w14:textId="77777777" w:rsidR="000454F8" w:rsidRDefault="000454F8" w:rsidP="00C5509C">
      <w:pPr>
        <w:pStyle w:val="NormalWeb"/>
        <w:spacing w:before="0" w:beforeAutospacing="0" w:after="0" w:afterAutospacing="0"/>
        <w:ind w:right="-399"/>
        <w:rPr>
          <w:color w:val="0E101A"/>
        </w:rPr>
      </w:pPr>
    </w:p>
    <w:p w14:paraId="06116F12" w14:textId="77777777" w:rsidR="000454F8" w:rsidRDefault="000454F8" w:rsidP="00C5509C">
      <w:pPr>
        <w:pStyle w:val="NormalWeb"/>
        <w:spacing w:before="0" w:beforeAutospacing="0" w:after="0" w:afterAutospacing="0"/>
        <w:ind w:right="-399"/>
        <w:rPr>
          <w:color w:val="0E101A"/>
        </w:rPr>
      </w:pPr>
      <w:r>
        <w:rPr>
          <w:color w:val="0E101A"/>
        </w:rPr>
        <w:t>3. </w:t>
      </w:r>
      <w:r>
        <w:rPr>
          <w:rStyle w:val="Strong"/>
          <w:color w:val="0E101A"/>
        </w:rPr>
        <w:t>Risk-Taking Channel</w:t>
      </w:r>
      <w:r>
        <w:rPr>
          <w:color w:val="0E101A"/>
        </w:rPr>
        <w:t>: This channel focuses on how changes in monetary policy influence the risk-taking behaviour of financial institutions. It examines how lower interest rates can increase risk-taking as investors seek higher returns, potentially amplifying financial market volatility.</w:t>
      </w:r>
    </w:p>
    <w:p w14:paraId="66450B91" w14:textId="77777777" w:rsidR="0024390A" w:rsidRDefault="0024390A" w:rsidP="00C5509C">
      <w:pPr>
        <w:pStyle w:val="NormalWeb"/>
        <w:spacing w:before="0" w:beforeAutospacing="0" w:after="0" w:afterAutospacing="0"/>
        <w:ind w:right="-399"/>
        <w:rPr>
          <w:color w:val="0E101A"/>
        </w:rPr>
      </w:pPr>
    </w:p>
    <w:p w14:paraId="16473ABC" w14:textId="77777777" w:rsidR="0024390A" w:rsidRDefault="0024390A" w:rsidP="00C5509C">
      <w:pPr>
        <w:pStyle w:val="NormalWeb"/>
        <w:spacing w:before="0" w:beforeAutospacing="0" w:after="0" w:afterAutospacing="0"/>
        <w:ind w:right="-399"/>
        <w:rPr>
          <w:color w:val="0E101A"/>
        </w:rPr>
      </w:pPr>
    </w:p>
    <w:p w14:paraId="66D01F97" w14:textId="77777777" w:rsidR="0024390A" w:rsidRDefault="0024390A" w:rsidP="00C5509C">
      <w:pPr>
        <w:pStyle w:val="NormalWeb"/>
        <w:spacing w:before="0" w:beforeAutospacing="0" w:after="0" w:afterAutospacing="0"/>
        <w:ind w:right="-399"/>
        <w:rPr>
          <w:color w:val="0E101A"/>
        </w:rPr>
      </w:pPr>
    </w:p>
    <w:p w14:paraId="2C9AB50D" w14:textId="45A5057B" w:rsidR="000454F8" w:rsidRDefault="000454F8" w:rsidP="00C5509C">
      <w:pPr>
        <w:pStyle w:val="NormalWeb"/>
        <w:spacing w:before="0" w:beforeAutospacing="0" w:after="0" w:afterAutospacing="0"/>
        <w:ind w:right="-399"/>
        <w:rPr>
          <w:color w:val="4472C4" w:themeColor="accent1"/>
        </w:rPr>
      </w:pPr>
      <w:r w:rsidRPr="0024390A">
        <w:rPr>
          <w:color w:val="4472C4" w:themeColor="accent1"/>
        </w:rPr>
        <w:t>FINDING</w:t>
      </w:r>
      <w:r w:rsidR="0024390A">
        <w:rPr>
          <w:color w:val="4472C4" w:themeColor="accent1"/>
        </w:rPr>
        <w:t>S:</w:t>
      </w:r>
    </w:p>
    <w:p w14:paraId="1CC0C6CD" w14:textId="77777777" w:rsidR="0024390A" w:rsidRDefault="0024390A" w:rsidP="00C5509C">
      <w:pPr>
        <w:pStyle w:val="NormalWeb"/>
        <w:spacing w:before="0" w:beforeAutospacing="0" w:after="0" w:afterAutospacing="0"/>
        <w:ind w:right="-399"/>
        <w:rPr>
          <w:color w:val="4472C4" w:themeColor="accent1"/>
        </w:rPr>
      </w:pPr>
    </w:p>
    <w:p w14:paraId="69BA9B11" w14:textId="6A2E9C5A" w:rsidR="00316436" w:rsidRDefault="0024390A" w:rsidP="0024390A">
      <w:pPr>
        <w:pStyle w:val="NormalWeb"/>
        <w:spacing w:after="0"/>
        <w:ind w:right="-399"/>
        <w:rPr>
          <w:color w:val="0E101A"/>
        </w:rPr>
      </w:pPr>
      <w:r w:rsidRPr="00ED7FE9">
        <w:rPr>
          <w:color w:val="0E101A"/>
        </w:rPr>
        <w:t>Th</w:t>
      </w:r>
      <w:r>
        <w:rPr>
          <w:color w:val="0E101A"/>
        </w:rPr>
        <w:t>is</w:t>
      </w:r>
      <w:r w:rsidRPr="00ED7FE9">
        <w:rPr>
          <w:color w:val="0E101A"/>
        </w:rPr>
        <w:t xml:space="preserve"> analysis is about a central banker thinking about raising interest rates, known as tightening monetary policy. </w:t>
      </w:r>
      <w:r w:rsidR="00316436" w:rsidRPr="00ED7FE9">
        <w:rPr>
          <w:color w:val="0E101A"/>
        </w:rPr>
        <w:t>They are</w:t>
      </w:r>
      <w:r w:rsidRPr="00ED7FE9">
        <w:rPr>
          <w:color w:val="0E101A"/>
        </w:rPr>
        <w:t xml:space="preserve"> looking at both economic conditions (like growth and inflation) and financial stability signals (like the health of banks and markets).</w:t>
      </w:r>
    </w:p>
    <w:p w14:paraId="369F621E" w14:textId="5366C6B1" w:rsidR="00316436" w:rsidRDefault="00316436" w:rsidP="0024390A">
      <w:pPr>
        <w:pStyle w:val="NormalWeb"/>
        <w:spacing w:after="0"/>
        <w:ind w:right="-399"/>
        <w:rPr>
          <w:color w:val="0E101A"/>
        </w:rPr>
      </w:pPr>
      <w:r w:rsidRPr="00ED7FE9">
        <w:rPr>
          <w:color w:val="0E101A"/>
        </w:rPr>
        <w:t>They are</w:t>
      </w:r>
      <w:r w:rsidR="0024390A" w:rsidRPr="00ED7FE9">
        <w:rPr>
          <w:color w:val="0E101A"/>
        </w:rPr>
        <w:t xml:space="preserve"> considering increasing the repo rate </w:t>
      </w:r>
      <w:r w:rsidR="0024390A">
        <w:rPr>
          <w:color w:val="0E101A"/>
        </w:rPr>
        <w:t>and</w:t>
      </w:r>
      <w:r w:rsidR="0024390A" w:rsidRPr="00ED7FE9">
        <w:rPr>
          <w:color w:val="0E101A"/>
        </w:rPr>
        <w:t xml:space="preserve"> how this change affects the economy in the short term (4 quarters) and medium term (8 to 12 quarters).</w:t>
      </w:r>
    </w:p>
    <w:p w14:paraId="229BCE35" w14:textId="77777777" w:rsidR="00316436" w:rsidRDefault="0024390A" w:rsidP="0024390A">
      <w:pPr>
        <w:pStyle w:val="NormalWeb"/>
        <w:spacing w:after="0"/>
        <w:ind w:right="-399"/>
        <w:rPr>
          <w:color w:val="0E101A"/>
        </w:rPr>
      </w:pPr>
      <w:r w:rsidRPr="00ED7FE9">
        <w:rPr>
          <w:color w:val="0E101A"/>
        </w:rPr>
        <w:t xml:space="preserve">When they increase interest rates, inflation goes down in both the short and medium term. </w:t>
      </w:r>
    </w:p>
    <w:p w14:paraId="0B5F9BA3" w14:textId="6DE26DD1" w:rsidR="00316436" w:rsidRDefault="0024390A" w:rsidP="0024390A">
      <w:pPr>
        <w:pStyle w:val="NormalWeb"/>
        <w:spacing w:after="0"/>
        <w:ind w:right="-399"/>
        <w:rPr>
          <w:color w:val="0E101A"/>
        </w:rPr>
      </w:pPr>
      <w:r w:rsidRPr="00ED7FE9">
        <w:rPr>
          <w:color w:val="0E101A"/>
        </w:rPr>
        <w:t xml:space="preserve">Unemployment might not change immediately due to how the economy works, but over time, it tends to rise. </w:t>
      </w:r>
    </w:p>
    <w:p w14:paraId="0A997102" w14:textId="77777777" w:rsidR="0024390A" w:rsidRPr="0024390A" w:rsidRDefault="0024390A" w:rsidP="00C5509C">
      <w:pPr>
        <w:pStyle w:val="NormalWeb"/>
        <w:spacing w:before="0" w:beforeAutospacing="0" w:after="0" w:afterAutospacing="0"/>
        <w:ind w:right="-399"/>
        <w:rPr>
          <w:color w:val="4472C4" w:themeColor="accent1"/>
        </w:rPr>
      </w:pPr>
    </w:p>
    <w:p w14:paraId="21BB616F" w14:textId="77777777" w:rsidR="005F68C3" w:rsidRDefault="005F68C3" w:rsidP="00C5509C">
      <w:pPr>
        <w:pStyle w:val="NormalWeb"/>
        <w:spacing w:before="0" w:beforeAutospacing="0" w:after="0" w:afterAutospacing="0"/>
        <w:ind w:right="-399"/>
        <w:rPr>
          <w:color w:val="0E101A"/>
        </w:rPr>
      </w:pPr>
    </w:p>
    <w:p w14:paraId="2193ED56" w14:textId="4304ADD8" w:rsidR="005F68C3" w:rsidRDefault="005F68C3" w:rsidP="00C5509C">
      <w:pPr>
        <w:pStyle w:val="NormalWeb"/>
        <w:spacing w:before="0" w:beforeAutospacing="0" w:after="0" w:afterAutospacing="0"/>
        <w:ind w:right="-399"/>
        <w:jc w:val="center"/>
        <w:rPr>
          <w:color w:val="0E101A"/>
        </w:rPr>
      </w:pPr>
      <w:r>
        <w:rPr>
          <w:noProof/>
        </w:rPr>
        <w:drawing>
          <wp:inline distT="0" distB="0" distL="0" distR="0" wp14:anchorId="258E1AC0" wp14:editId="3763C76D">
            <wp:extent cx="3359150" cy="1717671"/>
            <wp:effectExtent l="0" t="0" r="0" b="0"/>
            <wp:docPr id="64373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6088" r="4642" b="5017"/>
                    <a:stretch/>
                  </pic:blipFill>
                  <pic:spPr bwMode="auto">
                    <a:xfrm>
                      <a:off x="0" y="0"/>
                      <a:ext cx="3379062" cy="1727853"/>
                    </a:xfrm>
                    <a:prstGeom prst="rect">
                      <a:avLst/>
                    </a:prstGeom>
                    <a:noFill/>
                    <a:ln>
                      <a:noFill/>
                    </a:ln>
                    <a:extLst>
                      <a:ext uri="{53640926-AAD7-44D8-BBD7-CCE9431645EC}">
                        <a14:shadowObscured xmlns:a14="http://schemas.microsoft.com/office/drawing/2010/main"/>
                      </a:ext>
                    </a:extLst>
                  </pic:spPr>
                </pic:pic>
              </a:graphicData>
            </a:graphic>
          </wp:inline>
        </w:drawing>
      </w:r>
    </w:p>
    <w:p w14:paraId="5E851302" w14:textId="4F290D12" w:rsidR="00DF5E5A" w:rsidRDefault="0024390A" w:rsidP="00C5509C">
      <w:pPr>
        <w:pStyle w:val="NormalWeb"/>
        <w:spacing w:before="0" w:beforeAutospacing="0" w:after="0" w:afterAutospacing="0"/>
        <w:ind w:right="-399"/>
        <w:rPr>
          <w:color w:val="0E101A"/>
        </w:rPr>
      </w:pPr>
      <w:r>
        <w:rPr>
          <w:noProof/>
        </w:rPr>
        <w:lastRenderedPageBreak/>
        <w:drawing>
          <wp:inline distT="0" distB="0" distL="0" distR="0" wp14:anchorId="74E75928" wp14:editId="6ED9DF98">
            <wp:extent cx="3211562" cy="1612594"/>
            <wp:effectExtent l="0" t="0" r="8255" b="6985"/>
            <wp:docPr id="1812755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013" r="4780" b="4630"/>
                    <a:stretch/>
                  </pic:blipFill>
                  <pic:spPr bwMode="auto">
                    <a:xfrm>
                      <a:off x="0" y="0"/>
                      <a:ext cx="3222582" cy="161812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ADCA7A" wp14:editId="1A53365C">
            <wp:extent cx="3073400" cy="1605622"/>
            <wp:effectExtent l="0" t="0" r="0" b="0"/>
            <wp:docPr id="16519234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022" r="5044" b="4713"/>
                    <a:stretch/>
                  </pic:blipFill>
                  <pic:spPr bwMode="auto">
                    <a:xfrm>
                      <a:off x="0" y="0"/>
                      <a:ext cx="3127289" cy="1633775"/>
                    </a:xfrm>
                    <a:prstGeom prst="rect">
                      <a:avLst/>
                    </a:prstGeom>
                    <a:noFill/>
                    <a:ln>
                      <a:noFill/>
                    </a:ln>
                    <a:extLst>
                      <a:ext uri="{53640926-AAD7-44D8-BBD7-CCE9431645EC}">
                        <a14:shadowObscured xmlns:a14="http://schemas.microsoft.com/office/drawing/2010/main"/>
                      </a:ext>
                    </a:extLst>
                  </pic:spPr>
                </pic:pic>
              </a:graphicData>
            </a:graphic>
          </wp:inline>
        </w:drawing>
      </w:r>
    </w:p>
    <w:p w14:paraId="55C76879" w14:textId="490B091F" w:rsidR="002C4283" w:rsidRDefault="005F68C3" w:rsidP="00C5509C">
      <w:pPr>
        <w:pStyle w:val="NormalWeb"/>
        <w:ind w:right="-399"/>
      </w:pPr>
      <w:r>
        <w:rPr>
          <w:noProof/>
        </w:rPr>
        <w:drawing>
          <wp:inline distT="0" distB="0" distL="0" distR="0" wp14:anchorId="28DDFAFC" wp14:editId="6649318D">
            <wp:extent cx="3160675" cy="2045335"/>
            <wp:effectExtent l="0" t="0" r="1905" b="0"/>
            <wp:docPr id="1103132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491"/>
                    <a:stretch/>
                  </pic:blipFill>
                  <pic:spPr bwMode="auto">
                    <a:xfrm>
                      <a:off x="0" y="0"/>
                      <a:ext cx="3245505" cy="2100230"/>
                    </a:xfrm>
                    <a:prstGeom prst="rect">
                      <a:avLst/>
                    </a:prstGeom>
                    <a:noFill/>
                    <a:ln>
                      <a:noFill/>
                    </a:ln>
                    <a:extLst>
                      <a:ext uri="{53640926-AAD7-44D8-BBD7-CCE9431645EC}">
                        <a14:shadowObscured xmlns:a14="http://schemas.microsoft.com/office/drawing/2010/main"/>
                      </a:ext>
                    </a:extLst>
                  </pic:spPr>
                </pic:pic>
              </a:graphicData>
            </a:graphic>
          </wp:inline>
        </w:drawing>
      </w:r>
      <w:r w:rsidR="00667010">
        <w:rPr>
          <w:noProof/>
        </w:rPr>
        <w:drawing>
          <wp:inline distT="0" distB="0" distL="0" distR="0" wp14:anchorId="1E8B5929" wp14:editId="05389217">
            <wp:extent cx="3124200" cy="2023226"/>
            <wp:effectExtent l="0" t="0" r="0" b="0"/>
            <wp:docPr id="357640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562"/>
                    <a:stretch/>
                  </pic:blipFill>
                  <pic:spPr bwMode="auto">
                    <a:xfrm>
                      <a:off x="0" y="0"/>
                      <a:ext cx="3190876" cy="2066405"/>
                    </a:xfrm>
                    <a:prstGeom prst="rect">
                      <a:avLst/>
                    </a:prstGeom>
                    <a:noFill/>
                    <a:ln>
                      <a:noFill/>
                    </a:ln>
                    <a:extLst>
                      <a:ext uri="{53640926-AAD7-44D8-BBD7-CCE9431645EC}">
                        <a14:shadowObscured xmlns:a14="http://schemas.microsoft.com/office/drawing/2010/main"/>
                      </a:ext>
                    </a:extLst>
                  </pic:spPr>
                </pic:pic>
              </a:graphicData>
            </a:graphic>
          </wp:inline>
        </w:drawing>
      </w:r>
    </w:p>
    <w:p w14:paraId="6D1F5233" w14:textId="77777777" w:rsidR="00316436" w:rsidRPr="00ED7FE9" w:rsidRDefault="00316436" w:rsidP="00316436">
      <w:pPr>
        <w:pStyle w:val="NormalWeb"/>
        <w:spacing w:after="0"/>
        <w:ind w:right="-399"/>
        <w:rPr>
          <w:color w:val="0E101A"/>
        </w:rPr>
      </w:pPr>
      <w:r w:rsidRPr="00ED7FE9">
        <w:rPr>
          <w:color w:val="0E101A"/>
        </w:rPr>
        <w:t>Real GDP (which measures economic growth) decreases for a while but then stabilizes.</w:t>
      </w:r>
    </w:p>
    <w:p w14:paraId="466150F5" w14:textId="77777777" w:rsidR="00E74698" w:rsidRDefault="00ED7FE9" w:rsidP="00316436">
      <w:pPr>
        <w:pStyle w:val="NormalWeb"/>
        <w:spacing w:after="0"/>
        <w:ind w:right="-399"/>
        <w:rPr>
          <w:color w:val="0E101A"/>
        </w:rPr>
      </w:pPr>
      <w:r w:rsidRPr="00ED7FE9">
        <w:rPr>
          <w:color w:val="0E101A"/>
        </w:rPr>
        <w:t xml:space="preserve">Higher interest rates make it more expensive for banks to borrow money, so </w:t>
      </w:r>
      <w:r w:rsidR="00316436" w:rsidRPr="00ED7FE9">
        <w:rPr>
          <w:color w:val="0E101A"/>
        </w:rPr>
        <w:t>they are</w:t>
      </w:r>
      <w:r w:rsidRPr="00ED7FE9">
        <w:rPr>
          <w:color w:val="0E101A"/>
        </w:rPr>
        <w:t xml:space="preserve"> less likely to lend. This impacts the "lending channel" because </w:t>
      </w:r>
      <w:r w:rsidR="00316436" w:rsidRPr="00ED7FE9">
        <w:rPr>
          <w:color w:val="0E101A"/>
        </w:rPr>
        <w:t>there is</w:t>
      </w:r>
      <w:r w:rsidRPr="00ED7FE9">
        <w:rPr>
          <w:color w:val="0E101A"/>
        </w:rPr>
        <w:t xml:space="preserve"> less money available for loans. Also, higher rates increase the cost of borrowing for individuals and businesses, making it harder for them to pay debts and reducing the value of their assets. This is called the "balance-sheet channel," and it affects people's ability to borrow and spend.</w:t>
      </w:r>
      <w:r w:rsidR="00316436">
        <w:rPr>
          <w:color w:val="0E101A"/>
        </w:rPr>
        <w:t xml:space="preserve"> </w:t>
      </w:r>
      <w:r w:rsidRPr="00ED7FE9">
        <w:rPr>
          <w:color w:val="0E101A"/>
        </w:rPr>
        <w:t>So, in simple terms, raising interest rates makes borrowing more expensive, which can slow down economic growth and affect people's ability to borrow and spend money.</w:t>
      </w:r>
      <w:r w:rsidR="00316436">
        <w:rPr>
          <w:color w:val="0E101A"/>
        </w:rPr>
        <w:t xml:space="preserve"> </w:t>
      </w:r>
    </w:p>
    <w:p w14:paraId="202365DF" w14:textId="77777777" w:rsidR="00E74698" w:rsidRDefault="00316436" w:rsidP="00316436">
      <w:pPr>
        <w:pStyle w:val="NormalWeb"/>
        <w:spacing w:after="0"/>
        <w:ind w:right="-399"/>
        <w:rPr>
          <w:color w:val="0E101A"/>
        </w:rPr>
      </w:pPr>
      <w:r w:rsidRPr="00316436">
        <w:rPr>
          <w:color w:val="0E101A"/>
        </w:rPr>
        <w:t>When the central bank raises interest rates, banks follow suit by increasing their lending rates.</w:t>
      </w:r>
    </w:p>
    <w:p w14:paraId="57ECB80A" w14:textId="45709E91" w:rsidR="00316436" w:rsidRDefault="00316436" w:rsidP="00316436">
      <w:pPr>
        <w:pStyle w:val="NormalWeb"/>
        <w:spacing w:after="0"/>
        <w:ind w:right="-399"/>
        <w:rPr>
          <w:color w:val="0E101A"/>
        </w:rPr>
      </w:pPr>
      <w:r w:rsidRPr="00316436">
        <w:rPr>
          <w:color w:val="0E101A"/>
        </w:rPr>
        <w:t xml:space="preserve">This means it becomes more expensive for people and businesses to borrow money. Initially, there might be a slight increase in total loans because existing borrowers might take out more money from their credit lines. But over time, total lending by banks decreases. This means banks are giving out fewer loans. </w:t>
      </w:r>
    </w:p>
    <w:p w14:paraId="255C7F56" w14:textId="77777777" w:rsidR="00316436" w:rsidRDefault="00316436" w:rsidP="00316436">
      <w:pPr>
        <w:pStyle w:val="NormalWeb"/>
        <w:spacing w:after="0"/>
        <w:ind w:right="-399"/>
        <w:rPr>
          <w:color w:val="0E101A"/>
        </w:rPr>
      </w:pPr>
    </w:p>
    <w:p w14:paraId="4EE7A962" w14:textId="688DDCC8" w:rsidR="000454F8" w:rsidRDefault="000454F8" w:rsidP="00316436">
      <w:pPr>
        <w:pStyle w:val="NormalWeb"/>
        <w:spacing w:after="0"/>
        <w:ind w:right="-399"/>
        <w:rPr>
          <w:color w:val="4472C4" w:themeColor="accent1"/>
        </w:rPr>
      </w:pPr>
      <w:r w:rsidRPr="00316436">
        <w:rPr>
          <w:color w:val="4472C4" w:themeColor="accent1"/>
        </w:rPr>
        <w:t>DISCUSSION</w:t>
      </w:r>
      <w:r w:rsidR="00316436">
        <w:rPr>
          <w:color w:val="4472C4" w:themeColor="accent1"/>
        </w:rPr>
        <w:t>:</w:t>
      </w:r>
    </w:p>
    <w:p w14:paraId="0CEE183F" w14:textId="77777777" w:rsidR="00316436" w:rsidRDefault="00316436" w:rsidP="00316436">
      <w:pPr>
        <w:pStyle w:val="NormalWeb"/>
        <w:spacing w:before="0" w:beforeAutospacing="0" w:after="0" w:afterAutospacing="0"/>
        <w:ind w:right="-399"/>
        <w:rPr>
          <w:color w:val="0E101A"/>
        </w:rPr>
      </w:pPr>
      <w:r>
        <w:rPr>
          <w:color w:val="0E101A"/>
        </w:rPr>
        <w:t>How inflation, unemployment, and GDP respond to changes in monetary policy differs when we include balance-sheet variables compared to when we do not (Figure above). When we include these variables, we notice some changes:</w:t>
      </w:r>
    </w:p>
    <w:p w14:paraId="2859E97F" w14:textId="5814F982" w:rsidR="000454F8" w:rsidRDefault="000454F8" w:rsidP="00C5509C">
      <w:pPr>
        <w:pStyle w:val="NormalWeb"/>
        <w:spacing w:before="0" w:beforeAutospacing="0" w:after="0" w:afterAutospacing="0"/>
        <w:ind w:right="-399"/>
        <w:rPr>
          <w:color w:val="0E101A"/>
        </w:rPr>
      </w:pPr>
      <w:r>
        <w:rPr>
          <w:color w:val="0E101A"/>
        </w:rPr>
        <w:lastRenderedPageBreak/>
        <w:t>                </w:t>
      </w:r>
    </w:p>
    <w:p w14:paraId="1C5F7F43" w14:textId="1787B822" w:rsidR="000454F8" w:rsidRDefault="00DF5E5A" w:rsidP="00C5509C">
      <w:pPr>
        <w:pStyle w:val="NormalWeb"/>
        <w:spacing w:before="0" w:beforeAutospacing="0" w:after="0" w:afterAutospacing="0"/>
        <w:ind w:right="-399"/>
        <w:rPr>
          <w:color w:val="0E101A"/>
        </w:rPr>
      </w:pPr>
      <w:r>
        <w:rPr>
          <w:noProof/>
        </w:rPr>
        <w:drawing>
          <wp:inline distT="0" distB="0" distL="0" distR="0" wp14:anchorId="6B921D79" wp14:editId="35E584E2">
            <wp:extent cx="5943600" cy="2473960"/>
            <wp:effectExtent l="0" t="0" r="0" b="2540"/>
            <wp:docPr id="1516021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5BAD7E6C" w14:textId="77777777" w:rsidR="000454F8" w:rsidRDefault="000454F8" w:rsidP="00C5509C">
      <w:pPr>
        <w:pStyle w:val="NormalWeb"/>
        <w:spacing w:before="0" w:beforeAutospacing="0" w:after="0" w:afterAutospacing="0"/>
        <w:ind w:right="-399"/>
        <w:rPr>
          <w:color w:val="0E101A"/>
          <w:vertAlign w:val="subscript"/>
        </w:rPr>
      </w:pPr>
      <w:r w:rsidRPr="00316436">
        <w:rPr>
          <w:color w:val="0E101A"/>
          <w:vertAlign w:val="subscript"/>
        </w:rPr>
        <w:t>Source- </w:t>
      </w:r>
      <w:hyperlink r:id="rId10" w:tgtFrame="_blank" w:history="1">
        <w:r w:rsidRPr="00316436">
          <w:rPr>
            <w:rStyle w:val="Hyperlink"/>
            <w:color w:val="4A6EE0"/>
            <w:vertAlign w:val="subscript"/>
          </w:rPr>
          <w:t>https://www.sciencedirect.com/science/article/pii/S0161893816300849</w:t>
        </w:r>
      </w:hyperlink>
    </w:p>
    <w:p w14:paraId="2EF211C1" w14:textId="77777777" w:rsidR="00316436" w:rsidRDefault="00316436" w:rsidP="00C5509C">
      <w:pPr>
        <w:pStyle w:val="NormalWeb"/>
        <w:spacing w:before="0" w:beforeAutospacing="0" w:after="0" w:afterAutospacing="0"/>
        <w:ind w:right="-399"/>
        <w:rPr>
          <w:color w:val="0E101A"/>
          <w:vertAlign w:val="subscript"/>
        </w:rPr>
      </w:pPr>
    </w:p>
    <w:p w14:paraId="6A139C08" w14:textId="77777777" w:rsidR="00316436" w:rsidRPr="00316436" w:rsidRDefault="00316436" w:rsidP="00C5509C">
      <w:pPr>
        <w:pStyle w:val="NormalWeb"/>
        <w:spacing w:before="0" w:beforeAutospacing="0" w:after="0" w:afterAutospacing="0"/>
        <w:ind w:right="-399"/>
        <w:rPr>
          <w:color w:val="0E101A"/>
          <w:vertAlign w:val="subscript"/>
        </w:rPr>
      </w:pPr>
    </w:p>
    <w:p w14:paraId="5B296FCB" w14:textId="77777777" w:rsidR="000454F8" w:rsidRDefault="000454F8" w:rsidP="00C5509C">
      <w:pPr>
        <w:pStyle w:val="NormalWeb"/>
        <w:spacing w:before="0" w:beforeAutospacing="0" w:after="0" w:afterAutospacing="0"/>
        <w:ind w:right="-399"/>
        <w:rPr>
          <w:color w:val="0E101A"/>
        </w:rPr>
      </w:pPr>
      <w:r>
        <w:rPr>
          <w:color w:val="0E101A"/>
        </w:rPr>
        <w:t>1. Delayed Impact on Inflation: With balance-sheet variables included, inflation takes slightly longer to fall after monetary policy tightens.</w:t>
      </w:r>
    </w:p>
    <w:p w14:paraId="5FB29716" w14:textId="77777777" w:rsidR="000454F8" w:rsidRDefault="000454F8" w:rsidP="00C5509C">
      <w:pPr>
        <w:pStyle w:val="NormalWeb"/>
        <w:spacing w:before="0" w:beforeAutospacing="0" w:after="0" w:afterAutospacing="0"/>
        <w:ind w:right="-399"/>
        <w:rPr>
          <w:color w:val="0E101A"/>
        </w:rPr>
      </w:pPr>
      <w:r>
        <w:rPr>
          <w:color w:val="0E101A"/>
        </w:rPr>
        <w:t>2. Extended Negative Impact on Output and Unemployment: The adverse effects on output and unemployment last longer when we include balance-sheet variables.</w:t>
      </w:r>
    </w:p>
    <w:p w14:paraId="615B06C0" w14:textId="77777777" w:rsidR="000454F8" w:rsidRDefault="000454F8" w:rsidP="00C5509C">
      <w:pPr>
        <w:pStyle w:val="NormalWeb"/>
        <w:spacing w:before="0" w:beforeAutospacing="0" w:after="0" w:afterAutospacing="0"/>
        <w:ind w:right="-399"/>
        <w:rPr>
          <w:color w:val="0E101A"/>
        </w:rPr>
      </w:pPr>
      <w:r>
        <w:rPr>
          <w:color w:val="0E101A"/>
        </w:rPr>
        <w:t>3. Bigger Peak in Unemployment, Lower Peak in GDP: Additionally, we see that the peak in unemployment is higher, and the peak in GDP is lower.</w:t>
      </w:r>
    </w:p>
    <w:p w14:paraId="2FB30928" w14:textId="77777777" w:rsidR="00316436" w:rsidRDefault="000454F8" w:rsidP="00C5509C">
      <w:pPr>
        <w:pStyle w:val="NormalWeb"/>
        <w:spacing w:before="0" w:beforeAutospacing="0" w:after="0" w:afterAutospacing="0"/>
        <w:ind w:right="-399"/>
        <w:rPr>
          <w:color w:val="0E101A"/>
        </w:rPr>
      </w:pPr>
      <w:r>
        <w:rPr>
          <w:color w:val="0E101A"/>
        </w:rPr>
        <w:t>So, including balance-sheet variables gives us a clearer picture of how monetary policy affects these economic factors, showing that inflation might take longer to respond, and the effects on output and unemployment could be more drawn out and significant.</w:t>
      </w:r>
    </w:p>
    <w:p w14:paraId="11D67E3E" w14:textId="77777777" w:rsidR="00316436" w:rsidRDefault="00316436" w:rsidP="00C5509C">
      <w:pPr>
        <w:pStyle w:val="NormalWeb"/>
        <w:spacing w:before="0" w:beforeAutospacing="0" w:after="0" w:afterAutospacing="0"/>
        <w:ind w:right="-399"/>
        <w:rPr>
          <w:color w:val="0E101A"/>
        </w:rPr>
      </w:pPr>
    </w:p>
    <w:p w14:paraId="16A5803A" w14:textId="77777777" w:rsidR="00316436" w:rsidRDefault="00316436" w:rsidP="00C5509C">
      <w:pPr>
        <w:pStyle w:val="NormalWeb"/>
        <w:spacing w:before="0" w:beforeAutospacing="0" w:after="0" w:afterAutospacing="0"/>
        <w:ind w:right="-399"/>
        <w:rPr>
          <w:color w:val="0E101A"/>
        </w:rPr>
      </w:pPr>
    </w:p>
    <w:p w14:paraId="05B667C8" w14:textId="6634E931" w:rsidR="000454F8" w:rsidRDefault="000454F8" w:rsidP="00C5509C">
      <w:pPr>
        <w:pStyle w:val="NormalWeb"/>
        <w:spacing w:before="0" w:beforeAutospacing="0" w:after="0" w:afterAutospacing="0"/>
        <w:ind w:right="-399"/>
        <w:rPr>
          <w:color w:val="4472C4" w:themeColor="accent1"/>
        </w:rPr>
      </w:pPr>
      <w:r w:rsidRPr="00316436">
        <w:rPr>
          <w:color w:val="4472C4" w:themeColor="accent1"/>
        </w:rPr>
        <w:t>CONCLUSION</w:t>
      </w:r>
      <w:r w:rsidR="00316436">
        <w:rPr>
          <w:color w:val="4472C4" w:themeColor="accent1"/>
        </w:rPr>
        <w:t>:</w:t>
      </w:r>
    </w:p>
    <w:p w14:paraId="17990005" w14:textId="77777777" w:rsidR="00316436" w:rsidRPr="00316436" w:rsidRDefault="00316436" w:rsidP="00C5509C">
      <w:pPr>
        <w:pStyle w:val="NormalWeb"/>
        <w:spacing w:before="0" w:beforeAutospacing="0" w:after="0" w:afterAutospacing="0"/>
        <w:ind w:right="-399"/>
        <w:rPr>
          <w:color w:val="4472C4" w:themeColor="accent1"/>
        </w:rPr>
      </w:pPr>
    </w:p>
    <w:p w14:paraId="41B825BE" w14:textId="77777777" w:rsidR="000454F8" w:rsidRDefault="000454F8" w:rsidP="00C5509C">
      <w:pPr>
        <w:pStyle w:val="NormalWeb"/>
        <w:spacing w:before="0" w:beforeAutospacing="0" w:after="0" w:afterAutospacing="0"/>
        <w:ind w:right="-399"/>
        <w:rPr>
          <w:color w:val="0E101A"/>
        </w:rPr>
      </w:pPr>
      <w:r>
        <w:rPr>
          <w:color w:val="0E101A"/>
        </w:rPr>
        <w:t>The analysis in this paper shows that the traditional way monetary policy affects the economy—through interest rate changes—is quite powerful. However, when we consider the effects on balance sheets (like the financial health of businesses and individuals), tightening monetary policy leads to inflation falling later and more substantially negatively impacting output and unemployment.</w:t>
      </w:r>
    </w:p>
    <w:p w14:paraId="508CCBCE" w14:textId="77777777" w:rsidR="000454F8" w:rsidRDefault="000454F8" w:rsidP="00C5509C">
      <w:pPr>
        <w:pStyle w:val="NormalWeb"/>
        <w:spacing w:before="0" w:beforeAutospacing="0" w:after="0" w:afterAutospacing="0"/>
        <w:ind w:right="-399"/>
        <w:rPr>
          <w:color w:val="0E101A"/>
        </w:rPr>
      </w:pPr>
      <w:r>
        <w:rPr>
          <w:color w:val="0E101A"/>
        </w:rPr>
        <w:t>Ultimately, the findings suggest that to manage the economy well, it is essential to combine traditional monetary policy tools with measures dealing with financial market issues. This combined approach can help prevent any unexpected problems caused by changes in interest rates and ensure that the economy keeps growing steadily while staying financially stable.</w:t>
      </w:r>
    </w:p>
    <w:p w14:paraId="44737940" w14:textId="77777777" w:rsidR="000454F8" w:rsidRDefault="000454F8" w:rsidP="00C5509C">
      <w:pPr>
        <w:pStyle w:val="NormalWeb"/>
        <w:spacing w:before="0" w:beforeAutospacing="0" w:after="0" w:afterAutospacing="0"/>
        <w:ind w:right="-399"/>
        <w:rPr>
          <w:color w:val="0E101A"/>
        </w:rPr>
      </w:pPr>
    </w:p>
    <w:p w14:paraId="6BEB61DF" w14:textId="77777777" w:rsidR="00316436" w:rsidRDefault="00316436" w:rsidP="00C5509C">
      <w:pPr>
        <w:pStyle w:val="NormalWeb"/>
        <w:spacing w:before="0" w:beforeAutospacing="0" w:after="0" w:afterAutospacing="0"/>
        <w:ind w:right="-399"/>
        <w:rPr>
          <w:color w:val="0E101A"/>
        </w:rPr>
      </w:pPr>
    </w:p>
    <w:p w14:paraId="1CFF56CE" w14:textId="40168ED0" w:rsidR="000454F8" w:rsidRDefault="000454F8" w:rsidP="00C5509C">
      <w:pPr>
        <w:pStyle w:val="NormalWeb"/>
        <w:spacing w:before="0" w:beforeAutospacing="0" w:after="0" w:afterAutospacing="0"/>
        <w:ind w:right="-399"/>
        <w:rPr>
          <w:color w:val="4472C4" w:themeColor="accent1"/>
        </w:rPr>
      </w:pPr>
      <w:r w:rsidRPr="00316436">
        <w:rPr>
          <w:color w:val="4472C4" w:themeColor="accent1"/>
        </w:rPr>
        <w:t>REFERENCES</w:t>
      </w:r>
      <w:r w:rsidR="00316436">
        <w:rPr>
          <w:color w:val="4472C4" w:themeColor="accent1"/>
        </w:rPr>
        <w:t>:</w:t>
      </w:r>
    </w:p>
    <w:p w14:paraId="6E9A021F" w14:textId="77777777" w:rsidR="00316436" w:rsidRPr="00316436" w:rsidRDefault="00316436" w:rsidP="00C5509C">
      <w:pPr>
        <w:pStyle w:val="NormalWeb"/>
        <w:spacing w:before="0" w:beforeAutospacing="0" w:after="0" w:afterAutospacing="0"/>
        <w:ind w:right="-399"/>
        <w:rPr>
          <w:color w:val="4472C4" w:themeColor="accent1"/>
        </w:rPr>
      </w:pPr>
    </w:p>
    <w:p w14:paraId="2786E367" w14:textId="75B690B9" w:rsidR="00F74F69" w:rsidRPr="00316436" w:rsidRDefault="00000000" w:rsidP="00C5509C">
      <w:pPr>
        <w:pStyle w:val="NormalWeb"/>
        <w:spacing w:before="0" w:beforeAutospacing="0" w:after="0" w:afterAutospacing="0"/>
        <w:ind w:right="-399"/>
        <w:rPr>
          <w:color w:val="000000" w:themeColor="text1"/>
        </w:rPr>
      </w:pPr>
      <w:hyperlink r:id="rId11" w:history="1">
        <w:r w:rsidR="00F74F69" w:rsidRPr="00316436">
          <w:rPr>
            <w:rStyle w:val="Hyperlink"/>
            <w:color w:val="000000" w:themeColor="text1"/>
          </w:rPr>
          <w:t>https://www.bankbazaar.com/home-loan/repo-rate.html</w:t>
        </w:r>
      </w:hyperlink>
    </w:p>
    <w:p w14:paraId="66C74E3C" w14:textId="7C1AB461" w:rsidR="000454F8" w:rsidRPr="00316436" w:rsidRDefault="00000000" w:rsidP="00C5509C">
      <w:pPr>
        <w:pStyle w:val="NormalWeb"/>
        <w:spacing w:before="0" w:beforeAutospacing="0" w:after="0" w:afterAutospacing="0"/>
        <w:ind w:right="-399"/>
        <w:rPr>
          <w:color w:val="000000" w:themeColor="text1"/>
        </w:rPr>
      </w:pPr>
      <w:hyperlink r:id="rId12" w:tgtFrame="_blank" w:history="1">
        <w:r w:rsidR="000454F8" w:rsidRPr="00316436">
          <w:rPr>
            <w:rStyle w:val="Hyperlink"/>
            <w:color w:val="000000" w:themeColor="text1"/>
          </w:rPr>
          <w:t>https://sbi.co.in/web/interest-rates/interest-rates/benchmark-prime-lending-rate-historical-data</w:t>
        </w:r>
      </w:hyperlink>
    </w:p>
    <w:p w14:paraId="4D2090FB" w14:textId="6D119D93" w:rsidR="000454F8" w:rsidRPr="00316436" w:rsidRDefault="00000000" w:rsidP="00C5509C">
      <w:pPr>
        <w:pStyle w:val="NormalWeb"/>
        <w:spacing w:before="0" w:beforeAutospacing="0" w:after="0" w:afterAutospacing="0"/>
        <w:ind w:right="-399"/>
        <w:rPr>
          <w:color w:val="000000" w:themeColor="text1"/>
        </w:rPr>
      </w:pPr>
      <w:hyperlink r:id="rId13" w:tgtFrame="_blank" w:history="1">
        <w:r w:rsidR="000454F8" w:rsidRPr="00316436">
          <w:rPr>
            <w:rStyle w:val="Hyperlink"/>
            <w:color w:val="000000" w:themeColor="text1"/>
          </w:rPr>
          <w:t>https://data.worldbank.org/country/india</w:t>
        </w:r>
      </w:hyperlink>
    </w:p>
    <w:p w14:paraId="7566D9FA" w14:textId="77777777" w:rsidR="000454F8" w:rsidRDefault="000454F8" w:rsidP="00C5509C">
      <w:pPr>
        <w:pStyle w:val="NormalWeb"/>
        <w:spacing w:before="0" w:beforeAutospacing="0" w:after="0" w:afterAutospacing="0"/>
        <w:ind w:right="-399"/>
        <w:rPr>
          <w:color w:val="0E101A"/>
        </w:rPr>
      </w:pPr>
    </w:p>
    <w:p w14:paraId="05C54223" w14:textId="77777777" w:rsidR="000454F8" w:rsidRDefault="000454F8" w:rsidP="00C5509C">
      <w:pPr>
        <w:pStyle w:val="NormalWeb"/>
        <w:spacing w:before="0" w:beforeAutospacing="0" w:after="0" w:afterAutospacing="0"/>
        <w:ind w:right="-399"/>
        <w:rPr>
          <w:color w:val="0E101A"/>
        </w:rPr>
      </w:pPr>
    </w:p>
    <w:p w14:paraId="7B86E4FF" w14:textId="77777777" w:rsidR="000454F8" w:rsidRDefault="000454F8" w:rsidP="00C5509C">
      <w:pPr>
        <w:pStyle w:val="NormalWeb"/>
        <w:spacing w:before="0" w:beforeAutospacing="0" w:after="0" w:afterAutospacing="0"/>
        <w:ind w:right="-399"/>
        <w:rPr>
          <w:color w:val="0E101A"/>
        </w:rPr>
      </w:pPr>
    </w:p>
    <w:p w14:paraId="010BF1E4" w14:textId="77777777" w:rsidR="000454F8" w:rsidRDefault="000454F8" w:rsidP="00C5509C">
      <w:pPr>
        <w:pStyle w:val="NormalWeb"/>
        <w:spacing w:before="0" w:beforeAutospacing="0" w:after="0" w:afterAutospacing="0"/>
        <w:ind w:right="-399"/>
        <w:rPr>
          <w:color w:val="0E101A"/>
        </w:rPr>
      </w:pPr>
    </w:p>
    <w:p w14:paraId="424B76FE" w14:textId="77777777" w:rsidR="000454F8" w:rsidRDefault="000454F8" w:rsidP="00C5509C">
      <w:pPr>
        <w:pStyle w:val="NormalWeb"/>
        <w:spacing w:before="0" w:beforeAutospacing="0" w:after="0" w:afterAutospacing="0"/>
        <w:ind w:right="-399"/>
        <w:rPr>
          <w:color w:val="0E101A"/>
        </w:rPr>
      </w:pPr>
    </w:p>
    <w:p w14:paraId="6420CCD5" w14:textId="77777777" w:rsidR="000454F8" w:rsidRDefault="000454F8" w:rsidP="00C5509C">
      <w:pPr>
        <w:pStyle w:val="NormalWeb"/>
        <w:spacing w:before="0" w:beforeAutospacing="0" w:after="0" w:afterAutospacing="0"/>
        <w:ind w:right="-399"/>
        <w:rPr>
          <w:color w:val="0E101A"/>
        </w:rPr>
      </w:pPr>
    </w:p>
    <w:p w14:paraId="595EF586" w14:textId="77777777" w:rsidR="000454F8" w:rsidRDefault="000454F8" w:rsidP="00C5509C">
      <w:pPr>
        <w:pStyle w:val="NormalWeb"/>
        <w:spacing w:before="0" w:beforeAutospacing="0" w:after="0" w:afterAutospacing="0"/>
        <w:ind w:right="-399"/>
        <w:rPr>
          <w:color w:val="0E101A"/>
        </w:rPr>
      </w:pPr>
    </w:p>
    <w:p w14:paraId="1BD330AC" w14:textId="77777777" w:rsidR="00DF5E5A" w:rsidRDefault="00DF5E5A" w:rsidP="00C5509C">
      <w:pPr>
        <w:pStyle w:val="NormalWeb"/>
        <w:spacing w:before="0" w:beforeAutospacing="0" w:after="0" w:afterAutospacing="0"/>
        <w:ind w:right="-399"/>
        <w:rPr>
          <w:color w:val="0E101A"/>
        </w:rPr>
      </w:pPr>
    </w:p>
    <w:p w14:paraId="4281C71B" w14:textId="77777777" w:rsidR="00DF5E5A" w:rsidRDefault="00DF5E5A" w:rsidP="00C5509C">
      <w:pPr>
        <w:pStyle w:val="NormalWeb"/>
        <w:spacing w:before="0" w:beforeAutospacing="0" w:after="0" w:afterAutospacing="0"/>
        <w:ind w:right="-399"/>
        <w:rPr>
          <w:color w:val="0E101A"/>
        </w:rPr>
      </w:pPr>
    </w:p>
    <w:p w14:paraId="748151AE" w14:textId="77777777" w:rsidR="00DF5E5A" w:rsidRDefault="00DF5E5A" w:rsidP="00C5509C">
      <w:pPr>
        <w:pStyle w:val="NormalWeb"/>
        <w:spacing w:before="0" w:beforeAutospacing="0" w:after="0" w:afterAutospacing="0"/>
        <w:ind w:right="-399"/>
        <w:rPr>
          <w:color w:val="0E101A"/>
        </w:rPr>
      </w:pPr>
    </w:p>
    <w:p w14:paraId="23515878" w14:textId="77777777" w:rsidR="00DF5E5A" w:rsidRDefault="00DF5E5A" w:rsidP="00C5509C">
      <w:pPr>
        <w:pStyle w:val="NormalWeb"/>
        <w:spacing w:before="0" w:beforeAutospacing="0" w:after="0" w:afterAutospacing="0"/>
        <w:ind w:right="-399"/>
        <w:rPr>
          <w:color w:val="0E101A"/>
        </w:rPr>
      </w:pPr>
    </w:p>
    <w:p w14:paraId="75723EC9" w14:textId="77777777" w:rsidR="00DF5E5A" w:rsidRDefault="00DF5E5A" w:rsidP="00C5509C">
      <w:pPr>
        <w:pStyle w:val="NormalWeb"/>
        <w:spacing w:before="0" w:beforeAutospacing="0" w:after="0" w:afterAutospacing="0"/>
        <w:ind w:right="-399"/>
        <w:rPr>
          <w:color w:val="0E101A"/>
        </w:rPr>
      </w:pPr>
    </w:p>
    <w:p w14:paraId="2D0F6FC8" w14:textId="77777777" w:rsidR="00DF5E5A" w:rsidRDefault="00DF5E5A" w:rsidP="00C5509C">
      <w:pPr>
        <w:pStyle w:val="NormalWeb"/>
        <w:spacing w:before="0" w:beforeAutospacing="0" w:after="0" w:afterAutospacing="0"/>
        <w:ind w:right="-399"/>
        <w:rPr>
          <w:color w:val="0E101A"/>
        </w:rPr>
      </w:pPr>
    </w:p>
    <w:p w14:paraId="6B75701C" w14:textId="77777777" w:rsidR="00DF5E5A" w:rsidRDefault="00DF5E5A" w:rsidP="00C5509C">
      <w:pPr>
        <w:pStyle w:val="NormalWeb"/>
        <w:spacing w:before="0" w:beforeAutospacing="0" w:after="0" w:afterAutospacing="0"/>
        <w:ind w:right="-399"/>
        <w:rPr>
          <w:color w:val="0E101A"/>
        </w:rPr>
      </w:pPr>
    </w:p>
    <w:p w14:paraId="1D2D56C5" w14:textId="77777777" w:rsidR="00DF5E5A" w:rsidRDefault="00DF5E5A" w:rsidP="00C5509C">
      <w:pPr>
        <w:pStyle w:val="NormalWeb"/>
        <w:spacing w:before="0" w:beforeAutospacing="0" w:after="0" w:afterAutospacing="0"/>
        <w:ind w:right="-399"/>
        <w:rPr>
          <w:color w:val="0E101A"/>
        </w:rPr>
      </w:pPr>
    </w:p>
    <w:p w14:paraId="4B39386A" w14:textId="77777777" w:rsidR="00DF5E5A" w:rsidRDefault="00DF5E5A" w:rsidP="00C5509C">
      <w:pPr>
        <w:pStyle w:val="NormalWeb"/>
        <w:spacing w:before="0" w:beforeAutospacing="0" w:after="0" w:afterAutospacing="0"/>
        <w:ind w:right="-399"/>
        <w:rPr>
          <w:color w:val="0E101A"/>
        </w:rPr>
      </w:pPr>
    </w:p>
    <w:p w14:paraId="2AFDEFF8" w14:textId="77777777" w:rsidR="000454F8" w:rsidRDefault="000454F8" w:rsidP="00C5509C">
      <w:pPr>
        <w:pStyle w:val="NormalWeb"/>
        <w:spacing w:before="0" w:beforeAutospacing="0" w:after="0" w:afterAutospacing="0"/>
        <w:ind w:right="-399"/>
        <w:rPr>
          <w:color w:val="0E101A"/>
        </w:rPr>
      </w:pPr>
    </w:p>
    <w:p w14:paraId="291DD7F9" w14:textId="77777777" w:rsidR="0054596A" w:rsidRPr="000454F8" w:rsidRDefault="0054596A" w:rsidP="00C5509C">
      <w:pPr>
        <w:ind w:right="-399"/>
      </w:pPr>
    </w:p>
    <w:sectPr w:rsidR="0054596A" w:rsidRPr="000454F8" w:rsidSect="00E56D38">
      <w:pgSz w:w="12240" w:h="15840"/>
      <w:pgMar w:top="1418" w:right="1440" w:bottom="156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MGKH I+ Times">
    <w:altName w:val="Times"/>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90"/>
    <w:rsid w:val="00001283"/>
    <w:rsid w:val="000163CD"/>
    <w:rsid w:val="000454F8"/>
    <w:rsid w:val="00055BA5"/>
    <w:rsid w:val="00071F8F"/>
    <w:rsid w:val="000F5868"/>
    <w:rsid w:val="0016041D"/>
    <w:rsid w:val="00184215"/>
    <w:rsid w:val="00185590"/>
    <w:rsid w:val="001B6475"/>
    <w:rsid w:val="00210F39"/>
    <w:rsid w:val="0024390A"/>
    <w:rsid w:val="0025148E"/>
    <w:rsid w:val="00295C64"/>
    <w:rsid w:val="002C4283"/>
    <w:rsid w:val="00316436"/>
    <w:rsid w:val="00395A41"/>
    <w:rsid w:val="004425D4"/>
    <w:rsid w:val="00452715"/>
    <w:rsid w:val="0050627F"/>
    <w:rsid w:val="00535DDE"/>
    <w:rsid w:val="0054596A"/>
    <w:rsid w:val="005F68C3"/>
    <w:rsid w:val="0060419A"/>
    <w:rsid w:val="00667010"/>
    <w:rsid w:val="00694BDD"/>
    <w:rsid w:val="008528A7"/>
    <w:rsid w:val="008918D5"/>
    <w:rsid w:val="008E4FE4"/>
    <w:rsid w:val="008F08C9"/>
    <w:rsid w:val="009262E8"/>
    <w:rsid w:val="00A27611"/>
    <w:rsid w:val="00A90044"/>
    <w:rsid w:val="00A953F1"/>
    <w:rsid w:val="00B8610D"/>
    <w:rsid w:val="00BF0B58"/>
    <w:rsid w:val="00C5509C"/>
    <w:rsid w:val="00C62551"/>
    <w:rsid w:val="00C659C3"/>
    <w:rsid w:val="00D46374"/>
    <w:rsid w:val="00D60E90"/>
    <w:rsid w:val="00D6779E"/>
    <w:rsid w:val="00DF5E5A"/>
    <w:rsid w:val="00E56D38"/>
    <w:rsid w:val="00E74698"/>
    <w:rsid w:val="00ED7FE9"/>
    <w:rsid w:val="00F14C3D"/>
    <w:rsid w:val="00F426B1"/>
    <w:rsid w:val="00F46E16"/>
    <w:rsid w:val="00F621C7"/>
    <w:rsid w:val="00F74F69"/>
    <w:rsid w:val="00FB2DCA"/>
    <w:rsid w:val="00FE05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D14C"/>
  <w15:chartTrackingRefBased/>
  <w15:docId w15:val="{786F6B98-7047-4047-8195-F2E1535F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B6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47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71F8F"/>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paragraph" w:customStyle="1" w:styleId="Default">
    <w:name w:val="Default"/>
    <w:rsid w:val="009262E8"/>
    <w:pPr>
      <w:autoSpaceDE w:val="0"/>
      <w:autoSpaceDN w:val="0"/>
      <w:adjustRightInd w:val="0"/>
      <w:spacing w:after="0" w:line="240" w:lineRule="auto"/>
    </w:pPr>
    <w:rPr>
      <w:rFonts w:ascii="FMGKH I+ Times" w:hAnsi="FMGKH I+ Times" w:cs="FMGKH I+ Times"/>
      <w:color w:val="000000"/>
      <w:kern w:val="0"/>
      <w:sz w:val="24"/>
      <w:szCs w:val="24"/>
      <w:lang w:val="en-IN" w:bidi="hi-IN"/>
    </w:rPr>
  </w:style>
  <w:style w:type="character" w:styleId="Hyperlink">
    <w:name w:val="Hyperlink"/>
    <w:basedOn w:val="DefaultParagraphFont"/>
    <w:uiPriority w:val="99"/>
    <w:unhideWhenUsed/>
    <w:rsid w:val="00BF0B58"/>
    <w:rPr>
      <w:color w:val="0563C1" w:themeColor="hyperlink"/>
      <w:u w:val="single"/>
    </w:rPr>
  </w:style>
  <w:style w:type="character" w:styleId="UnresolvedMention">
    <w:name w:val="Unresolved Mention"/>
    <w:basedOn w:val="DefaultParagraphFont"/>
    <w:uiPriority w:val="99"/>
    <w:semiHidden/>
    <w:unhideWhenUsed/>
    <w:rsid w:val="00BF0B58"/>
    <w:rPr>
      <w:color w:val="605E5C"/>
      <w:shd w:val="clear" w:color="auto" w:fill="E1DFDD"/>
    </w:rPr>
  </w:style>
  <w:style w:type="paragraph" w:customStyle="1" w:styleId="cvgsua">
    <w:name w:val="cvgsua"/>
    <w:basedOn w:val="Normal"/>
    <w:rsid w:val="00F14C3D"/>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character" w:customStyle="1" w:styleId="oypena">
    <w:name w:val="oypena"/>
    <w:basedOn w:val="DefaultParagraphFont"/>
    <w:rsid w:val="00F14C3D"/>
  </w:style>
  <w:style w:type="character" w:styleId="Strong">
    <w:name w:val="Strong"/>
    <w:basedOn w:val="DefaultParagraphFont"/>
    <w:uiPriority w:val="22"/>
    <w:qFormat/>
    <w:rsid w:val="00045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2753">
      <w:bodyDiv w:val="1"/>
      <w:marLeft w:val="0"/>
      <w:marRight w:val="0"/>
      <w:marTop w:val="0"/>
      <w:marBottom w:val="0"/>
      <w:divBdr>
        <w:top w:val="none" w:sz="0" w:space="0" w:color="auto"/>
        <w:left w:val="none" w:sz="0" w:space="0" w:color="auto"/>
        <w:bottom w:val="none" w:sz="0" w:space="0" w:color="auto"/>
        <w:right w:val="none" w:sz="0" w:space="0" w:color="auto"/>
      </w:divBdr>
    </w:div>
    <w:div w:id="56638137">
      <w:bodyDiv w:val="1"/>
      <w:marLeft w:val="0"/>
      <w:marRight w:val="0"/>
      <w:marTop w:val="0"/>
      <w:marBottom w:val="0"/>
      <w:divBdr>
        <w:top w:val="none" w:sz="0" w:space="0" w:color="auto"/>
        <w:left w:val="none" w:sz="0" w:space="0" w:color="auto"/>
        <w:bottom w:val="none" w:sz="0" w:space="0" w:color="auto"/>
        <w:right w:val="none" w:sz="0" w:space="0" w:color="auto"/>
      </w:divBdr>
    </w:div>
    <w:div w:id="176817391">
      <w:bodyDiv w:val="1"/>
      <w:marLeft w:val="0"/>
      <w:marRight w:val="0"/>
      <w:marTop w:val="0"/>
      <w:marBottom w:val="0"/>
      <w:divBdr>
        <w:top w:val="none" w:sz="0" w:space="0" w:color="auto"/>
        <w:left w:val="none" w:sz="0" w:space="0" w:color="auto"/>
        <w:bottom w:val="none" w:sz="0" w:space="0" w:color="auto"/>
        <w:right w:val="none" w:sz="0" w:space="0" w:color="auto"/>
      </w:divBdr>
    </w:div>
    <w:div w:id="473182676">
      <w:bodyDiv w:val="1"/>
      <w:marLeft w:val="0"/>
      <w:marRight w:val="0"/>
      <w:marTop w:val="0"/>
      <w:marBottom w:val="0"/>
      <w:divBdr>
        <w:top w:val="none" w:sz="0" w:space="0" w:color="auto"/>
        <w:left w:val="none" w:sz="0" w:space="0" w:color="auto"/>
        <w:bottom w:val="none" w:sz="0" w:space="0" w:color="auto"/>
        <w:right w:val="none" w:sz="0" w:space="0" w:color="auto"/>
      </w:divBdr>
    </w:div>
    <w:div w:id="489373346">
      <w:bodyDiv w:val="1"/>
      <w:marLeft w:val="0"/>
      <w:marRight w:val="0"/>
      <w:marTop w:val="0"/>
      <w:marBottom w:val="0"/>
      <w:divBdr>
        <w:top w:val="none" w:sz="0" w:space="0" w:color="auto"/>
        <w:left w:val="none" w:sz="0" w:space="0" w:color="auto"/>
        <w:bottom w:val="none" w:sz="0" w:space="0" w:color="auto"/>
        <w:right w:val="none" w:sz="0" w:space="0" w:color="auto"/>
      </w:divBdr>
    </w:div>
    <w:div w:id="940602685">
      <w:bodyDiv w:val="1"/>
      <w:marLeft w:val="0"/>
      <w:marRight w:val="0"/>
      <w:marTop w:val="0"/>
      <w:marBottom w:val="0"/>
      <w:divBdr>
        <w:top w:val="none" w:sz="0" w:space="0" w:color="auto"/>
        <w:left w:val="none" w:sz="0" w:space="0" w:color="auto"/>
        <w:bottom w:val="none" w:sz="0" w:space="0" w:color="auto"/>
        <w:right w:val="none" w:sz="0" w:space="0" w:color="auto"/>
      </w:divBdr>
    </w:div>
    <w:div w:id="1770664291">
      <w:bodyDiv w:val="1"/>
      <w:marLeft w:val="0"/>
      <w:marRight w:val="0"/>
      <w:marTop w:val="0"/>
      <w:marBottom w:val="0"/>
      <w:divBdr>
        <w:top w:val="none" w:sz="0" w:space="0" w:color="auto"/>
        <w:left w:val="none" w:sz="0" w:space="0" w:color="auto"/>
        <w:bottom w:val="none" w:sz="0" w:space="0" w:color="auto"/>
        <w:right w:val="none" w:sz="0" w:space="0" w:color="auto"/>
      </w:divBdr>
      <w:divsChild>
        <w:div w:id="1156579581">
          <w:marLeft w:val="0"/>
          <w:marRight w:val="0"/>
          <w:marTop w:val="0"/>
          <w:marBottom w:val="0"/>
          <w:divBdr>
            <w:top w:val="none" w:sz="0" w:space="0" w:color="auto"/>
            <w:left w:val="none" w:sz="0" w:space="0" w:color="auto"/>
            <w:bottom w:val="none" w:sz="0" w:space="0" w:color="auto"/>
            <w:right w:val="none" w:sz="0" w:space="0" w:color="auto"/>
          </w:divBdr>
        </w:div>
      </w:divsChild>
    </w:div>
    <w:div w:id="1893999294">
      <w:bodyDiv w:val="1"/>
      <w:marLeft w:val="0"/>
      <w:marRight w:val="0"/>
      <w:marTop w:val="0"/>
      <w:marBottom w:val="0"/>
      <w:divBdr>
        <w:top w:val="none" w:sz="0" w:space="0" w:color="auto"/>
        <w:left w:val="none" w:sz="0" w:space="0" w:color="auto"/>
        <w:bottom w:val="none" w:sz="0" w:space="0" w:color="auto"/>
        <w:right w:val="none" w:sz="0" w:space="0" w:color="auto"/>
      </w:divBdr>
    </w:div>
    <w:div w:id="1902787175">
      <w:bodyDiv w:val="1"/>
      <w:marLeft w:val="0"/>
      <w:marRight w:val="0"/>
      <w:marTop w:val="0"/>
      <w:marBottom w:val="0"/>
      <w:divBdr>
        <w:top w:val="none" w:sz="0" w:space="0" w:color="auto"/>
        <w:left w:val="none" w:sz="0" w:space="0" w:color="auto"/>
        <w:bottom w:val="none" w:sz="0" w:space="0" w:color="auto"/>
        <w:right w:val="none" w:sz="0" w:space="0" w:color="auto"/>
      </w:divBdr>
    </w:div>
    <w:div w:id="20970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data.worldbank.org/country/india"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sbi.co.in/web/interest-rates/interest-rates/benchmark-prime-lending-rate-historical-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bankbazaar.com/home-loan/repo-rate.html"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www.sciencedirect.com/science/article/pii/S0161893816300849"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3459</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Ayush</dc:creator>
  <cp:keywords/>
  <dc:description/>
  <cp:lastModifiedBy>Yashasvi Pandey</cp:lastModifiedBy>
  <cp:revision>8</cp:revision>
  <dcterms:created xsi:type="dcterms:W3CDTF">2024-03-14T09:41:00Z</dcterms:created>
  <dcterms:modified xsi:type="dcterms:W3CDTF">2025-06-24T14:28:00Z</dcterms:modified>
</cp:coreProperties>
</file>