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1F1F"/>
          <w:sz w:val="22"/>
          <w:szCs w:val="22"/>
        </w:rPr>
        <w:t xml:space="preserve">Meridian &amp; Rao Legal Associates, Hyderabad</w:t>
      </w:r>
    </w:p>
    <w:p>
      <w:pPr>
        <w:spacing w:after="200"/>
      </w:pPr>
      <w:r>
        <w:rPr>
          <w:i/>
          <w:iCs/>
          <w:color w:val="888888"/>
          <w:sz w:val="18"/>
          <w:szCs w:val="18"/>
        </w:rPr>
        <w:t xml:space="preserve">Internal Case File — Privileged &amp; Confidential</w:t>
      </w:r>
    </w:p>
    <w:p>
      <w:pPr>
        <w:spacing w:after="80"/>
      </w:pPr>
      <w:r>
        <w:rPr>
          <w:b/>
          <w:bCs/>
          <w:color w:val="6B1F1F"/>
          <w:sz w:val="36"/>
          <w:szCs w:val="36"/>
        </w:rPr>
        <w:t xml:space="preserve">State of Telangana vs. Vikram Chowdary</w:t>
      </w:r>
    </w:p>
    <w:p>
      <w:pPr>
        <w:spacing w:after="200"/>
      </w:pPr>
      <w:r>
        <w:rPr>
          <w:i/>
          <w:iCs/>
          <w:color w:val="444444"/>
          <w:sz w:val="24"/>
          <w:szCs w:val="24"/>
        </w:rPr>
        <w:t xml:space="preserve">Criminal Case No. CC/482/2024 — Cheating and Forgery</w:t>
      </w:r>
    </w:p>
    <w:p>
      <w:pPr>
        <w:spacing w:after="200"/>
      </w:pPr>
      <w:r>
        <w:rPr>
          <w:i/>
          <w:iCs/>
          <w:color w:val="666666"/>
          <w:sz w:val="20"/>
          <w:szCs w:val="20"/>
        </w:rPr>
        <w:t xml:space="preserve">Illustrative / synthetic case file created for training and demonstration purposes (e.g., testing retrieval-augmented generation systems). All names, dates, case numbers, and facts are fictional and do not correspond to any real person, entity, or proceeding.</w:t>
      </w:r>
    </w:p>
    <w:p>
      <w:pPr>
        <w:pStyle w:val="Heading1"/>
        <w:spacing w:after="120" w:before="240"/>
      </w:pPr>
      <w:r>
        <w:t xml:space="preserve">1. Case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6B1F1F" w:color="auto" w:val="clear"/>
            <w:tcMar>
              <w:top w:type="dxa" w:w="70"/>
              <w:left w:type="dxa" w:w="90"/>
              <w:bottom w:type="dxa" w:w="70"/>
              <w:right w:type="dxa" w:w="90"/>
            </w:tcMar>
          </w:tcPr>
          <w:p>
            <w:r>
              <w:rPr>
                <w:b/>
                <w:bCs/>
                <w:color w:val="FFFFFF"/>
                <w:sz w:val="19"/>
                <w:szCs w:val="19"/>
              </w:rPr>
              <w:t xml:space="preserve">Case No.</w:t>
            </w:r>
          </w:p>
        </w:tc>
        <w:tc>
          <w:tcPr>
            <w:tcW w:type="dxa" w:w="7000"/>
            <w:tcMar>
              <w:top w:type="dxa" w:w="70"/>
              <w:left w:type="dxa" w:w="90"/>
              <w:bottom w:type="dxa" w:w="70"/>
              <w:right w:type="dxa" w:w="90"/>
            </w:tcMar>
          </w:tcPr>
          <w:p>
            <w:r>
              <w:rPr>
                <w:b w:val="false"/>
                <w:bCs w:val="false"/>
                <w:color w:val="000000"/>
                <w:sz w:val="19"/>
                <w:szCs w:val="19"/>
              </w:rPr>
              <w:t xml:space="preserve">CC/482/2024</w:t>
            </w:r>
          </w:p>
        </w:tc>
      </w:tr>
      <w:tr>
        <w:tc>
          <w:tcPr>
            <w:tcW w:type="dxa" w:w="2800"/>
            <w:shd w:fill="6B1F1F" w:color="auto" w:val="clear"/>
            <w:tcMar>
              <w:top w:type="dxa" w:w="70"/>
              <w:left w:type="dxa" w:w="90"/>
              <w:bottom w:type="dxa" w:w="70"/>
              <w:right w:type="dxa" w:w="90"/>
            </w:tcMar>
          </w:tcPr>
          <w:p>
            <w:r>
              <w:rPr>
                <w:b/>
                <w:bCs/>
                <w:color w:val="FFFFFF"/>
                <w:sz w:val="19"/>
                <w:szCs w:val="19"/>
              </w:rPr>
              <w:t xml:space="preserve">Court</w:t>
            </w:r>
          </w:p>
        </w:tc>
        <w:tc>
          <w:tcPr>
            <w:tcW w:type="dxa" w:w="7000"/>
            <w:tcMar>
              <w:top w:type="dxa" w:w="70"/>
              <w:left w:type="dxa" w:w="90"/>
              <w:bottom w:type="dxa" w:w="70"/>
              <w:right w:type="dxa" w:w="90"/>
            </w:tcMar>
          </w:tcPr>
          <w:p>
            <w:r>
              <w:rPr>
                <w:b w:val="false"/>
                <w:bCs w:val="false"/>
                <w:color w:val="000000"/>
                <w:sz w:val="19"/>
                <w:szCs w:val="19"/>
              </w:rPr>
              <w:t xml:space="preserve">Court of the Additional Chief Metropolitan Magistrate, Nampally, Hyderabad</w:t>
            </w:r>
          </w:p>
        </w:tc>
      </w:tr>
      <w:tr>
        <w:tc>
          <w:tcPr>
            <w:tcW w:type="dxa" w:w="2800"/>
            <w:shd w:fill="6B1F1F" w:color="auto" w:val="clear"/>
            <w:tcMar>
              <w:top w:type="dxa" w:w="70"/>
              <w:left w:type="dxa" w:w="90"/>
              <w:bottom w:type="dxa" w:w="70"/>
              <w:right w:type="dxa" w:w="90"/>
            </w:tcMar>
          </w:tcPr>
          <w:p>
            <w:r>
              <w:rPr>
                <w:b/>
                <w:bCs/>
                <w:color w:val="FFFFFF"/>
                <w:sz w:val="19"/>
                <w:szCs w:val="19"/>
              </w:rPr>
              <w:t xml:space="preserve">Complainant</w:t>
            </w:r>
          </w:p>
        </w:tc>
        <w:tc>
          <w:tcPr>
            <w:tcW w:type="dxa" w:w="7000"/>
            <w:tcMar>
              <w:top w:type="dxa" w:w="70"/>
              <w:left w:type="dxa" w:w="90"/>
              <w:bottom w:type="dxa" w:w="70"/>
              <w:right w:type="dxa" w:w="90"/>
            </w:tcMar>
          </w:tcPr>
          <w:p>
            <w:r>
              <w:rPr>
                <w:b w:val="false"/>
                <w:bCs w:val="false"/>
                <w:color w:val="000000"/>
                <w:sz w:val="19"/>
                <w:szCs w:val="19"/>
              </w:rPr>
              <w:t xml:space="preserve">Sunrise Textiles Pvt. Ltd., represented by its Director, Mr. Suresh Bhatia</w:t>
            </w:r>
          </w:p>
        </w:tc>
      </w:tr>
      <w:tr>
        <w:tc>
          <w:tcPr>
            <w:tcW w:type="dxa" w:w="2800"/>
            <w:shd w:fill="6B1F1F" w:color="auto" w:val="clear"/>
            <w:tcMar>
              <w:top w:type="dxa" w:w="70"/>
              <w:left w:type="dxa" w:w="90"/>
              <w:bottom w:type="dxa" w:w="70"/>
              <w:right w:type="dxa" w:w="90"/>
            </w:tcMar>
          </w:tcPr>
          <w:p>
            <w:r>
              <w:rPr>
                <w:b/>
                <w:bCs/>
                <w:color w:val="FFFFFF"/>
                <w:sz w:val="19"/>
                <w:szCs w:val="19"/>
              </w:rPr>
              <w:t xml:space="preserve">Accused</w:t>
            </w:r>
          </w:p>
        </w:tc>
        <w:tc>
          <w:tcPr>
            <w:tcW w:type="dxa" w:w="7000"/>
            <w:tcMar>
              <w:top w:type="dxa" w:w="70"/>
              <w:left w:type="dxa" w:w="90"/>
              <w:bottom w:type="dxa" w:w="70"/>
              <w:right w:type="dxa" w:w="90"/>
            </w:tcMar>
          </w:tcPr>
          <w:p>
            <w:r>
              <w:rPr>
                <w:b w:val="false"/>
                <w:bCs w:val="false"/>
                <w:color w:val="000000"/>
                <w:sz w:val="19"/>
                <w:szCs w:val="19"/>
              </w:rPr>
              <w:t xml:space="preserve">Mr. Vikram Chowdary, Proprietor, Chowdary Trading Co.</w:t>
            </w:r>
          </w:p>
        </w:tc>
      </w:tr>
      <w:tr>
        <w:tc>
          <w:tcPr>
            <w:tcW w:type="dxa" w:w="2800"/>
            <w:shd w:fill="6B1F1F" w:color="auto" w:val="clear"/>
            <w:tcMar>
              <w:top w:type="dxa" w:w="70"/>
              <w:left w:type="dxa" w:w="90"/>
              <w:bottom w:type="dxa" w:w="70"/>
              <w:right w:type="dxa" w:w="90"/>
            </w:tcMar>
          </w:tcPr>
          <w:p>
            <w:r>
              <w:rPr>
                <w:b/>
                <w:bCs/>
                <w:color w:val="FFFFFF"/>
                <w:sz w:val="19"/>
                <w:szCs w:val="19"/>
              </w:rPr>
              <w:t xml:space="preserve">Sections Invoked</w:t>
            </w:r>
          </w:p>
        </w:tc>
        <w:tc>
          <w:tcPr>
            <w:tcW w:type="dxa" w:w="7000"/>
            <w:tcMar>
              <w:top w:type="dxa" w:w="70"/>
              <w:left w:type="dxa" w:w="90"/>
              <w:bottom w:type="dxa" w:w="70"/>
              <w:right w:type="dxa" w:w="90"/>
            </w:tcMar>
          </w:tcPr>
          <w:p>
            <w:r>
              <w:rPr>
                <w:b w:val="false"/>
                <w:bCs w:val="false"/>
                <w:color w:val="000000"/>
                <w:sz w:val="19"/>
                <w:szCs w:val="19"/>
              </w:rPr>
              <w:t xml:space="preserve">Sections 318(4) and 338 of the Bharatiya Nyaya Sanhita, 2023 (corresponding to erstwhile Sections 420 and 468 IPC) — cheating and forgery for the purpose of cheating</w:t>
            </w:r>
          </w:p>
        </w:tc>
      </w:tr>
      <w:tr>
        <w:tc>
          <w:tcPr>
            <w:tcW w:type="dxa" w:w="2800"/>
            <w:shd w:fill="6B1F1F" w:color="auto" w:val="clear"/>
            <w:tcMar>
              <w:top w:type="dxa" w:w="70"/>
              <w:left w:type="dxa" w:w="90"/>
              <w:bottom w:type="dxa" w:w="70"/>
              <w:right w:type="dxa" w:w="90"/>
            </w:tcMar>
          </w:tcPr>
          <w:p>
            <w:r>
              <w:rPr>
                <w:b/>
                <w:bCs/>
                <w:color w:val="FFFFFF"/>
                <w:sz w:val="19"/>
                <w:szCs w:val="19"/>
              </w:rPr>
              <w:t xml:space="preserve">Investigating Officer</w:t>
            </w:r>
          </w:p>
        </w:tc>
        <w:tc>
          <w:tcPr>
            <w:tcW w:type="dxa" w:w="7000"/>
            <w:tcMar>
              <w:top w:type="dxa" w:w="70"/>
              <w:left w:type="dxa" w:w="90"/>
              <w:bottom w:type="dxa" w:w="70"/>
              <w:right w:type="dxa" w:w="90"/>
            </w:tcMar>
          </w:tcPr>
          <w:p>
            <w:r>
              <w:rPr>
                <w:b w:val="false"/>
                <w:bCs w:val="false"/>
                <w:color w:val="000000"/>
                <w:sz w:val="19"/>
                <w:szCs w:val="19"/>
              </w:rPr>
              <w:t xml:space="preserve">Sub-Inspector K. Ravinder, Begumpet Police Station</w:t>
            </w:r>
          </w:p>
        </w:tc>
      </w:tr>
      <w:tr>
        <w:tc>
          <w:tcPr>
            <w:tcW w:type="dxa" w:w="2800"/>
            <w:shd w:fill="6B1F1F" w:color="auto" w:val="clear"/>
            <w:tcMar>
              <w:top w:type="dxa" w:w="70"/>
              <w:left w:type="dxa" w:w="90"/>
              <w:bottom w:type="dxa" w:w="70"/>
              <w:right w:type="dxa" w:w="90"/>
            </w:tcMar>
          </w:tcPr>
          <w:p>
            <w:r>
              <w:rPr>
                <w:b/>
                <w:bCs/>
                <w:color w:val="FFFFFF"/>
                <w:sz w:val="19"/>
                <w:szCs w:val="19"/>
              </w:rPr>
              <w:t xml:space="preserve">Firm's Client</w:t>
            </w:r>
          </w:p>
        </w:tc>
        <w:tc>
          <w:tcPr>
            <w:tcW w:type="dxa" w:w="7000"/>
            <w:tcMar>
              <w:top w:type="dxa" w:w="70"/>
              <w:left w:type="dxa" w:w="90"/>
              <w:bottom w:type="dxa" w:w="70"/>
              <w:right w:type="dxa" w:w="90"/>
            </w:tcMar>
          </w:tcPr>
          <w:p>
            <w:r>
              <w:rPr>
                <w:b w:val="false"/>
                <w:bCs w:val="false"/>
                <w:color w:val="000000"/>
                <w:sz w:val="19"/>
                <w:szCs w:val="19"/>
              </w:rPr>
              <w:t xml:space="preserve">Complainant (Sunrise Textiles Pvt. Ltd.)</w:t>
            </w:r>
          </w:p>
        </w:tc>
      </w:tr>
      <w:tr>
        <w:tc>
          <w:tcPr>
            <w:tcW w:type="dxa" w:w="2800"/>
            <w:shd w:fill="6B1F1F" w:color="auto" w:val="clear"/>
            <w:tcMar>
              <w:top w:type="dxa" w:w="70"/>
              <w:left w:type="dxa" w:w="90"/>
              <w:bottom w:type="dxa" w:w="70"/>
              <w:right w:type="dxa" w:w="90"/>
            </w:tcMar>
          </w:tcPr>
          <w:p>
            <w:r>
              <w:rPr>
                <w:b/>
                <w:bCs/>
                <w:color w:val="FFFFFF"/>
                <w:sz w:val="19"/>
                <w:szCs w:val="19"/>
              </w:rPr>
              <w:t xml:space="preserve">Handling Advocate</w:t>
            </w:r>
          </w:p>
        </w:tc>
        <w:tc>
          <w:tcPr>
            <w:tcW w:type="dxa" w:w="7000"/>
            <w:tcMar>
              <w:top w:type="dxa" w:w="70"/>
              <w:left w:type="dxa" w:w="90"/>
              <w:bottom w:type="dxa" w:w="70"/>
              <w:right w:type="dxa" w:w="90"/>
            </w:tcMar>
          </w:tcPr>
          <w:p>
            <w:r>
              <w:rPr>
                <w:b w:val="false"/>
                <w:bCs w:val="false"/>
                <w:color w:val="000000"/>
                <w:sz w:val="19"/>
                <w:szCs w:val="19"/>
              </w:rPr>
              <w:t xml:space="preserve">Adv. Priyanka Menon, Associate</w:t>
            </w:r>
          </w:p>
        </w:tc>
      </w:tr>
    </w:tbl>
    <w:p>
      <w:pPr>
        <w:pStyle w:val="Heading1"/>
        <w:spacing w:after="120" w:before="240"/>
      </w:pPr>
      <w:r>
        <w:t xml:space="preserve">2. Brief Facts</w:t>
      </w:r>
    </w:p>
    <w:p>
      <w:pPr>
        <w:spacing w:after="160"/>
      </w:pPr>
      <w:r>
        <w:t xml:space="preserve">The complainant, Sunrise Textiles Pvt. Ltd., placed a purchase order dated 14 February 2024 with Chowdary Trading Co. for the supply of 12,000 meters of dyed cotton fabric, valued at ₹18,40,000, with delivery scheduled within 30 days. An advance of ₹9,20,000 (50% of the order value) was paid by RTGS on 16 February 2024 against a proforma invoice issued by the accused.</w:t>
      </w:r>
    </w:p>
    <w:p>
      <w:pPr>
        <w:spacing w:after="160"/>
      </w:pPr>
      <w:r>
        <w:t xml:space="preserve">No goods were delivered within the stipulated period. On follow-up, the accused furnished a delivery challan dated 10 March 2024 purportedly signed by the complainant's warehouse manager acknowledging partial receipt of goods — a document the complainant disputes having signed or received. Subsequent verification revealed that the transport company named on the challan had no record of any such consignment. The complainant alleges that the accused never intended to supply the goods and fabricated the delivery challan to delay recovery action and cover the misappropriation of the advance amount.</w:t>
      </w:r>
    </w:p>
    <w:p>
      <w:pPr>
        <w:pStyle w:val="Heading1"/>
        <w:spacing w:after="120" w:before="240"/>
      </w:pPr>
      <w:r>
        <w:t xml:space="preserve">3. Chronology of Proceedings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900"/>
      </w:tblGrid>
      <w:tr>
        <w:tc>
          <w:tcPr>
            <w:tcW w:type="dxa" w:w="1500"/>
            <w:shd w:fill="6B1F1F" w:color="auto" w:val="clear"/>
            <w:tcMar>
              <w:top w:type="dxa" w:w="70"/>
              <w:left w:type="dxa" w:w="90"/>
              <w:bottom w:type="dxa" w:w="70"/>
              <w:right w:type="dxa" w:w="90"/>
            </w:tcMar>
          </w:tcPr>
          <w:p>
            <w:r>
              <w:rPr>
                <w:b/>
                <w:bCs/>
                <w:color w:val="FFFFFF"/>
                <w:sz w:val="19"/>
                <w:szCs w:val="19"/>
              </w:rPr>
              <w:t xml:space="preserve">Date</w:t>
            </w:r>
          </w:p>
        </w:tc>
        <w:tc>
          <w:tcPr>
            <w:tcW w:type="dxa" w:w="2400"/>
            <w:shd w:fill="6B1F1F" w:color="auto" w:val="clear"/>
            <w:tcMar>
              <w:top w:type="dxa" w:w="70"/>
              <w:left w:type="dxa" w:w="90"/>
              <w:bottom w:type="dxa" w:w="70"/>
              <w:right w:type="dxa" w:w="90"/>
            </w:tcMar>
          </w:tcPr>
          <w:p>
            <w:r>
              <w:rPr>
                <w:b/>
                <w:bCs/>
                <w:color w:val="FFFFFF"/>
                <w:sz w:val="19"/>
                <w:szCs w:val="19"/>
              </w:rPr>
              <w:t xml:space="preserve">Event</w:t>
            </w:r>
          </w:p>
        </w:tc>
        <w:tc>
          <w:tcPr>
            <w:tcW w:type="dxa" w:w="5900"/>
            <w:shd w:fill="6B1F1F" w:color="auto" w:val="clear"/>
            <w:tcMar>
              <w:top w:type="dxa" w:w="70"/>
              <w:left w:type="dxa" w:w="90"/>
              <w:bottom w:type="dxa" w:w="70"/>
              <w:right w:type="dxa" w:w="90"/>
            </w:tcMar>
          </w:tcPr>
          <w:p>
            <w:r>
              <w:rPr>
                <w:b/>
                <w:bCs/>
                <w:color w:val="FFFFFF"/>
                <w:sz w:val="19"/>
                <w:szCs w:val="19"/>
              </w:rPr>
              <w:t xml:space="preserve">Notes / Outcome</w:t>
            </w:r>
          </w:p>
        </w:tc>
      </w:tr>
      <w:tr>
        <w:tc>
          <w:tcPr>
            <w:tcW w:type="dxa" w:w="1500"/>
            <w:tcMar>
              <w:top w:type="dxa" w:w="70"/>
              <w:left w:type="dxa" w:w="90"/>
              <w:bottom w:type="dxa" w:w="70"/>
              <w:right w:type="dxa" w:w="90"/>
            </w:tcMar>
          </w:tcPr>
          <w:p>
            <w:r>
              <w:rPr>
                <w:b w:val="false"/>
                <w:bCs w:val="false"/>
                <w:color w:val="000000"/>
                <w:sz w:val="19"/>
                <w:szCs w:val="19"/>
              </w:rPr>
              <w:t xml:space="preserve">14 Feb 2024</w:t>
            </w:r>
          </w:p>
        </w:tc>
        <w:tc>
          <w:tcPr>
            <w:tcW w:type="dxa" w:w="2400"/>
            <w:tcMar>
              <w:top w:type="dxa" w:w="70"/>
              <w:left w:type="dxa" w:w="90"/>
              <w:bottom w:type="dxa" w:w="70"/>
              <w:right w:type="dxa" w:w="90"/>
            </w:tcMar>
          </w:tcPr>
          <w:p>
            <w:r>
              <w:rPr>
                <w:b w:val="false"/>
                <w:bCs w:val="false"/>
                <w:color w:val="000000"/>
                <w:sz w:val="19"/>
                <w:szCs w:val="19"/>
              </w:rPr>
              <w:t xml:space="preserve">Purchase order placed</w:t>
            </w:r>
          </w:p>
        </w:tc>
        <w:tc>
          <w:tcPr>
            <w:tcW w:type="dxa" w:w="5900"/>
            <w:tcMar>
              <w:top w:type="dxa" w:w="70"/>
              <w:left w:type="dxa" w:w="90"/>
              <w:bottom w:type="dxa" w:w="70"/>
              <w:right w:type="dxa" w:w="90"/>
            </w:tcMar>
          </w:tcPr>
          <w:p>
            <w:r>
              <w:rPr>
                <w:b w:val="false"/>
                <w:bCs w:val="false"/>
                <w:color w:val="000000"/>
                <w:sz w:val="19"/>
                <w:szCs w:val="19"/>
              </w:rPr>
              <w:t xml:space="preserve">PO No. STX/PO/0219 issued to Chowdary Trading Co.</w:t>
            </w:r>
          </w:p>
        </w:tc>
      </w:tr>
      <w:tr>
        <w:tc>
          <w:tcPr>
            <w:tcW w:type="dxa" w:w="1500"/>
            <w:tcMar>
              <w:top w:type="dxa" w:w="70"/>
              <w:left w:type="dxa" w:w="90"/>
              <w:bottom w:type="dxa" w:w="70"/>
              <w:right w:type="dxa" w:w="90"/>
            </w:tcMar>
          </w:tcPr>
          <w:p>
            <w:r>
              <w:rPr>
                <w:b w:val="false"/>
                <w:bCs w:val="false"/>
                <w:color w:val="000000"/>
                <w:sz w:val="19"/>
                <w:szCs w:val="19"/>
              </w:rPr>
              <w:t xml:space="preserve">16 Feb 2024</w:t>
            </w:r>
          </w:p>
        </w:tc>
        <w:tc>
          <w:tcPr>
            <w:tcW w:type="dxa" w:w="2400"/>
            <w:tcMar>
              <w:top w:type="dxa" w:w="70"/>
              <w:left w:type="dxa" w:w="90"/>
              <w:bottom w:type="dxa" w:w="70"/>
              <w:right w:type="dxa" w:w="90"/>
            </w:tcMar>
          </w:tcPr>
          <w:p>
            <w:r>
              <w:rPr>
                <w:b w:val="false"/>
                <w:bCs w:val="false"/>
                <w:color w:val="000000"/>
                <w:sz w:val="19"/>
                <w:szCs w:val="19"/>
              </w:rPr>
              <w:t xml:space="preserve">Advance payment made</w:t>
            </w:r>
          </w:p>
        </w:tc>
        <w:tc>
          <w:tcPr>
            <w:tcW w:type="dxa" w:w="5900"/>
            <w:tcMar>
              <w:top w:type="dxa" w:w="70"/>
              <w:left w:type="dxa" w:w="90"/>
              <w:bottom w:type="dxa" w:w="70"/>
              <w:right w:type="dxa" w:w="90"/>
            </w:tcMar>
          </w:tcPr>
          <w:p>
            <w:r>
              <w:rPr>
                <w:b w:val="false"/>
                <w:bCs w:val="false"/>
                <w:color w:val="000000"/>
                <w:sz w:val="19"/>
                <w:szCs w:val="19"/>
              </w:rPr>
              <w:t xml:space="preserve">₹9,20,000 transferred via RTGS; UTR retained on file</w:t>
            </w:r>
          </w:p>
        </w:tc>
      </w:tr>
      <w:tr>
        <w:tc>
          <w:tcPr>
            <w:tcW w:type="dxa" w:w="1500"/>
            <w:tcMar>
              <w:top w:type="dxa" w:w="70"/>
              <w:left w:type="dxa" w:w="90"/>
              <w:bottom w:type="dxa" w:w="70"/>
              <w:right w:type="dxa" w:w="90"/>
            </w:tcMar>
          </w:tcPr>
          <w:p>
            <w:r>
              <w:rPr>
                <w:b w:val="false"/>
                <w:bCs w:val="false"/>
                <w:color w:val="000000"/>
                <w:sz w:val="19"/>
                <w:szCs w:val="19"/>
              </w:rPr>
              <w:t xml:space="preserve">10 Mar 2024</w:t>
            </w:r>
          </w:p>
        </w:tc>
        <w:tc>
          <w:tcPr>
            <w:tcW w:type="dxa" w:w="2400"/>
            <w:tcMar>
              <w:top w:type="dxa" w:w="70"/>
              <w:left w:type="dxa" w:w="90"/>
              <w:bottom w:type="dxa" w:w="70"/>
              <w:right w:type="dxa" w:w="90"/>
            </w:tcMar>
          </w:tcPr>
          <w:p>
            <w:r>
              <w:rPr>
                <w:b w:val="false"/>
                <w:bCs w:val="false"/>
                <w:color w:val="000000"/>
                <w:sz w:val="19"/>
                <w:szCs w:val="19"/>
              </w:rPr>
              <w:t xml:space="preserve">Disputed delivery challan received</w:t>
            </w:r>
          </w:p>
        </w:tc>
        <w:tc>
          <w:tcPr>
            <w:tcW w:type="dxa" w:w="5900"/>
            <w:tcMar>
              <w:top w:type="dxa" w:w="70"/>
              <w:left w:type="dxa" w:w="90"/>
              <w:bottom w:type="dxa" w:w="70"/>
              <w:right w:type="dxa" w:w="90"/>
            </w:tcMar>
          </w:tcPr>
          <w:p>
            <w:r>
              <w:rPr>
                <w:b w:val="false"/>
                <w:bCs w:val="false"/>
                <w:color w:val="000000"/>
                <w:sz w:val="19"/>
                <w:szCs w:val="19"/>
              </w:rPr>
              <w:t xml:space="preserve">Complainant denies authenticity of signature</w:t>
            </w:r>
          </w:p>
        </w:tc>
      </w:tr>
      <w:tr>
        <w:tc>
          <w:tcPr>
            <w:tcW w:type="dxa" w:w="1500"/>
            <w:tcMar>
              <w:top w:type="dxa" w:w="70"/>
              <w:left w:type="dxa" w:w="90"/>
              <w:bottom w:type="dxa" w:w="70"/>
              <w:right w:type="dxa" w:w="90"/>
            </w:tcMar>
          </w:tcPr>
          <w:p>
            <w:r>
              <w:rPr>
                <w:b w:val="false"/>
                <w:bCs w:val="false"/>
                <w:color w:val="000000"/>
                <w:sz w:val="19"/>
                <w:szCs w:val="19"/>
              </w:rPr>
              <w:t xml:space="preserve">22 Mar 2024</w:t>
            </w:r>
          </w:p>
        </w:tc>
        <w:tc>
          <w:tcPr>
            <w:tcW w:type="dxa" w:w="2400"/>
            <w:tcMar>
              <w:top w:type="dxa" w:w="70"/>
              <w:left w:type="dxa" w:w="90"/>
              <w:bottom w:type="dxa" w:w="70"/>
              <w:right w:type="dxa" w:w="90"/>
            </w:tcMar>
          </w:tcPr>
          <w:p>
            <w:r>
              <w:rPr>
                <w:b w:val="false"/>
                <w:bCs w:val="false"/>
                <w:color w:val="000000"/>
                <w:sz w:val="19"/>
                <w:szCs w:val="19"/>
              </w:rPr>
              <w:t xml:space="preserve">Legal notice issued to accused</w:t>
            </w:r>
          </w:p>
        </w:tc>
        <w:tc>
          <w:tcPr>
            <w:tcW w:type="dxa" w:w="5900"/>
            <w:tcMar>
              <w:top w:type="dxa" w:w="70"/>
              <w:left w:type="dxa" w:w="90"/>
              <w:bottom w:type="dxa" w:w="70"/>
              <w:right w:type="dxa" w:w="90"/>
            </w:tcMar>
          </w:tcPr>
          <w:p>
            <w:r>
              <w:rPr>
                <w:b w:val="false"/>
                <w:bCs w:val="false"/>
                <w:color w:val="000000"/>
                <w:sz w:val="19"/>
                <w:szCs w:val="19"/>
              </w:rPr>
              <w:t xml:space="preserve">Demanded refund of advance within 15 days; no response received</w:t>
            </w:r>
          </w:p>
        </w:tc>
      </w:tr>
      <w:tr>
        <w:tc>
          <w:tcPr>
            <w:tcW w:type="dxa" w:w="1500"/>
            <w:tcMar>
              <w:top w:type="dxa" w:w="70"/>
              <w:left w:type="dxa" w:w="90"/>
              <w:bottom w:type="dxa" w:w="70"/>
              <w:right w:type="dxa" w:w="90"/>
            </w:tcMar>
          </w:tcPr>
          <w:p>
            <w:r>
              <w:rPr>
                <w:b w:val="false"/>
                <w:bCs w:val="false"/>
                <w:color w:val="000000"/>
                <w:sz w:val="19"/>
                <w:szCs w:val="19"/>
              </w:rPr>
              <w:t xml:space="preserve">18 Apr 2024</w:t>
            </w:r>
          </w:p>
        </w:tc>
        <w:tc>
          <w:tcPr>
            <w:tcW w:type="dxa" w:w="2400"/>
            <w:tcMar>
              <w:top w:type="dxa" w:w="70"/>
              <w:left w:type="dxa" w:w="90"/>
              <w:bottom w:type="dxa" w:w="70"/>
              <w:right w:type="dxa" w:w="90"/>
            </w:tcMar>
          </w:tcPr>
          <w:p>
            <w:r>
              <w:rPr>
                <w:b w:val="false"/>
                <w:bCs w:val="false"/>
                <w:color w:val="000000"/>
                <w:sz w:val="19"/>
                <w:szCs w:val="19"/>
              </w:rPr>
              <w:t xml:space="preserve">FIR registered</w:t>
            </w:r>
          </w:p>
        </w:tc>
        <w:tc>
          <w:tcPr>
            <w:tcW w:type="dxa" w:w="5900"/>
            <w:tcMar>
              <w:top w:type="dxa" w:w="70"/>
              <w:left w:type="dxa" w:w="90"/>
              <w:bottom w:type="dxa" w:w="70"/>
              <w:right w:type="dxa" w:w="90"/>
            </w:tcMar>
          </w:tcPr>
          <w:p>
            <w:r>
              <w:rPr>
                <w:b w:val="false"/>
                <w:bCs w:val="false"/>
                <w:color w:val="000000"/>
                <w:sz w:val="19"/>
                <w:szCs w:val="19"/>
              </w:rPr>
              <w:t xml:space="preserve">FIR No. 112/2024, Begumpet Police Station</w:t>
            </w:r>
          </w:p>
        </w:tc>
      </w:tr>
      <w:tr>
        <w:tc>
          <w:tcPr>
            <w:tcW w:type="dxa" w:w="1500"/>
            <w:tcMar>
              <w:top w:type="dxa" w:w="70"/>
              <w:left w:type="dxa" w:w="90"/>
              <w:bottom w:type="dxa" w:w="70"/>
              <w:right w:type="dxa" w:w="90"/>
            </w:tcMar>
          </w:tcPr>
          <w:p>
            <w:r>
              <w:rPr>
                <w:b w:val="false"/>
                <w:bCs w:val="false"/>
                <w:color w:val="000000"/>
                <w:sz w:val="19"/>
                <w:szCs w:val="19"/>
              </w:rPr>
              <w:t xml:space="preserve">30 Jun 2024</w:t>
            </w:r>
          </w:p>
        </w:tc>
        <w:tc>
          <w:tcPr>
            <w:tcW w:type="dxa" w:w="2400"/>
            <w:tcMar>
              <w:top w:type="dxa" w:w="70"/>
              <w:left w:type="dxa" w:w="90"/>
              <w:bottom w:type="dxa" w:w="70"/>
              <w:right w:type="dxa" w:w="90"/>
            </w:tcMar>
          </w:tcPr>
          <w:p>
            <w:r>
              <w:rPr>
                <w:b w:val="false"/>
                <w:bCs w:val="false"/>
                <w:color w:val="000000"/>
                <w:sz w:val="19"/>
                <w:szCs w:val="19"/>
              </w:rPr>
              <w:t xml:space="preserve">Chargesheet filed</w:t>
            </w:r>
          </w:p>
        </w:tc>
        <w:tc>
          <w:tcPr>
            <w:tcW w:type="dxa" w:w="5900"/>
            <w:tcMar>
              <w:top w:type="dxa" w:w="70"/>
              <w:left w:type="dxa" w:w="90"/>
              <w:bottom w:type="dxa" w:w="70"/>
              <w:right w:type="dxa" w:w="90"/>
            </w:tcMar>
          </w:tcPr>
          <w:p>
            <w:r>
              <w:rPr>
                <w:b w:val="false"/>
                <w:bCs w:val="false"/>
                <w:color w:val="000000"/>
                <w:sz w:val="19"/>
                <w:szCs w:val="19"/>
              </w:rPr>
              <w:t xml:space="preserve">Filed before ACMM Nampally under BNS Ss. 318(4), 338</w:t>
            </w:r>
          </w:p>
        </w:tc>
      </w:tr>
      <w:tr>
        <w:tc>
          <w:tcPr>
            <w:tcW w:type="dxa" w:w="1500"/>
            <w:tcMar>
              <w:top w:type="dxa" w:w="70"/>
              <w:left w:type="dxa" w:w="90"/>
              <w:bottom w:type="dxa" w:w="70"/>
              <w:right w:type="dxa" w:w="90"/>
            </w:tcMar>
          </w:tcPr>
          <w:p>
            <w:r>
              <w:rPr>
                <w:b w:val="false"/>
                <w:bCs w:val="false"/>
                <w:color w:val="000000"/>
                <w:sz w:val="19"/>
                <w:szCs w:val="19"/>
              </w:rPr>
              <w:t xml:space="preserve">12 Jul 2024</w:t>
            </w:r>
          </w:p>
        </w:tc>
        <w:tc>
          <w:tcPr>
            <w:tcW w:type="dxa" w:w="2400"/>
            <w:tcMar>
              <w:top w:type="dxa" w:w="70"/>
              <w:left w:type="dxa" w:w="90"/>
              <w:bottom w:type="dxa" w:w="70"/>
              <w:right w:type="dxa" w:w="90"/>
            </w:tcMar>
          </w:tcPr>
          <w:p>
            <w:r>
              <w:rPr>
                <w:b w:val="false"/>
                <w:bCs w:val="false"/>
                <w:color w:val="000000"/>
                <w:sz w:val="19"/>
                <w:szCs w:val="19"/>
              </w:rPr>
              <w:t xml:space="preserve">First appearance of accused</w:t>
            </w:r>
          </w:p>
        </w:tc>
        <w:tc>
          <w:tcPr>
            <w:tcW w:type="dxa" w:w="5900"/>
            <w:tcMar>
              <w:top w:type="dxa" w:w="70"/>
              <w:left w:type="dxa" w:w="90"/>
              <w:bottom w:type="dxa" w:w="70"/>
              <w:right w:type="dxa" w:w="90"/>
            </w:tcMar>
          </w:tcPr>
          <w:p>
            <w:r>
              <w:rPr>
                <w:b w:val="false"/>
                <w:bCs w:val="false"/>
                <w:color w:val="000000"/>
                <w:sz w:val="19"/>
                <w:szCs w:val="19"/>
              </w:rPr>
              <w:t xml:space="preserve">Accused released on bail of ₹1,00,000 with one surety</w:t>
            </w:r>
          </w:p>
        </w:tc>
      </w:tr>
      <w:tr>
        <w:tc>
          <w:tcPr>
            <w:tcW w:type="dxa" w:w="1500"/>
            <w:tcMar>
              <w:top w:type="dxa" w:w="70"/>
              <w:left w:type="dxa" w:w="90"/>
              <w:bottom w:type="dxa" w:w="70"/>
              <w:right w:type="dxa" w:w="90"/>
            </w:tcMar>
          </w:tcPr>
          <w:p>
            <w:r>
              <w:rPr>
                <w:b w:val="false"/>
                <w:bCs w:val="false"/>
                <w:color w:val="000000"/>
                <w:sz w:val="19"/>
                <w:szCs w:val="19"/>
              </w:rPr>
              <w:t xml:space="preserve">9 Sep 2024</w:t>
            </w:r>
          </w:p>
        </w:tc>
        <w:tc>
          <w:tcPr>
            <w:tcW w:type="dxa" w:w="2400"/>
            <w:tcMar>
              <w:top w:type="dxa" w:w="70"/>
              <w:left w:type="dxa" w:w="90"/>
              <w:bottom w:type="dxa" w:w="70"/>
              <w:right w:type="dxa" w:w="90"/>
            </w:tcMar>
          </w:tcPr>
          <w:p>
            <w:r>
              <w:rPr>
                <w:b w:val="false"/>
                <w:bCs w:val="false"/>
                <w:color w:val="000000"/>
                <w:sz w:val="19"/>
                <w:szCs w:val="19"/>
              </w:rPr>
              <w:t xml:space="preserve">Charges framed</w:t>
            </w:r>
          </w:p>
        </w:tc>
        <w:tc>
          <w:tcPr>
            <w:tcW w:type="dxa" w:w="5900"/>
            <w:tcMar>
              <w:top w:type="dxa" w:w="70"/>
              <w:left w:type="dxa" w:w="90"/>
              <w:bottom w:type="dxa" w:w="70"/>
              <w:right w:type="dxa" w:w="90"/>
            </w:tcMar>
          </w:tcPr>
          <w:p>
            <w:r>
              <w:rPr>
                <w:b w:val="false"/>
                <w:bCs w:val="false"/>
                <w:color w:val="000000"/>
                <w:sz w:val="19"/>
                <w:szCs w:val="19"/>
              </w:rPr>
              <w:t xml:space="preserve">Accused pleaded not guilty; claimed trial ordered</w:t>
            </w:r>
          </w:p>
        </w:tc>
      </w:tr>
      <w:tr>
        <w:tc>
          <w:tcPr>
            <w:tcW w:type="dxa" w:w="1500"/>
            <w:tcMar>
              <w:top w:type="dxa" w:w="70"/>
              <w:left w:type="dxa" w:w="90"/>
              <w:bottom w:type="dxa" w:w="70"/>
              <w:right w:type="dxa" w:w="90"/>
            </w:tcMar>
          </w:tcPr>
          <w:p>
            <w:r>
              <w:rPr>
                <w:b w:val="false"/>
                <w:bCs w:val="false"/>
                <w:color w:val="000000"/>
                <w:sz w:val="19"/>
                <w:szCs w:val="19"/>
              </w:rPr>
              <w:t xml:space="preserve">21 Nov 2024</w:t>
            </w:r>
          </w:p>
        </w:tc>
        <w:tc>
          <w:tcPr>
            <w:tcW w:type="dxa" w:w="2400"/>
            <w:tcMar>
              <w:top w:type="dxa" w:w="70"/>
              <w:left w:type="dxa" w:w="90"/>
              <w:bottom w:type="dxa" w:w="70"/>
              <w:right w:type="dxa" w:w="90"/>
            </w:tcMar>
          </w:tcPr>
          <w:p>
            <w:r>
              <w:rPr>
                <w:b w:val="false"/>
                <w:bCs w:val="false"/>
                <w:color w:val="000000"/>
                <w:sz w:val="19"/>
                <w:szCs w:val="19"/>
              </w:rPr>
              <w:t xml:space="preserve">PW-1 (complainant's Director) examined-in-chief</w:t>
            </w:r>
          </w:p>
        </w:tc>
        <w:tc>
          <w:tcPr>
            <w:tcW w:type="dxa" w:w="5900"/>
            <w:tcMar>
              <w:top w:type="dxa" w:w="70"/>
              <w:left w:type="dxa" w:w="90"/>
              <w:bottom w:type="dxa" w:w="70"/>
              <w:right w:type="dxa" w:w="90"/>
            </w:tcMar>
          </w:tcPr>
          <w:p>
            <w:r>
              <w:rPr>
                <w:b w:val="false"/>
                <w:bCs w:val="false"/>
                <w:color w:val="000000"/>
                <w:sz w:val="19"/>
                <w:szCs w:val="19"/>
              </w:rPr>
              <w:t xml:space="preserve">Deposed on placement of order and advance payment</w:t>
            </w:r>
          </w:p>
        </w:tc>
      </w:tr>
      <w:tr>
        <w:tc>
          <w:tcPr>
            <w:tcW w:type="dxa" w:w="1500"/>
            <w:tcMar>
              <w:top w:type="dxa" w:w="70"/>
              <w:left w:type="dxa" w:w="90"/>
              <w:bottom w:type="dxa" w:w="70"/>
              <w:right w:type="dxa" w:w="90"/>
            </w:tcMar>
          </w:tcPr>
          <w:p>
            <w:r>
              <w:rPr>
                <w:b w:val="false"/>
                <w:bCs w:val="false"/>
                <w:color w:val="000000"/>
                <w:sz w:val="19"/>
                <w:szCs w:val="19"/>
              </w:rPr>
              <w:t xml:space="preserve">15 Jan 2025</w:t>
            </w:r>
          </w:p>
        </w:tc>
        <w:tc>
          <w:tcPr>
            <w:tcW w:type="dxa" w:w="2400"/>
            <w:tcMar>
              <w:top w:type="dxa" w:w="70"/>
              <w:left w:type="dxa" w:w="90"/>
              <w:bottom w:type="dxa" w:w="70"/>
              <w:right w:type="dxa" w:w="90"/>
            </w:tcMar>
          </w:tcPr>
          <w:p>
            <w:r>
              <w:rPr>
                <w:b w:val="false"/>
                <w:bCs w:val="false"/>
                <w:color w:val="000000"/>
                <w:sz w:val="19"/>
                <w:szCs w:val="19"/>
              </w:rPr>
              <w:t xml:space="preserve">PW-1 cross-examined</w:t>
            </w:r>
          </w:p>
        </w:tc>
        <w:tc>
          <w:tcPr>
            <w:tcW w:type="dxa" w:w="5900"/>
            <w:tcMar>
              <w:top w:type="dxa" w:w="70"/>
              <w:left w:type="dxa" w:w="90"/>
              <w:bottom w:type="dxa" w:w="70"/>
              <w:right w:type="dxa" w:w="90"/>
            </w:tcMar>
          </w:tcPr>
          <w:p>
            <w:r>
              <w:rPr>
                <w:b w:val="false"/>
                <w:bCs w:val="false"/>
                <w:color w:val="000000"/>
                <w:sz w:val="19"/>
                <w:szCs w:val="19"/>
              </w:rPr>
              <w:t xml:space="preserve">Defense questioned delay in raising dispute; matter part-heard</w:t>
            </w:r>
          </w:p>
        </w:tc>
      </w:tr>
      <w:tr>
        <w:tc>
          <w:tcPr>
            <w:tcW w:type="dxa" w:w="1500"/>
            <w:tcMar>
              <w:top w:type="dxa" w:w="70"/>
              <w:left w:type="dxa" w:w="90"/>
              <w:bottom w:type="dxa" w:w="70"/>
              <w:right w:type="dxa" w:w="90"/>
            </w:tcMar>
          </w:tcPr>
          <w:p>
            <w:r>
              <w:rPr>
                <w:b w:val="false"/>
                <w:bCs w:val="false"/>
                <w:color w:val="000000"/>
                <w:sz w:val="19"/>
                <w:szCs w:val="19"/>
              </w:rPr>
              <w:t xml:space="preserve">18 Mar 2025</w:t>
            </w:r>
          </w:p>
        </w:tc>
        <w:tc>
          <w:tcPr>
            <w:tcW w:type="dxa" w:w="2400"/>
            <w:tcMar>
              <w:top w:type="dxa" w:w="70"/>
              <w:left w:type="dxa" w:w="90"/>
              <w:bottom w:type="dxa" w:w="70"/>
              <w:right w:type="dxa" w:w="90"/>
            </w:tcMar>
          </w:tcPr>
          <w:p>
            <w:r>
              <w:rPr>
                <w:b w:val="false"/>
                <w:bCs w:val="false"/>
                <w:color w:val="000000"/>
                <w:sz w:val="19"/>
                <w:szCs w:val="19"/>
              </w:rPr>
              <w:t xml:space="preserve">PW-2 (warehouse manager) examined</w:t>
            </w:r>
          </w:p>
        </w:tc>
        <w:tc>
          <w:tcPr>
            <w:tcW w:type="dxa" w:w="5900"/>
            <w:tcMar>
              <w:top w:type="dxa" w:w="70"/>
              <w:left w:type="dxa" w:w="90"/>
              <w:bottom w:type="dxa" w:w="70"/>
              <w:right w:type="dxa" w:w="90"/>
            </w:tcMar>
          </w:tcPr>
          <w:p>
            <w:r>
              <w:rPr>
                <w:b w:val="false"/>
                <w:bCs w:val="false"/>
                <w:color w:val="000000"/>
                <w:sz w:val="19"/>
                <w:szCs w:val="19"/>
              </w:rPr>
              <w:t xml:space="preserve">Denied signing the disputed delivery challan</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1F1F" w:color="auto" w:val="clear"/>
            <w:tcMar>
              <w:top w:type="dxa" w:w="70"/>
              <w:left w:type="dxa" w:w="90"/>
              <w:bottom w:type="dxa" w:w="70"/>
              <w:right w:type="dxa" w:w="90"/>
            </w:tcMar>
          </w:tcPr>
          <w:p>
            <w:r>
              <w:rPr>
                <w:b/>
                <w:bCs/>
                <w:color w:val="FFFFFF"/>
                <w:sz w:val="19"/>
                <w:szCs w:val="19"/>
              </w:rPr>
              <w:t xml:space="preserve">Exhibit No.</w:t>
            </w:r>
          </w:p>
        </w:tc>
        <w:tc>
          <w:tcPr>
            <w:tcW w:type="dxa" w:w="3600"/>
            <w:shd w:fill="6B1F1F" w:color="auto" w:val="clear"/>
            <w:tcMar>
              <w:top w:type="dxa" w:w="70"/>
              <w:left w:type="dxa" w:w="90"/>
              <w:bottom w:type="dxa" w:w="70"/>
              <w:right w:type="dxa" w:w="90"/>
            </w:tcMar>
          </w:tcPr>
          <w:p>
            <w:r>
              <w:rPr>
                <w:b/>
                <w:bCs/>
                <w:color w:val="FFFFFF"/>
                <w:sz w:val="19"/>
                <w:szCs w:val="19"/>
              </w:rPr>
              <w:t xml:space="preserve">Description</w:t>
            </w:r>
          </w:p>
        </w:tc>
        <w:tc>
          <w:tcPr>
            <w:tcW w:type="dxa" w:w="4800"/>
            <w:shd w:fill="6B1F1F" w:color="auto" w:val="clear"/>
            <w:tcMar>
              <w:top w:type="dxa" w:w="70"/>
              <w:left w:type="dxa" w:w="90"/>
              <w:bottom w:type="dxa" w:w="70"/>
              <w:right w:type="dxa" w:w="90"/>
            </w:tcMar>
          </w:tcPr>
          <w:p>
            <w:r>
              <w:rPr>
                <w:b/>
                <w:bCs/>
                <w:color w:val="FFFFFF"/>
                <w:sz w:val="19"/>
                <w:szCs w:val="19"/>
              </w:rPr>
              <w:t xml:space="preserve">Relevance</w:t>
            </w:r>
          </w:p>
        </w:tc>
      </w:tr>
      <w:tr>
        <w:tc>
          <w:tcPr>
            <w:tcW w:type="dxa" w:w="1400"/>
            <w:tcMar>
              <w:top w:type="dxa" w:w="70"/>
              <w:left w:type="dxa" w:w="90"/>
              <w:bottom w:type="dxa" w:w="70"/>
              <w:right w:type="dxa" w:w="90"/>
            </w:tcMar>
          </w:tcPr>
          <w:p>
            <w:r>
              <w:rPr>
                <w:b w:val="false"/>
                <w:bCs w:val="false"/>
                <w:color w:val="000000"/>
                <w:sz w:val="19"/>
                <w:szCs w:val="19"/>
              </w:rPr>
              <w:t xml:space="preserve">Ex. P1</w:t>
            </w:r>
          </w:p>
        </w:tc>
        <w:tc>
          <w:tcPr>
            <w:tcW w:type="dxa" w:w="3600"/>
            <w:tcMar>
              <w:top w:type="dxa" w:w="70"/>
              <w:left w:type="dxa" w:w="90"/>
              <w:bottom w:type="dxa" w:w="70"/>
              <w:right w:type="dxa" w:w="90"/>
            </w:tcMar>
          </w:tcPr>
          <w:p>
            <w:r>
              <w:rPr>
                <w:b w:val="false"/>
                <w:bCs w:val="false"/>
                <w:color w:val="000000"/>
                <w:sz w:val="19"/>
                <w:szCs w:val="19"/>
              </w:rPr>
              <w:t xml:space="preserve">Purchase order dated 14 Feb 2024</w:t>
            </w:r>
          </w:p>
        </w:tc>
        <w:tc>
          <w:tcPr>
            <w:tcW w:type="dxa" w:w="4800"/>
            <w:tcMar>
              <w:top w:type="dxa" w:w="70"/>
              <w:left w:type="dxa" w:w="90"/>
              <w:bottom w:type="dxa" w:w="70"/>
              <w:right w:type="dxa" w:w="90"/>
            </w:tcMar>
          </w:tcPr>
          <w:p>
            <w:r>
              <w:rPr>
                <w:b w:val="false"/>
                <w:bCs w:val="false"/>
                <w:color w:val="000000"/>
                <w:sz w:val="19"/>
                <w:szCs w:val="19"/>
              </w:rPr>
              <w:t xml:space="preserve">Establishes terms of the transaction and delivery timeline</w:t>
            </w:r>
          </w:p>
        </w:tc>
      </w:tr>
      <w:tr>
        <w:tc>
          <w:tcPr>
            <w:tcW w:type="dxa" w:w="1400"/>
            <w:tcMar>
              <w:top w:type="dxa" w:w="70"/>
              <w:left w:type="dxa" w:w="90"/>
              <w:bottom w:type="dxa" w:w="70"/>
              <w:right w:type="dxa" w:w="90"/>
            </w:tcMar>
          </w:tcPr>
          <w:p>
            <w:r>
              <w:rPr>
                <w:b w:val="false"/>
                <w:bCs w:val="false"/>
                <w:color w:val="000000"/>
                <w:sz w:val="19"/>
                <w:szCs w:val="19"/>
              </w:rPr>
              <w:t xml:space="preserve">Ex. P2</w:t>
            </w:r>
          </w:p>
        </w:tc>
        <w:tc>
          <w:tcPr>
            <w:tcW w:type="dxa" w:w="3600"/>
            <w:tcMar>
              <w:top w:type="dxa" w:w="70"/>
              <w:left w:type="dxa" w:w="90"/>
              <w:bottom w:type="dxa" w:w="70"/>
              <w:right w:type="dxa" w:w="90"/>
            </w:tcMar>
          </w:tcPr>
          <w:p>
            <w:r>
              <w:rPr>
                <w:b w:val="false"/>
                <w:bCs w:val="false"/>
                <w:color w:val="000000"/>
                <w:sz w:val="19"/>
                <w:szCs w:val="19"/>
              </w:rPr>
              <w:t xml:space="preserve">RTGS payment confirmation dated 16 Feb 2024</w:t>
            </w:r>
          </w:p>
        </w:tc>
        <w:tc>
          <w:tcPr>
            <w:tcW w:type="dxa" w:w="4800"/>
            <w:tcMar>
              <w:top w:type="dxa" w:w="70"/>
              <w:left w:type="dxa" w:w="90"/>
              <w:bottom w:type="dxa" w:w="70"/>
              <w:right w:type="dxa" w:w="90"/>
            </w:tcMar>
          </w:tcPr>
          <w:p>
            <w:r>
              <w:rPr>
                <w:b w:val="false"/>
                <w:bCs w:val="false"/>
                <w:color w:val="000000"/>
                <w:sz w:val="19"/>
                <w:szCs w:val="19"/>
              </w:rPr>
              <w:t xml:space="preserve">Proof of advance payment of ₹9,20,000</w:t>
            </w:r>
          </w:p>
        </w:tc>
      </w:tr>
      <w:tr>
        <w:tc>
          <w:tcPr>
            <w:tcW w:type="dxa" w:w="1400"/>
            <w:tcMar>
              <w:top w:type="dxa" w:w="70"/>
              <w:left w:type="dxa" w:w="90"/>
              <w:bottom w:type="dxa" w:w="70"/>
              <w:right w:type="dxa" w:w="90"/>
            </w:tcMar>
          </w:tcPr>
          <w:p>
            <w:r>
              <w:rPr>
                <w:b w:val="false"/>
                <w:bCs w:val="false"/>
                <w:color w:val="000000"/>
                <w:sz w:val="19"/>
                <w:szCs w:val="19"/>
              </w:rPr>
              <w:t xml:space="preserve">Ex. P3</w:t>
            </w:r>
          </w:p>
        </w:tc>
        <w:tc>
          <w:tcPr>
            <w:tcW w:type="dxa" w:w="3600"/>
            <w:tcMar>
              <w:top w:type="dxa" w:w="70"/>
              <w:left w:type="dxa" w:w="90"/>
              <w:bottom w:type="dxa" w:w="70"/>
              <w:right w:type="dxa" w:w="90"/>
            </w:tcMar>
          </w:tcPr>
          <w:p>
            <w:r>
              <w:rPr>
                <w:b w:val="false"/>
                <w:bCs w:val="false"/>
                <w:color w:val="000000"/>
                <w:sz w:val="19"/>
                <w:szCs w:val="19"/>
              </w:rPr>
              <w:t xml:space="preserve">Disputed delivery challan dated 10 Mar 2024</w:t>
            </w:r>
          </w:p>
        </w:tc>
        <w:tc>
          <w:tcPr>
            <w:tcW w:type="dxa" w:w="4800"/>
            <w:tcMar>
              <w:top w:type="dxa" w:w="70"/>
              <w:left w:type="dxa" w:w="90"/>
              <w:bottom w:type="dxa" w:w="70"/>
              <w:right w:type="dxa" w:w="90"/>
            </w:tcMar>
          </w:tcPr>
          <w:p>
            <w:r>
              <w:rPr>
                <w:b w:val="false"/>
                <w:bCs w:val="false"/>
                <w:color w:val="000000"/>
                <w:sz w:val="19"/>
                <w:szCs w:val="19"/>
              </w:rPr>
              <w:t xml:space="preserve">Alleged forged document; subject of forgery charge</w:t>
            </w:r>
          </w:p>
        </w:tc>
      </w:tr>
      <w:tr>
        <w:tc>
          <w:tcPr>
            <w:tcW w:type="dxa" w:w="1400"/>
            <w:tcMar>
              <w:top w:type="dxa" w:w="70"/>
              <w:left w:type="dxa" w:w="90"/>
              <w:bottom w:type="dxa" w:w="70"/>
              <w:right w:type="dxa" w:w="90"/>
            </w:tcMar>
          </w:tcPr>
          <w:p>
            <w:r>
              <w:rPr>
                <w:b w:val="false"/>
                <w:bCs w:val="false"/>
                <w:color w:val="000000"/>
                <w:sz w:val="19"/>
                <w:szCs w:val="19"/>
              </w:rPr>
              <w:t xml:space="preserve">Ex. P4</w:t>
            </w:r>
          </w:p>
        </w:tc>
        <w:tc>
          <w:tcPr>
            <w:tcW w:type="dxa" w:w="3600"/>
            <w:tcMar>
              <w:top w:type="dxa" w:w="70"/>
              <w:left w:type="dxa" w:w="90"/>
              <w:bottom w:type="dxa" w:w="70"/>
              <w:right w:type="dxa" w:w="90"/>
            </w:tcMar>
          </w:tcPr>
          <w:p>
            <w:r>
              <w:rPr>
                <w:b w:val="false"/>
                <w:bCs w:val="false"/>
                <w:color w:val="000000"/>
                <w:sz w:val="19"/>
                <w:szCs w:val="19"/>
              </w:rPr>
              <w:t xml:space="preserve">Reply from named transport company denying any consignment</w:t>
            </w:r>
          </w:p>
        </w:tc>
        <w:tc>
          <w:tcPr>
            <w:tcW w:type="dxa" w:w="4800"/>
            <w:tcMar>
              <w:top w:type="dxa" w:w="70"/>
              <w:left w:type="dxa" w:w="90"/>
              <w:bottom w:type="dxa" w:w="70"/>
              <w:right w:type="dxa" w:w="90"/>
            </w:tcMar>
          </w:tcPr>
          <w:p>
            <w:r>
              <w:rPr>
                <w:b w:val="false"/>
                <w:bCs w:val="false"/>
                <w:color w:val="000000"/>
                <w:sz w:val="19"/>
                <w:szCs w:val="19"/>
              </w:rPr>
              <w:t xml:space="preserve">Corroborates that no delivery was ever made</w:t>
            </w:r>
          </w:p>
        </w:tc>
      </w:tr>
      <w:tr>
        <w:tc>
          <w:tcPr>
            <w:tcW w:type="dxa" w:w="1400"/>
            <w:tcMar>
              <w:top w:type="dxa" w:w="70"/>
              <w:left w:type="dxa" w:w="90"/>
              <w:bottom w:type="dxa" w:w="70"/>
              <w:right w:type="dxa" w:w="90"/>
            </w:tcMar>
          </w:tcPr>
          <w:p>
            <w:r>
              <w:rPr>
                <w:b w:val="false"/>
                <w:bCs w:val="false"/>
                <w:color w:val="000000"/>
                <w:sz w:val="19"/>
                <w:szCs w:val="19"/>
              </w:rPr>
              <w:t xml:space="preserve">Ex. P5</w:t>
            </w:r>
          </w:p>
        </w:tc>
        <w:tc>
          <w:tcPr>
            <w:tcW w:type="dxa" w:w="3600"/>
            <w:tcMar>
              <w:top w:type="dxa" w:w="70"/>
              <w:left w:type="dxa" w:w="90"/>
              <w:bottom w:type="dxa" w:w="70"/>
              <w:right w:type="dxa" w:w="90"/>
            </w:tcMar>
          </w:tcPr>
          <w:p>
            <w:r>
              <w:rPr>
                <w:b w:val="false"/>
                <w:bCs w:val="false"/>
                <w:color w:val="000000"/>
                <w:sz w:val="19"/>
                <w:szCs w:val="19"/>
              </w:rPr>
              <w:t xml:space="preserve">Legal notice dated 22 Mar 2024 and postal tracking receipt</w:t>
            </w:r>
          </w:p>
        </w:tc>
        <w:tc>
          <w:tcPr>
            <w:tcW w:type="dxa" w:w="4800"/>
            <w:tcMar>
              <w:top w:type="dxa" w:w="70"/>
              <w:left w:type="dxa" w:w="90"/>
              <w:bottom w:type="dxa" w:w="70"/>
              <w:right w:type="dxa" w:w="90"/>
            </w:tcMar>
          </w:tcPr>
          <w:p>
            <w:r>
              <w:rPr>
                <w:b w:val="false"/>
                <w:bCs w:val="false"/>
                <w:color w:val="000000"/>
                <w:sz w:val="19"/>
                <w:szCs w:val="19"/>
              </w:rPr>
              <w:t xml:space="preserve">Demonstrates demand for refund prior to FIR</w:t>
            </w:r>
          </w:p>
        </w:tc>
      </w:tr>
      <w:tr>
        <w:tc>
          <w:tcPr>
            <w:tcW w:type="dxa" w:w="1400"/>
            <w:tcMar>
              <w:top w:type="dxa" w:w="70"/>
              <w:left w:type="dxa" w:w="90"/>
              <w:bottom w:type="dxa" w:w="70"/>
              <w:right w:type="dxa" w:w="90"/>
            </w:tcMar>
          </w:tcPr>
          <w:p>
            <w:r>
              <w:rPr>
                <w:b w:val="false"/>
                <w:bCs w:val="false"/>
                <w:color w:val="000000"/>
                <w:sz w:val="19"/>
                <w:szCs w:val="19"/>
              </w:rPr>
              <w:t xml:space="preserve">Ex. P6</w:t>
            </w:r>
          </w:p>
        </w:tc>
        <w:tc>
          <w:tcPr>
            <w:tcW w:type="dxa" w:w="3600"/>
            <w:tcMar>
              <w:top w:type="dxa" w:w="70"/>
              <w:left w:type="dxa" w:w="90"/>
              <w:bottom w:type="dxa" w:w="70"/>
              <w:right w:type="dxa" w:w="90"/>
            </w:tcMar>
          </w:tcPr>
          <w:p>
            <w:r>
              <w:rPr>
                <w:b w:val="false"/>
                <w:bCs w:val="false"/>
                <w:color w:val="000000"/>
                <w:sz w:val="19"/>
                <w:szCs w:val="19"/>
              </w:rPr>
              <w:t xml:space="preserve">Forensic handwriting comparison report</w:t>
            </w:r>
          </w:p>
        </w:tc>
        <w:tc>
          <w:tcPr>
            <w:tcW w:type="dxa" w:w="4800"/>
            <w:tcMar>
              <w:top w:type="dxa" w:w="70"/>
              <w:left w:type="dxa" w:w="90"/>
              <w:bottom w:type="dxa" w:w="70"/>
              <w:right w:type="dxa" w:w="90"/>
            </w:tcMar>
          </w:tcPr>
          <w:p>
            <w:r>
              <w:rPr>
                <w:b w:val="false"/>
                <w:bCs w:val="false"/>
                <w:color w:val="000000"/>
                <w:sz w:val="19"/>
                <w:szCs w:val="19"/>
              </w:rPr>
              <w:t xml:space="preserve">Opines that signature on Ex. P3 does not match specimen signatures of PW-2</w:t>
            </w:r>
          </w:p>
        </w:tc>
      </w:tr>
    </w:tbl>
    <w:p>
      <w:pPr>
        <w:pStyle w:val="Heading1"/>
        <w:spacing w:after="120" w:before="240"/>
      </w:pPr>
      <w:r>
        <w:t xml:space="preserve">5. Key Legal Issues</w:t>
      </w:r>
    </w:p>
    <w:p>
      <w:pPr>
        <w:pStyle w:val="ListParagraph"/>
        <w:numPr>
          <w:ilvl w:val="0"/>
          <w:numId w:val="2"/>
        </w:numPr>
        <w:spacing w:after="80"/>
      </w:pPr>
      <w:r>
        <w:t xml:space="preserve">Whether the accused had dishonest intention at the time of inducing payment of the advance, as required to sustain a charge of cheating</w:t>
      </w:r>
    </w:p>
    <w:p>
      <w:pPr>
        <w:pStyle w:val="ListParagraph"/>
        <w:numPr>
          <w:ilvl w:val="0"/>
          <w:numId w:val="2"/>
        </w:numPr>
        <w:spacing w:after="80"/>
      </w:pPr>
      <w:r>
        <w:t xml:space="preserve">Whether the disputed delivery challan (Ex. P3) is a forged document, and whether it was used to deceive or delay recovery action</w:t>
      </w:r>
    </w:p>
    <w:p>
      <w:pPr>
        <w:pStyle w:val="ListParagraph"/>
        <w:numPr>
          <w:ilvl w:val="0"/>
          <w:numId w:val="2"/>
        </w:numPr>
        <w:spacing w:after="80"/>
      </w:pPr>
      <w:r>
        <w:t xml:space="preserve">Whether civil remedies (recovery suit) pursued in parallel affect the maintainability or urgency of the criminal proceeding</w:t>
      </w:r>
    </w:p>
    <w:p>
      <w:pPr>
        <w:pStyle w:val="ListParagraph"/>
        <w:numPr>
          <w:ilvl w:val="0"/>
          <w:numId w:val="2"/>
        </w:numPr>
        <w:spacing w:after="80"/>
      </w:pPr>
      <w:r>
        <w:t xml:space="preserve">Quantum of loss actually suffered by the complainant, relevant to sentencing and compounding discussions, if any</w:t>
      </w:r>
    </w:p>
    <w:p>
      <w:pPr>
        <w:pStyle w:val="Heading1"/>
        <w:spacing w:after="120" w:before="240"/>
      </w:pPr>
      <w:r>
        <w:t xml:space="preserve">6. Current Status</w:t>
      </w:r>
    </w:p>
    <w:p>
      <w:pPr>
        <w:spacing w:after="160"/>
      </w:pPr>
      <w:r>
        <w:t xml:space="preserve">The matter is at the prosecution evidence stage. PW-1 and PW-2 have been examined; cross-examination of PW-2 is pending. The defense has indicated an intention to summon the transport company's branch manager as a defense witness to challenge the authenticity of Ex. P4.</w:t>
      </w:r>
    </w:p>
    <w:p>
      <w:pPr>
        <w:pStyle w:val="Heading1"/>
        <w:spacing w:after="120" w:before="240"/>
      </w:pPr>
      <w:r>
        <w:t xml:space="preserve">7. Next Steps</w:t>
      </w:r>
    </w:p>
    <w:p>
      <w:pPr>
        <w:pStyle w:val="ListParagraph"/>
        <w:numPr>
          <w:ilvl w:val="0"/>
          <w:numId w:val="2"/>
        </w:numPr>
        <w:spacing w:after="80"/>
      </w:pPr>
      <w:r>
        <w:t xml:space="preserve">Next hearing: 22 April 2025 — cross-examination of PW-2 (warehouse manager)</w:t>
      </w:r>
    </w:p>
    <w:p>
      <w:pPr>
        <w:pStyle w:val="ListParagraph"/>
        <w:numPr>
          <w:ilvl w:val="0"/>
          <w:numId w:val="2"/>
        </w:numPr>
        <w:spacing w:after="80"/>
      </w:pPr>
      <w:r>
        <w:t xml:space="preserve">Prepare re-examination points in view of anticipated defense questions on chain of custody for Ex. P3</w:t>
      </w:r>
    </w:p>
    <w:p>
      <w:pPr>
        <w:pStyle w:val="ListParagraph"/>
        <w:numPr>
          <w:ilvl w:val="0"/>
          <w:numId w:val="2"/>
        </w:numPr>
        <w:spacing w:after="80"/>
      </w:pPr>
      <w:r>
        <w:t xml:space="preserve">Follow up with forensic expert (author of Ex. P6) regarding availability for examination as PW-3</w:t>
      </w:r>
    </w:p>
    <w:p>
      <w:pPr>
        <w:pStyle w:val="ListParagraph"/>
        <w:numPr>
          <w:ilvl w:val="0"/>
          <w:numId w:val="2"/>
        </w:numPr>
        <w:spacing w:after="80"/>
      </w:pPr>
      <w:r>
        <w:t xml:space="preserve">Track parallel civil recovery suit (C.S. No. 88/2024) for consistency of pleadings</w:t>
      </w:r>
    </w:p>
    <w:p>
      <w:pPr>
        <w:pStyle w:val="Heading1"/>
        <w:spacing w:after="120" w:before="240"/>
      </w:pPr>
      <w:r>
        <w:t xml:space="preserve">8. Internal Notes (Privileged &amp; Confidential)</w:t>
      </w:r>
    </w:p>
    <w:p>
      <w:pPr>
        <w:spacing w:after="160"/>
      </w:pPr>
      <w:r>
        <w:t xml:space="preserve">Client has expressed willingness to consider compounding the matter if full refund with interest is made before final arguments; this position has not been communicated to the opposite side and should not be disclosed without further instructions. Team should continue to prepare for full trial in parallel.</w:t>
      </w:r>
    </w:p>
    <w:p>
      <w:pPr>
        <w:pStyle w:val="Heading1"/>
        <w:spacing w:after="120" w:before="240"/>
      </w:pPr>
      <w:r>
        <w:t xml:space="preserve">9. Relevant Legal Provisions</w:t>
      </w:r>
    </w:p>
    <w:p>
      <w:pPr>
        <w:pStyle w:val="ListParagraph"/>
        <w:numPr>
          <w:ilvl w:val="0"/>
          <w:numId w:val="2"/>
        </w:numPr>
        <w:spacing w:after="80"/>
      </w:pPr>
      <w:r>
        <w:t xml:space="preserve">Section 318, Bharatiya Nyaya Sanhita, 2023 — Cheating (corresponding to Section 415/420, IPC 1860)</w:t>
      </w:r>
    </w:p>
    <w:p>
      <w:pPr>
        <w:pStyle w:val="ListParagraph"/>
        <w:numPr>
          <w:ilvl w:val="0"/>
          <w:numId w:val="2"/>
        </w:numPr>
        <w:spacing w:after="80"/>
      </w:pPr>
      <w:r>
        <w:t xml:space="preserve">Section 338, Bharatiya Nyaya Sanhita, 2023 — Forgery for the purpose of cheating</w:t>
      </w:r>
    </w:p>
    <w:p>
      <w:pPr>
        <w:pStyle w:val="ListParagraph"/>
        <w:numPr>
          <w:ilvl w:val="0"/>
          <w:numId w:val="2"/>
        </w:numPr>
        <w:spacing w:after="80"/>
      </w:pPr>
      <w:r>
        <w:t xml:space="preserve">Section 336, Bharatiya Nyaya Sanhita, 2023 — Forgery, general provision defining the offence</w:t>
      </w:r>
    </w:p>
    <w:p>
      <w:pPr>
        <w:pStyle w:val="ListParagraph"/>
        <w:numPr>
          <w:ilvl w:val="0"/>
          <w:numId w:val="2"/>
        </w:numPr>
        <w:spacing w:after="80"/>
      </w:pPr>
      <w:r>
        <w:t xml:space="preserve">Section 63, Bharatiya Sakshya Adhiniyam, 2023 — Admissibility of electronic and documentary evidence (relevant to Ex. P2 and Ex. P4)</w:t>
      </w:r>
    </w:p>
    <w:p>
      <w:pPr>
        <w:pStyle w:val="Heading1"/>
        <w:spacing w:after="120" w:before="240"/>
      </w:pPr>
      <w:r>
        <w:t xml:space="preserve">10. Precedents Relied Upon</w:t>
      </w:r>
    </w:p>
    <w:p>
      <w:pPr>
        <w:spacing w:after="160"/>
      </w:pPr>
      <w:r>
        <w:t xml:space="preserve">The following categories of precedent are being relied upon in preparing arguments on dishonest intention and forgery; specific citations to be finalized by the handling advocate before the next hearing:</w:t>
      </w:r>
    </w:p>
    <w:p>
      <w:pPr>
        <w:pStyle w:val="ListParagraph"/>
        <w:numPr>
          <w:ilvl w:val="0"/>
          <w:numId w:val="2"/>
        </w:numPr>
        <w:spacing w:after="80"/>
      </w:pPr>
      <w:r>
        <w:t xml:space="preserve">Authorities on the distinction between a mere breach of contract and cheating, emphasizing that dishonest intention must exist at the time of the promise, not merely arise later from non-performance</w:t>
      </w:r>
    </w:p>
    <w:p>
      <w:pPr>
        <w:pStyle w:val="ListParagraph"/>
        <w:numPr>
          <w:ilvl w:val="0"/>
          <w:numId w:val="2"/>
        </w:numPr>
        <w:spacing w:after="80"/>
      </w:pPr>
      <w:r>
        <w:t xml:space="preserve">Authorities on proof of forgery through comparison of admitted and disputed signatures, and the evidentiary value of expert opinion under the Bharatiya Sakshya Adhiniyam</w:t>
      </w:r>
    </w:p>
    <w:p>
      <w:pPr>
        <w:pStyle w:val="ListParagraph"/>
        <w:numPr>
          <w:ilvl w:val="0"/>
          <w:numId w:val="2"/>
        </w:numPr>
        <w:spacing w:after="80"/>
      </w:pPr>
      <w:r>
        <w:t xml:space="preserve">Authorities on the effect of a pending civil recovery suit on the maintainability and conduct of parallel criminal proceedings arising from the same transaction</w:t>
      </w:r>
    </w:p>
    <w:p>
      <w:pPr>
        <w:pStyle w:val="Heading1"/>
        <w:spacing w:after="120" w:before="240"/>
      </w:pPr>
      <w:r>
        <w:t xml:space="preserve">11. Risk Assessment</w:t>
      </w:r>
    </w:p>
    <w:p>
      <w:pPr>
        <w:spacing w:after="160"/>
      </w:pPr>
      <w:r>
        <w:t xml:space="preserve">The complainant's documentary trail (purchase order, payment proof, and the transport company's denial) is strong. The principal litigation risk lies in establishing that the accused's intention was dishonest from inception rather than a subsequent commercial default, given the defense's likely argument that delivery was merely delayed due to supply-chain issues. The forensic handwriting report (Ex. P6) is expected to be pivotal in rebutting this defense.</w:t>
      </w:r>
    </w:p>
    <w:p>
      <w:pPr>
        <w:pStyle w:val="Heading1"/>
        <w:spacing w:after="120" w:before="240"/>
      </w:pPr>
      <w:r>
        <w:t xml:space="preserve">12. Witness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1F1F" w:color="auto" w:val="clear"/>
            <w:tcMar>
              <w:top w:type="dxa" w:w="70"/>
              <w:left w:type="dxa" w:w="90"/>
              <w:bottom w:type="dxa" w:w="70"/>
              <w:right w:type="dxa" w:w="90"/>
            </w:tcMar>
          </w:tcPr>
          <w:p>
            <w:r>
              <w:rPr>
                <w:b/>
                <w:bCs/>
                <w:color w:val="FFFFFF"/>
                <w:sz w:val="19"/>
                <w:szCs w:val="19"/>
              </w:rPr>
              <w:t xml:space="preserve">Witness</w:t>
            </w:r>
          </w:p>
        </w:tc>
        <w:tc>
          <w:tcPr>
            <w:tcW w:type="dxa" w:w="3600"/>
            <w:shd w:fill="6B1F1F" w:color="auto" w:val="clear"/>
            <w:tcMar>
              <w:top w:type="dxa" w:w="70"/>
              <w:left w:type="dxa" w:w="90"/>
              <w:bottom w:type="dxa" w:w="70"/>
              <w:right w:type="dxa" w:w="90"/>
            </w:tcMar>
          </w:tcPr>
          <w:p>
            <w:r>
              <w:rPr>
                <w:b/>
                <w:bCs/>
                <w:color w:val="FFFFFF"/>
                <w:sz w:val="19"/>
                <w:szCs w:val="19"/>
              </w:rPr>
              <w:t xml:space="preserve">Role</w:t>
            </w:r>
          </w:p>
        </w:tc>
        <w:tc>
          <w:tcPr>
            <w:tcW w:type="dxa" w:w="4800"/>
            <w:shd w:fill="6B1F1F"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PW-1 — Mr. Suresh Bhatia</w:t>
            </w:r>
          </w:p>
        </w:tc>
        <w:tc>
          <w:tcPr>
            <w:tcW w:type="dxa" w:w="3600"/>
            <w:tcMar>
              <w:top w:type="dxa" w:w="70"/>
              <w:left w:type="dxa" w:w="90"/>
              <w:bottom w:type="dxa" w:w="70"/>
              <w:right w:type="dxa" w:w="90"/>
            </w:tcMar>
          </w:tcPr>
          <w:p>
            <w:r>
              <w:rPr>
                <w:b w:val="false"/>
                <w:bCs w:val="false"/>
                <w:color w:val="000000"/>
                <w:sz w:val="19"/>
                <w:szCs w:val="19"/>
              </w:rPr>
              <w:t xml:space="preserve">Director, Sunrise Textiles Pvt. Ltd. (complainant)</w:t>
            </w:r>
          </w:p>
        </w:tc>
        <w:tc>
          <w:tcPr>
            <w:tcW w:type="dxa" w:w="4800"/>
            <w:tcMar>
              <w:top w:type="dxa" w:w="70"/>
              <w:left w:type="dxa" w:w="90"/>
              <w:bottom w:type="dxa" w:w="70"/>
              <w:right w:type="dxa" w:w="90"/>
            </w:tcMar>
          </w:tcPr>
          <w:p>
            <w:r>
              <w:rPr>
                <w:b w:val="false"/>
                <w:bCs w:val="false"/>
                <w:color w:val="000000"/>
                <w:sz w:val="19"/>
                <w:szCs w:val="19"/>
              </w:rPr>
              <w:t xml:space="preserve">Examined-in-chief and cross-examined (completed)</w:t>
            </w:r>
          </w:p>
        </w:tc>
      </w:tr>
      <w:tr>
        <w:tc>
          <w:tcPr>
            <w:tcW w:type="dxa" w:w="1400"/>
            <w:tcMar>
              <w:top w:type="dxa" w:w="70"/>
              <w:left w:type="dxa" w:w="90"/>
              <w:bottom w:type="dxa" w:w="70"/>
              <w:right w:type="dxa" w:w="90"/>
            </w:tcMar>
          </w:tcPr>
          <w:p>
            <w:r>
              <w:rPr>
                <w:b w:val="false"/>
                <w:bCs w:val="false"/>
                <w:color w:val="000000"/>
                <w:sz w:val="19"/>
                <w:szCs w:val="19"/>
              </w:rPr>
              <w:t xml:space="preserve">PW-2 — Warehouse Manager</w:t>
            </w:r>
          </w:p>
        </w:tc>
        <w:tc>
          <w:tcPr>
            <w:tcW w:type="dxa" w:w="3600"/>
            <w:tcMar>
              <w:top w:type="dxa" w:w="70"/>
              <w:left w:type="dxa" w:w="90"/>
              <w:bottom w:type="dxa" w:w="70"/>
              <w:right w:type="dxa" w:w="90"/>
            </w:tcMar>
          </w:tcPr>
          <w:p>
            <w:r>
              <w:rPr>
                <w:b w:val="false"/>
                <w:bCs w:val="false"/>
                <w:color w:val="000000"/>
                <w:sz w:val="19"/>
                <w:szCs w:val="19"/>
              </w:rPr>
              <w:t xml:space="preserve">Denies signing disputed delivery challan (Ex. P3)</w:t>
            </w:r>
          </w:p>
        </w:tc>
        <w:tc>
          <w:tcPr>
            <w:tcW w:type="dxa" w:w="4800"/>
            <w:tcMar>
              <w:top w:type="dxa" w:w="70"/>
              <w:left w:type="dxa" w:w="90"/>
              <w:bottom w:type="dxa" w:w="70"/>
              <w:right w:type="dxa" w:w="90"/>
            </w:tcMar>
          </w:tcPr>
          <w:p>
            <w:r>
              <w:rPr>
                <w:b w:val="false"/>
                <w:bCs w:val="false"/>
                <w:color w:val="000000"/>
                <w:sz w:val="19"/>
                <w:szCs w:val="19"/>
              </w:rPr>
              <w:t xml:space="preserve">Examined-in-chief completed; cross-examination pending</w:t>
            </w:r>
          </w:p>
        </w:tc>
      </w:tr>
      <w:tr>
        <w:tc>
          <w:tcPr>
            <w:tcW w:type="dxa" w:w="1400"/>
            <w:tcMar>
              <w:top w:type="dxa" w:w="70"/>
              <w:left w:type="dxa" w:w="90"/>
              <w:bottom w:type="dxa" w:w="70"/>
              <w:right w:type="dxa" w:w="90"/>
            </w:tcMar>
          </w:tcPr>
          <w:p>
            <w:r>
              <w:rPr>
                <w:b w:val="false"/>
                <w:bCs w:val="false"/>
                <w:color w:val="000000"/>
                <w:sz w:val="19"/>
                <w:szCs w:val="19"/>
              </w:rPr>
              <w:t xml:space="preserve">PW-3 — Forensic Document Examiner</w:t>
            </w:r>
          </w:p>
        </w:tc>
        <w:tc>
          <w:tcPr>
            <w:tcW w:type="dxa" w:w="3600"/>
            <w:tcMar>
              <w:top w:type="dxa" w:w="70"/>
              <w:left w:type="dxa" w:w="90"/>
              <w:bottom w:type="dxa" w:w="70"/>
              <w:right w:type="dxa" w:w="90"/>
            </w:tcMar>
          </w:tcPr>
          <w:p>
            <w:r>
              <w:rPr>
                <w:b w:val="false"/>
                <w:bCs w:val="false"/>
                <w:color w:val="000000"/>
                <w:sz w:val="19"/>
                <w:szCs w:val="19"/>
              </w:rPr>
              <w:t xml:space="preserve">Author of handwriting comparison report (Ex. P6)</w:t>
            </w:r>
          </w:p>
        </w:tc>
        <w:tc>
          <w:tcPr>
            <w:tcW w:type="dxa" w:w="4800"/>
            <w:tcMar>
              <w:top w:type="dxa" w:w="70"/>
              <w:left w:type="dxa" w:w="90"/>
              <w:bottom w:type="dxa" w:w="70"/>
              <w:right w:type="dxa" w:w="90"/>
            </w:tcMar>
          </w:tcPr>
          <w:p>
            <w:r>
              <w:rPr>
                <w:b w:val="false"/>
                <w:bCs w:val="false"/>
                <w:color w:val="000000"/>
                <w:sz w:val="19"/>
                <w:szCs w:val="19"/>
              </w:rPr>
              <w:t xml:space="preserve">Yet to be examined; availability being confirmed</w:t>
            </w:r>
          </w:p>
        </w:tc>
      </w:tr>
      <w:tr>
        <w:tc>
          <w:tcPr>
            <w:tcW w:type="dxa" w:w="1400"/>
            <w:tcMar>
              <w:top w:type="dxa" w:w="70"/>
              <w:left w:type="dxa" w:w="90"/>
              <w:bottom w:type="dxa" w:w="70"/>
              <w:right w:type="dxa" w:w="90"/>
            </w:tcMar>
          </w:tcPr>
          <w:p>
            <w:r>
              <w:rPr>
                <w:b w:val="false"/>
                <w:bCs w:val="false"/>
                <w:color w:val="000000"/>
                <w:sz w:val="19"/>
                <w:szCs w:val="19"/>
              </w:rPr>
              <w:t xml:space="preserve">DW-1 (anticipated) — Transport Company Branch Manager</w:t>
            </w:r>
          </w:p>
        </w:tc>
        <w:tc>
          <w:tcPr>
            <w:tcW w:type="dxa" w:w="3600"/>
            <w:tcMar>
              <w:top w:type="dxa" w:w="70"/>
              <w:left w:type="dxa" w:w="90"/>
              <w:bottom w:type="dxa" w:w="70"/>
              <w:right w:type="dxa" w:w="90"/>
            </w:tcMar>
          </w:tcPr>
          <w:p>
            <w:r>
              <w:rPr>
                <w:b w:val="false"/>
                <w:bCs w:val="false"/>
                <w:color w:val="000000"/>
                <w:sz w:val="19"/>
                <w:szCs w:val="19"/>
              </w:rPr>
              <w:t xml:space="preserve">Expected defense witness on consignment records</w:t>
            </w:r>
          </w:p>
        </w:tc>
        <w:tc>
          <w:tcPr>
            <w:tcW w:type="dxa" w:w="4800"/>
            <w:tcMar>
              <w:top w:type="dxa" w:w="70"/>
              <w:left w:type="dxa" w:w="90"/>
              <w:bottom w:type="dxa" w:w="70"/>
              <w:right w:type="dxa" w:w="90"/>
            </w:tcMar>
          </w:tcPr>
          <w:p>
            <w:r>
              <w:rPr>
                <w:b w:val="false"/>
                <w:bCs w:val="false"/>
                <w:color w:val="000000"/>
                <w:sz w:val="19"/>
                <w:szCs w:val="19"/>
              </w:rPr>
              <w:t xml:space="preserve">Not yet summoned; defense has indicated intent to call</w:t>
            </w:r>
          </w:p>
        </w:tc>
      </w:tr>
    </w:tbl>
    <w:p>
      <w:pPr>
        <w:pStyle w:val="Heading1"/>
        <w:spacing w:after="120" w:before="240"/>
      </w:pPr>
      <w:r>
        <w:t xml:space="preserve">13.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1F1F" w:color="auto" w:val="clear"/>
            <w:tcMar>
              <w:top w:type="dxa" w:w="70"/>
              <w:left w:type="dxa" w:w="90"/>
              <w:bottom w:type="dxa" w:w="70"/>
              <w:right w:type="dxa" w:w="90"/>
            </w:tcMar>
          </w:tcPr>
          <w:p>
            <w:r>
              <w:rPr>
                <w:b/>
                <w:bCs/>
                <w:color w:val="FFFFFF"/>
                <w:sz w:val="19"/>
                <w:szCs w:val="19"/>
              </w:rPr>
              <w:t xml:space="preserve">Date</w:t>
            </w:r>
          </w:p>
        </w:tc>
        <w:tc>
          <w:tcPr>
            <w:tcW w:type="dxa" w:w="3600"/>
            <w:shd w:fill="6B1F1F" w:color="auto" w:val="clear"/>
            <w:tcMar>
              <w:top w:type="dxa" w:w="70"/>
              <w:left w:type="dxa" w:w="90"/>
              <w:bottom w:type="dxa" w:w="70"/>
              <w:right w:type="dxa" w:w="90"/>
            </w:tcMar>
          </w:tcPr>
          <w:p>
            <w:r>
              <w:rPr>
                <w:b/>
                <w:bCs/>
                <w:color w:val="FFFFFF"/>
                <w:sz w:val="19"/>
                <w:szCs w:val="19"/>
              </w:rPr>
              <w:t xml:space="preserve">Correspondence</w:t>
            </w:r>
          </w:p>
        </w:tc>
        <w:tc>
          <w:tcPr>
            <w:tcW w:type="dxa" w:w="4800"/>
            <w:shd w:fill="6B1F1F"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2 Apr 2024</w:t>
            </w:r>
          </w:p>
        </w:tc>
        <w:tc>
          <w:tcPr>
            <w:tcW w:type="dxa" w:w="3600"/>
            <w:tcMar>
              <w:top w:type="dxa" w:w="70"/>
              <w:left w:type="dxa" w:w="90"/>
              <w:bottom w:type="dxa" w:w="70"/>
              <w:right w:type="dxa" w:w="90"/>
            </w:tcMar>
          </w:tcPr>
          <w:p>
            <w:r>
              <w:rPr>
                <w:b w:val="false"/>
                <w:bCs w:val="false"/>
                <w:color w:val="000000"/>
                <w:sz w:val="19"/>
                <w:szCs w:val="19"/>
              </w:rPr>
              <w:t xml:space="preserve">Email from client to firm</w:t>
            </w:r>
          </w:p>
        </w:tc>
        <w:tc>
          <w:tcPr>
            <w:tcW w:type="dxa" w:w="4800"/>
            <w:tcMar>
              <w:top w:type="dxa" w:w="70"/>
              <w:left w:type="dxa" w:w="90"/>
              <w:bottom w:type="dxa" w:w="70"/>
              <w:right w:type="dxa" w:w="90"/>
            </w:tcMar>
          </w:tcPr>
          <w:p>
            <w:r>
              <w:rPr>
                <w:b w:val="false"/>
                <w:bCs w:val="false"/>
                <w:color w:val="000000"/>
                <w:sz w:val="19"/>
                <w:szCs w:val="19"/>
              </w:rPr>
              <w:t xml:space="preserve">Instructs firm to pursue both criminal complaint and parallel civil recovery suit</w:t>
            </w:r>
          </w:p>
        </w:tc>
      </w:tr>
      <w:tr>
        <w:tc>
          <w:tcPr>
            <w:tcW w:type="dxa" w:w="1400"/>
            <w:tcMar>
              <w:top w:type="dxa" w:w="70"/>
              <w:left w:type="dxa" w:w="90"/>
              <w:bottom w:type="dxa" w:w="70"/>
              <w:right w:type="dxa" w:w="90"/>
            </w:tcMar>
          </w:tcPr>
          <w:p>
            <w:r>
              <w:rPr>
                <w:b w:val="false"/>
                <w:bCs w:val="false"/>
                <w:color w:val="000000"/>
                <w:sz w:val="19"/>
                <w:szCs w:val="19"/>
              </w:rPr>
              <w:t xml:space="preserve">25 Jun 2024</w:t>
            </w:r>
          </w:p>
        </w:tc>
        <w:tc>
          <w:tcPr>
            <w:tcW w:type="dxa" w:w="3600"/>
            <w:tcMar>
              <w:top w:type="dxa" w:w="70"/>
              <w:left w:type="dxa" w:w="90"/>
              <w:bottom w:type="dxa" w:w="70"/>
              <w:right w:type="dxa" w:w="90"/>
            </w:tcMar>
          </w:tcPr>
          <w:p>
            <w:r>
              <w:rPr>
                <w:b w:val="false"/>
                <w:bCs w:val="false"/>
                <w:color w:val="000000"/>
                <w:sz w:val="19"/>
                <w:szCs w:val="19"/>
              </w:rPr>
              <w:t xml:space="preserve">Letter from Investigating Officer</w:t>
            </w:r>
          </w:p>
        </w:tc>
        <w:tc>
          <w:tcPr>
            <w:tcW w:type="dxa" w:w="4800"/>
            <w:tcMar>
              <w:top w:type="dxa" w:w="70"/>
              <w:left w:type="dxa" w:w="90"/>
              <w:bottom w:type="dxa" w:w="70"/>
              <w:right w:type="dxa" w:w="90"/>
            </w:tcMar>
          </w:tcPr>
          <w:p>
            <w:r>
              <w:rPr>
                <w:b w:val="false"/>
                <w:bCs w:val="false"/>
                <w:color w:val="000000"/>
                <w:sz w:val="19"/>
                <w:szCs w:val="19"/>
              </w:rPr>
              <w:t xml:space="preserve">Confirms completion of investigation and intent to file chargesheet</w:t>
            </w:r>
          </w:p>
        </w:tc>
      </w:tr>
      <w:tr>
        <w:tc>
          <w:tcPr>
            <w:tcW w:type="dxa" w:w="1400"/>
            <w:tcMar>
              <w:top w:type="dxa" w:w="70"/>
              <w:left w:type="dxa" w:w="90"/>
              <w:bottom w:type="dxa" w:w="70"/>
              <w:right w:type="dxa" w:w="90"/>
            </w:tcMar>
          </w:tcPr>
          <w:p>
            <w:r>
              <w:rPr>
                <w:b w:val="false"/>
                <w:bCs w:val="false"/>
                <w:color w:val="000000"/>
                <w:sz w:val="19"/>
                <w:szCs w:val="19"/>
              </w:rPr>
              <w:t xml:space="preserve">5 Feb 2025</w:t>
            </w:r>
          </w:p>
        </w:tc>
        <w:tc>
          <w:tcPr>
            <w:tcW w:type="dxa" w:w="3600"/>
            <w:tcMar>
              <w:top w:type="dxa" w:w="70"/>
              <w:left w:type="dxa" w:w="90"/>
              <w:bottom w:type="dxa" w:w="70"/>
              <w:right w:type="dxa" w:w="90"/>
            </w:tcMar>
          </w:tcPr>
          <w:p>
            <w:r>
              <w:rPr>
                <w:b w:val="false"/>
                <w:bCs w:val="false"/>
                <w:color w:val="000000"/>
                <w:sz w:val="19"/>
                <w:szCs w:val="19"/>
              </w:rPr>
              <w:t xml:space="preserve">Email exchange with forensic expert's office</w:t>
            </w:r>
          </w:p>
        </w:tc>
        <w:tc>
          <w:tcPr>
            <w:tcW w:type="dxa" w:w="4800"/>
            <w:tcMar>
              <w:top w:type="dxa" w:w="70"/>
              <w:left w:type="dxa" w:w="90"/>
              <w:bottom w:type="dxa" w:w="70"/>
              <w:right w:type="dxa" w:w="90"/>
            </w:tcMar>
          </w:tcPr>
          <w:p>
            <w:r>
              <w:rPr>
                <w:b w:val="false"/>
                <w:bCs w:val="false"/>
                <w:color w:val="000000"/>
                <w:sz w:val="19"/>
                <w:szCs w:val="19"/>
              </w:rPr>
              <w:t xml:space="preserve">Confirming availability for examination as PW-3 in April 2025</w:t>
            </w:r>
          </w:p>
        </w:tc>
      </w:tr>
    </w:tbl>
    <w:p>
      <w:pPr>
        <w:spacing w:after="200"/>
      </w:pPr>
      <w:r>
        <w:rPr>
          <w:i/>
          <w:iCs/>
          <w:color w:val="666666"/>
          <w:sz w:val="20"/>
          <w:szCs w:val="20"/>
        </w:rPr>
        <w:t xml:space="preserve">End of document. Internal reference: MER-CRIM-2024-482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Meridian &amp; Rao Legal Associates, Hyderabad — Internal Case File — CC/482/2024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2026-08-23T13:52:33.129Z</dcterms:created>
  <dcterms:modified xsi:type="dcterms:W3CDTF">2026-08-23T13:52:33.129Z</dcterms:modified>
</cp:coreProperties>
</file>

<file path=docProps/custom.xml><?xml version="1.0" encoding="utf-8"?>
<Properties xmlns="http://schemas.openxmlformats.org/officeDocument/2006/custom-properties" xmlns:vt="http://schemas.openxmlformats.org/officeDocument/2006/docPropsVTypes"/>
</file>