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22"/>
          <w:szCs w:val="22"/>
        </w:rPr>
        <w:t xml:space="preserve">Meridian &amp; Rao Legal Associates, Hyderabad</w:t>
      </w:r>
    </w:p>
    <w:p>
      <w:pPr>
        <w:spacing w:after="200"/>
      </w:pPr>
      <w:r>
        <w:rPr>
          <w:i/>
          <w:iCs/>
          <w:color w:val="888888"/>
          <w:sz w:val="18"/>
          <w:szCs w:val="18"/>
        </w:rPr>
        <w:t xml:space="preserve">Internal Case File — Privileged &amp; Confidential</w:t>
      </w:r>
    </w:p>
    <w:p>
      <w:pPr>
        <w:spacing w:after="80"/>
      </w:pPr>
      <w:r>
        <w:rPr>
          <w:b/>
          <w:bCs/>
          <w:color w:val="1F3A5F"/>
          <w:sz w:val="34"/>
          <w:szCs w:val="34"/>
        </w:rPr>
        <w:t xml:space="preserve">BlueWave Constructions Pvt. Ltd. vs. Orion Infra Solutions Pvt. Ltd.</w:t>
      </w:r>
    </w:p>
    <w:p>
      <w:pPr>
        <w:spacing w:after="200"/>
      </w:pPr>
      <w:r>
        <w:rPr>
          <w:i/>
          <w:iCs/>
          <w:color w:val="444444"/>
          <w:sz w:val="24"/>
          <w:szCs w:val="24"/>
        </w:rPr>
        <w:t xml:space="preserve">Commercial Suit No. CS(COMM)/112/2024 — Breach of Contract</w:t>
      </w:r>
    </w:p>
    <w:p>
      <w:pPr>
        <w:spacing w:after="200"/>
      </w:pPr>
      <w:r>
        <w:rPr>
          <w:i/>
          <w:iCs/>
          <w:color w:val="666666"/>
          <w:sz w:val="20"/>
          <w:szCs w:val="20"/>
        </w:rPr>
        <w:t xml:space="preserve">Illustrative / synthetic case file created for training and demonstration purposes (e.g., testing retrieval-augmented generation systems). All names, dates, case numbers, and facts are fictional and do not correspond to any real person, entity, or proceeding.</w:t>
      </w:r>
    </w:p>
    <w:p>
      <w:pPr>
        <w:pStyle w:val="Heading1"/>
        <w:spacing w:after="120" w:before="240"/>
      </w:pPr>
      <w:r>
        <w:t xml:space="preserve">1. Case Overview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shd w:fill="1F3A5F" w:color="auto" w:val="clear"/>
            <w:tcMar>
              <w:top w:type="dxa" w:w="70"/>
              <w:left w:type="dxa" w:w="90"/>
              <w:bottom w:type="dxa" w:w="70"/>
              <w:right w:type="dxa" w:w="90"/>
            </w:tcMar>
          </w:tcPr>
          <w:p>
            <w:r>
              <w:rPr>
                <w:b/>
                <w:bCs/>
                <w:color w:val="FFFFFF"/>
                <w:sz w:val="19"/>
                <w:szCs w:val="19"/>
              </w:rPr>
              <w:t xml:space="preserve">Case No.</w:t>
            </w:r>
          </w:p>
        </w:tc>
        <w:tc>
          <w:tcPr>
            <w:tcW w:type="dxa" w:w="7000"/>
            <w:tcMar>
              <w:top w:type="dxa" w:w="70"/>
              <w:left w:type="dxa" w:w="90"/>
              <w:bottom w:type="dxa" w:w="70"/>
              <w:right w:type="dxa" w:w="90"/>
            </w:tcMar>
          </w:tcPr>
          <w:p>
            <w:r>
              <w:rPr>
                <w:b w:val="false"/>
                <w:bCs w:val="false"/>
                <w:color w:val="000000"/>
                <w:sz w:val="19"/>
                <w:szCs w:val="19"/>
              </w:rPr>
              <w:t xml:space="preserve">CS(COMM)/112/2024</w:t>
            </w:r>
          </w:p>
        </w:tc>
      </w:tr>
      <w:tr>
        <w:tc>
          <w:tcPr>
            <w:tcW w:type="dxa" w:w="2800"/>
            <w:shd w:fill="1F3A5F" w:color="auto" w:val="clear"/>
            <w:tcMar>
              <w:top w:type="dxa" w:w="70"/>
              <w:left w:type="dxa" w:w="90"/>
              <w:bottom w:type="dxa" w:w="70"/>
              <w:right w:type="dxa" w:w="90"/>
            </w:tcMar>
          </w:tcPr>
          <w:p>
            <w:r>
              <w:rPr>
                <w:b/>
                <w:bCs/>
                <w:color w:val="FFFFFF"/>
                <w:sz w:val="19"/>
                <w:szCs w:val="19"/>
              </w:rPr>
              <w:t xml:space="preserve">Court</w:t>
            </w:r>
          </w:p>
        </w:tc>
        <w:tc>
          <w:tcPr>
            <w:tcW w:type="dxa" w:w="7000"/>
            <w:tcMar>
              <w:top w:type="dxa" w:w="70"/>
              <w:left w:type="dxa" w:w="90"/>
              <w:bottom w:type="dxa" w:w="70"/>
              <w:right w:type="dxa" w:w="90"/>
            </w:tcMar>
          </w:tcPr>
          <w:p>
            <w:r>
              <w:rPr>
                <w:b w:val="false"/>
                <w:bCs w:val="false"/>
                <w:color w:val="000000"/>
                <w:sz w:val="19"/>
                <w:szCs w:val="19"/>
              </w:rPr>
              <w:t xml:space="preserve">Commercial Court, City Civil Court, Hyderabad</w:t>
            </w:r>
          </w:p>
        </w:tc>
      </w:tr>
      <w:tr>
        <w:tc>
          <w:tcPr>
            <w:tcW w:type="dxa" w:w="2800"/>
            <w:shd w:fill="1F3A5F" w:color="auto" w:val="clear"/>
            <w:tcMar>
              <w:top w:type="dxa" w:w="70"/>
              <w:left w:type="dxa" w:w="90"/>
              <w:bottom w:type="dxa" w:w="70"/>
              <w:right w:type="dxa" w:w="90"/>
            </w:tcMar>
          </w:tcPr>
          <w:p>
            <w:r>
              <w:rPr>
                <w:b/>
                <w:bCs/>
                <w:color w:val="FFFFFF"/>
                <w:sz w:val="19"/>
                <w:szCs w:val="19"/>
              </w:rPr>
              <w:t xml:space="preserve">Plaintiff</w:t>
            </w:r>
          </w:p>
        </w:tc>
        <w:tc>
          <w:tcPr>
            <w:tcW w:type="dxa" w:w="7000"/>
            <w:tcMar>
              <w:top w:type="dxa" w:w="70"/>
              <w:left w:type="dxa" w:w="90"/>
              <w:bottom w:type="dxa" w:w="70"/>
              <w:right w:type="dxa" w:w="90"/>
            </w:tcMar>
          </w:tcPr>
          <w:p>
            <w:r>
              <w:rPr>
                <w:b w:val="false"/>
                <w:bCs w:val="false"/>
                <w:color w:val="000000"/>
                <w:sz w:val="19"/>
                <w:szCs w:val="19"/>
              </w:rPr>
              <w:t xml:space="preserve">BlueWave Constructions Pvt. Ltd.</w:t>
            </w:r>
          </w:p>
        </w:tc>
      </w:tr>
      <w:tr>
        <w:tc>
          <w:tcPr>
            <w:tcW w:type="dxa" w:w="2800"/>
            <w:shd w:fill="1F3A5F" w:color="auto" w:val="clear"/>
            <w:tcMar>
              <w:top w:type="dxa" w:w="70"/>
              <w:left w:type="dxa" w:w="90"/>
              <w:bottom w:type="dxa" w:w="70"/>
              <w:right w:type="dxa" w:w="90"/>
            </w:tcMar>
          </w:tcPr>
          <w:p>
            <w:r>
              <w:rPr>
                <w:b/>
                <w:bCs/>
                <w:color w:val="FFFFFF"/>
                <w:sz w:val="19"/>
                <w:szCs w:val="19"/>
              </w:rPr>
              <w:t xml:space="preserve">Defendant</w:t>
            </w:r>
          </w:p>
        </w:tc>
        <w:tc>
          <w:tcPr>
            <w:tcW w:type="dxa" w:w="7000"/>
            <w:tcMar>
              <w:top w:type="dxa" w:w="70"/>
              <w:left w:type="dxa" w:w="90"/>
              <w:bottom w:type="dxa" w:w="70"/>
              <w:right w:type="dxa" w:w="90"/>
            </w:tcMar>
          </w:tcPr>
          <w:p>
            <w:r>
              <w:rPr>
                <w:b w:val="false"/>
                <w:bCs w:val="false"/>
                <w:color w:val="000000"/>
                <w:sz w:val="19"/>
                <w:szCs w:val="19"/>
              </w:rPr>
              <w:t xml:space="preserve">Orion Infra Solutions Pvt. Ltd.</w:t>
            </w:r>
          </w:p>
        </w:tc>
      </w:tr>
      <w:tr>
        <w:tc>
          <w:tcPr>
            <w:tcW w:type="dxa" w:w="2800"/>
            <w:shd w:fill="1F3A5F" w:color="auto" w:val="clear"/>
            <w:tcMar>
              <w:top w:type="dxa" w:w="70"/>
              <w:left w:type="dxa" w:w="90"/>
              <w:bottom w:type="dxa" w:w="70"/>
              <w:right w:type="dxa" w:w="90"/>
            </w:tcMar>
          </w:tcPr>
          <w:p>
            <w:r>
              <w:rPr>
                <w:b/>
                <w:bCs/>
                <w:color w:val="FFFFFF"/>
                <w:sz w:val="19"/>
                <w:szCs w:val="19"/>
              </w:rPr>
              <w:t xml:space="preserve">Nature of Claim</w:t>
            </w:r>
          </w:p>
        </w:tc>
        <w:tc>
          <w:tcPr>
            <w:tcW w:type="dxa" w:w="7000"/>
            <w:tcMar>
              <w:top w:type="dxa" w:w="70"/>
              <w:left w:type="dxa" w:w="90"/>
              <w:bottom w:type="dxa" w:w="70"/>
              <w:right w:type="dxa" w:w="90"/>
            </w:tcMar>
          </w:tcPr>
          <w:p>
            <w:r>
              <w:rPr>
                <w:b w:val="false"/>
                <w:bCs w:val="false"/>
                <w:color w:val="000000"/>
                <w:sz w:val="19"/>
                <w:szCs w:val="19"/>
              </w:rPr>
              <w:t xml:space="preserve">Breach of EPC (Engineering, Procurement &amp; Construction) contract; recovery of damages and liquidated damages</w:t>
            </w:r>
          </w:p>
        </w:tc>
      </w:tr>
      <w:tr>
        <w:tc>
          <w:tcPr>
            <w:tcW w:type="dxa" w:w="2800"/>
            <w:shd w:fill="1F3A5F" w:color="auto" w:val="clear"/>
            <w:tcMar>
              <w:top w:type="dxa" w:w="70"/>
              <w:left w:type="dxa" w:w="90"/>
              <w:bottom w:type="dxa" w:w="70"/>
              <w:right w:type="dxa" w:w="90"/>
            </w:tcMar>
          </w:tcPr>
          <w:p>
            <w:r>
              <w:rPr>
                <w:b/>
                <w:bCs/>
                <w:color w:val="FFFFFF"/>
                <w:sz w:val="19"/>
                <w:szCs w:val="19"/>
              </w:rPr>
              <w:t xml:space="preserve">Claim Amount</w:t>
            </w:r>
          </w:p>
        </w:tc>
        <w:tc>
          <w:tcPr>
            <w:tcW w:type="dxa" w:w="7000"/>
            <w:tcMar>
              <w:top w:type="dxa" w:w="70"/>
              <w:left w:type="dxa" w:w="90"/>
              <w:bottom w:type="dxa" w:w="70"/>
              <w:right w:type="dxa" w:w="90"/>
            </w:tcMar>
          </w:tcPr>
          <w:p>
            <w:r>
              <w:rPr>
                <w:b w:val="false"/>
                <w:bCs w:val="false"/>
                <w:color w:val="000000"/>
                <w:sz w:val="19"/>
                <w:szCs w:val="19"/>
              </w:rPr>
              <w:t xml:space="preserve">₹4,32,00,000, plus interest at 12% per annum from date of breach</w:t>
            </w:r>
          </w:p>
        </w:tc>
      </w:tr>
      <w:tr>
        <w:tc>
          <w:tcPr>
            <w:tcW w:type="dxa" w:w="2800"/>
            <w:shd w:fill="1F3A5F" w:color="auto" w:val="clear"/>
            <w:tcMar>
              <w:top w:type="dxa" w:w="70"/>
              <w:left w:type="dxa" w:w="90"/>
              <w:bottom w:type="dxa" w:w="70"/>
              <w:right w:type="dxa" w:w="90"/>
            </w:tcMar>
          </w:tcPr>
          <w:p>
            <w:r>
              <w:rPr>
                <w:b/>
                <w:bCs/>
                <w:color w:val="FFFFFF"/>
                <w:sz w:val="19"/>
                <w:szCs w:val="19"/>
              </w:rPr>
              <w:t xml:space="preserve">Firm's Client</w:t>
            </w:r>
          </w:p>
        </w:tc>
        <w:tc>
          <w:tcPr>
            <w:tcW w:type="dxa" w:w="7000"/>
            <w:tcMar>
              <w:top w:type="dxa" w:w="70"/>
              <w:left w:type="dxa" w:w="90"/>
              <w:bottom w:type="dxa" w:w="70"/>
              <w:right w:type="dxa" w:w="90"/>
            </w:tcMar>
          </w:tcPr>
          <w:p>
            <w:r>
              <w:rPr>
                <w:b w:val="false"/>
                <w:bCs w:val="false"/>
                <w:color w:val="000000"/>
                <w:sz w:val="19"/>
                <w:szCs w:val="19"/>
              </w:rPr>
              <w:t xml:space="preserve">Plaintiff (BlueWave Constructions Pvt. Ltd.)</w:t>
            </w:r>
          </w:p>
        </w:tc>
      </w:tr>
      <w:tr>
        <w:tc>
          <w:tcPr>
            <w:tcW w:type="dxa" w:w="2800"/>
            <w:shd w:fill="1F3A5F" w:color="auto" w:val="clear"/>
            <w:tcMar>
              <w:top w:type="dxa" w:w="70"/>
              <w:left w:type="dxa" w:w="90"/>
              <w:bottom w:type="dxa" w:w="70"/>
              <w:right w:type="dxa" w:w="90"/>
            </w:tcMar>
          </w:tcPr>
          <w:p>
            <w:r>
              <w:rPr>
                <w:b/>
                <w:bCs/>
                <w:color w:val="FFFFFF"/>
                <w:sz w:val="19"/>
                <w:szCs w:val="19"/>
              </w:rPr>
              <w:t xml:space="preserve">Handling Advocate</w:t>
            </w:r>
          </w:p>
        </w:tc>
        <w:tc>
          <w:tcPr>
            <w:tcW w:type="dxa" w:w="7000"/>
            <w:tcMar>
              <w:top w:type="dxa" w:w="70"/>
              <w:left w:type="dxa" w:w="90"/>
              <w:bottom w:type="dxa" w:w="70"/>
              <w:right w:type="dxa" w:w="90"/>
            </w:tcMar>
          </w:tcPr>
          <w:p>
            <w:r>
              <w:rPr>
                <w:b w:val="false"/>
                <w:bCs w:val="false"/>
                <w:color w:val="000000"/>
                <w:sz w:val="19"/>
                <w:szCs w:val="19"/>
              </w:rPr>
              <w:t xml:space="preserve">Adv. Rahul Deshpande, Senior Associate</w:t>
            </w:r>
          </w:p>
        </w:tc>
      </w:tr>
    </w:tbl>
    <w:p>
      <w:pPr>
        <w:pStyle w:val="Heading1"/>
        <w:spacing w:after="120" w:before="240"/>
      </w:pPr>
      <w:r>
        <w:t xml:space="preserve">2. Brief Facts</w:t>
      </w:r>
    </w:p>
    <w:p>
      <w:pPr>
        <w:spacing w:after="160"/>
      </w:pPr>
      <w:r>
        <w:t xml:space="preserve">The plaintiff and defendant entered into an EPC contract dated 5 January 2023 for construction of a 40,000 sq. ft. warehouse facility at Patancheru, Hyderabad, for a total contract value of ₹8,60,00,000, with a stipulated completion date of 4 January 2024. The contract contained a liquidated damages clause (Clause 14.2) providing for deduction of 0.5% of contract value per week of delay, capped at 10% of contract value.</w:t>
      </w:r>
    </w:p>
    <w:p>
      <w:pPr>
        <w:spacing w:after="160"/>
      </w:pPr>
      <w:r>
        <w:t xml:space="preserve">Construction was delayed substantially. As of the stipulated completion date, only approximately 62% of the work stood completed. The defendant attributes the delay to force majeure (extended monsoon disruption and a cement shortage in the region), while the plaintiff contends that the defendant failed to mobilize adequate manpower and materials from the outset, and that the force majeure clause (Clause 18) was not properly invoked within the notice period required under the contract. The plaintiff terminated the contract on 20 February 2024 and engaged an alternate contractor to complete the balance work, incurring additional cost.</w:t>
      </w:r>
    </w:p>
    <w:p>
      <w:pPr>
        <w:pStyle w:val="Heading1"/>
        <w:spacing w:after="120" w:before="240"/>
      </w:pPr>
      <w:r>
        <w:t xml:space="preserve">3. Chronology of Proceedings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800"/>
      </w:tblGrid>
      <w:tr>
        <w:tc>
          <w:tcPr>
            <w:tcW w:type="dxa" w:w="1500"/>
            <w:shd w:fill="1F3A5F" w:color="auto" w:val="clear"/>
            <w:tcMar>
              <w:top w:type="dxa" w:w="70"/>
              <w:left w:type="dxa" w:w="90"/>
              <w:bottom w:type="dxa" w:w="70"/>
              <w:right w:type="dxa" w:w="90"/>
            </w:tcMar>
          </w:tcPr>
          <w:p>
            <w:r>
              <w:rPr>
                <w:b/>
                <w:bCs/>
                <w:color w:val="FFFFFF"/>
                <w:sz w:val="19"/>
                <w:szCs w:val="19"/>
              </w:rPr>
              <w:t xml:space="preserve">Date</w:t>
            </w:r>
          </w:p>
        </w:tc>
        <w:tc>
          <w:tcPr>
            <w:tcW w:type="dxa" w:w="2600"/>
            <w:shd w:fill="1F3A5F" w:color="auto" w:val="clear"/>
            <w:tcMar>
              <w:top w:type="dxa" w:w="70"/>
              <w:left w:type="dxa" w:w="90"/>
              <w:bottom w:type="dxa" w:w="70"/>
              <w:right w:type="dxa" w:w="90"/>
            </w:tcMar>
          </w:tcPr>
          <w:p>
            <w:r>
              <w:rPr>
                <w:b/>
                <w:bCs/>
                <w:color w:val="FFFFFF"/>
                <w:sz w:val="19"/>
                <w:szCs w:val="19"/>
              </w:rPr>
              <w:t xml:space="preserve">Event</w:t>
            </w:r>
          </w:p>
        </w:tc>
        <w:tc>
          <w:tcPr>
            <w:tcW w:type="dxa" w:w="5800"/>
            <w:shd w:fill="1F3A5F" w:color="auto" w:val="clear"/>
            <w:tcMar>
              <w:top w:type="dxa" w:w="70"/>
              <w:left w:type="dxa" w:w="90"/>
              <w:bottom w:type="dxa" w:w="70"/>
              <w:right w:type="dxa" w:w="90"/>
            </w:tcMar>
          </w:tcPr>
          <w:p>
            <w:r>
              <w:rPr>
                <w:b/>
                <w:bCs/>
                <w:color w:val="FFFFFF"/>
                <w:sz w:val="19"/>
                <w:szCs w:val="19"/>
              </w:rPr>
              <w:t xml:space="preserve">Notes / Outcome</w:t>
            </w:r>
          </w:p>
        </w:tc>
      </w:tr>
      <w:tr>
        <w:tc>
          <w:tcPr>
            <w:tcW w:type="dxa" w:w="1500"/>
            <w:tcMar>
              <w:top w:type="dxa" w:w="70"/>
              <w:left w:type="dxa" w:w="90"/>
              <w:bottom w:type="dxa" w:w="70"/>
              <w:right w:type="dxa" w:w="90"/>
            </w:tcMar>
          </w:tcPr>
          <w:p>
            <w:r>
              <w:rPr>
                <w:b w:val="false"/>
                <w:bCs w:val="false"/>
                <w:color w:val="000000"/>
                <w:sz w:val="19"/>
                <w:szCs w:val="19"/>
              </w:rPr>
              <w:t xml:space="preserve">5 Jan 2023</w:t>
            </w:r>
          </w:p>
        </w:tc>
        <w:tc>
          <w:tcPr>
            <w:tcW w:type="dxa" w:w="2600"/>
            <w:tcMar>
              <w:top w:type="dxa" w:w="70"/>
              <w:left w:type="dxa" w:w="90"/>
              <w:bottom w:type="dxa" w:w="70"/>
              <w:right w:type="dxa" w:w="90"/>
            </w:tcMar>
          </w:tcPr>
          <w:p>
            <w:r>
              <w:rPr>
                <w:b w:val="false"/>
                <w:bCs w:val="false"/>
                <w:color w:val="000000"/>
                <w:sz w:val="19"/>
                <w:szCs w:val="19"/>
              </w:rPr>
              <w:t xml:space="preserve">EPC contract executed</w:t>
            </w:r>
          </w:p>
        </w:tc>
        <w:tc>
          <w:tcPr>
            <w:tcW w:type="dxa" w:w="5800"/>
            <w:tcMar>
              <w:top w:type="dxa" w:w="70"/>
              <w:left w:type="dxa" w:w="90"/>
              <w:bottom w:type="dxa" w:w="70"/>
              <w:right w:type="dxa" w:w="90"/>
            </w:tcMar>
          </w:tcPr>
          <w:p>
            <w:r>
              <w:rPr>
                <w:b w:val="false"/>
                <w:bCs w:val="false"/>
                <w:color w:val="000000"/>
                <w:sz w:val="19"/>
                <w:szCs w:val="19"/>
              </w:rPr>
              <w:t xml:space="preserve">Completion date fixed as 4 Jan 2024</w:t>
            </w:r>
          </w:p>
        </w:tc>
      </w:tr>
      <w:tr>
        <w:tc>
          <w:tcPr>
            <w:tcW w:type="dxa" w:w="1500"/>
            <w:tcMar>
              <w:top w:type="dxa" w:w="70"/>
              <w:left w:type="dxa" w:w="90"/>
              <w:bottom w:type="dxa" w:w="70"/>
              <w:right w:type="dxa" w:w="90"/>
            </w:tcMar>
          </w:tcPr>
          <w:p>
            <w:r>
              <w:rPr>
                <w:b w:val="false"/>
                <w:bCs w:val="false"/>
                <w:color w:val="000000"/>
                <w:sz w:val="19"/>
                <w:szCs w:val="19"/>
              </w:rPr>
              <w:t xml:space="preserve">11 Nov 2023</w:t>
            </w:r>
          </w:p>
        </w:tc>
        <w:tc>
          <w:tcPr>
            <w:tcW w:type="dxa" w:w="2600"/>
            <w:tcMar>
              <w:top w:type="dxa" w:w="70"/>
              <w:left w:type="dxa" w:w="90"/>
              <w:bottom w:type="dxa" w:w="70"/>
              <w:right w:type="dxa" w:w="90"/>
            </w:tcMar>
          </w:tcPr>
          <w:p>
            <w:r>
              <w:rPr>
                <w:b w:val="false"/>
                <w:bCs w:val="false"/>
                <w:color w:val="000000"/>
                <w:sz w:val="19"/>
                <w:szCs w:val="19"/>
              </w:rPr>
              <w:t xml:space="preserve">Defendant's first force majeure notice</w:t>
            </w:r>
          </w:p>
        </w:tc>
        <w:tc>
          <w:tcPr>
            <w:tcW w:type="dxa" w:w="5800"/>
            <w:tcMar>
              <w:top w:type="dxa" w:w="70"/>
              <w:left w:type="dxa" w:w="90"/>
              <w:bottom w:type="dxa" w:w="70"/>
              <w:right w:type="dxa" w:w="90"/>
            </w:tcMar>
          </w:tcPr>
          <w:p>
            <w:r>
              <w:rPr>
                <w:b w:val="false"/>
                <w:bCs w:val="false"/>
                <w:color w:val="000000"/>
                <w:sz w:val="19"/>
                <w:szCs w:val="19"/>
              </w:rPr>
              <w:t xml:space="preserve">Cited monsoon disruption; plaintiff disputes timeliness under Clause 18.3</w:t>
            </w:r>
          </w:p>
        </w:tc>
      </w:tr>
      <w:tr>
        <w:tc>
          <w:tcPr>
            <w:tcW w:type="dxa" w:w="1500"/>
            <w:tcMar>
              <w:top w:type="dxa" w:w="70"/>
              <w:left w:type="dxa" w:w="90"/>
              <w:bottom w:type="dxa" w:w="70"/>
              <w:right w:type="dxa" w:w="90"/>
            </w:tcMar>
          </w:tcPr>
          <w:p>
            <w:r>
              <w:rPr>
                <w:b w:val="false"/>
                <w:bCs w:val="false"/>
                <w:color w:val="000000"/>
                <w:sz w:val="19"/>
                <w:szCs w:val="19"/>
              </w:rPr>
              <w:t xml:space="preserve">4 Jan 2024</w:t>
            </w:r>
          </w:p>
        </w:tc>
        <w:tc>
          <w:tcPr>
            <w:tcW w:type="dxa" w:w="2600"/>
            <w:tcMar>
              <w:top w:type="dxa" w:w="70"/>
              <w:left w:type="dxa" w:w="90"/>
              <w:bottom w:type="dxa" w:w="70"/>
              <w:right w:type="dxa" w:w="90"/>
            </w:tcMar>
          </w:tcPr>
          <w:p>
            <w:r>
              <w:rPr>
                <w:b w:val="false"/>
                <w:bCs w:val="false"/>
                <w:color w:val="000000"/>
                <w:sz w:val="19"/>
                <w:szCs w:val="19"/>
              </w:rPr>
              <w:t xml:space="preserve">Stipulated completion date lapses</w:t>
            </w:r>
          </w:p>
        </w:tc>
        <w:tc>
          <w:tcPr>
            <w:tcW w:type="dxa" w:w="5800"/>
            <w:tcMar>
              <w:top w:type="dxa" w:w="70"/>
              <w:left w:type="dxa" w:w="90"/>
              <w:bottom w:type="dxa" w:w="70"/>
              <w:right w:type="dxa" w:w="90"/>
            </w:tcMar>
          </w:tcPr>
          <w:p>
            <w:r>
              <w:rPr>
                <w:b w:val="false"/>
                <w:bCs w:val="false"/>
                <w:color w:val="000000"/>
                <w:sz w:val="19"/>
                <w:szCs w:val="19"/>
              </w:rPr>
              <w:t xml:space="preserve">Approximately 62% work completed per joint site inspection</w:t>
            </w:r>
          </w:p>
        </w:tc>
      </w:tr>
      <w:tr>
        <w:tc>
          <w:tcPr>
            <w:tcW w:type="dxa" w:w="1500"/>
            <w:tcMar>
              <w:top w:type="dxa" w:w="70"/>
              <w:left w:type="dxa" w:w="90"/>
              <w:bottom w:type="dxa" w:w="70"/>
              <w:right w:type="dxa" w:w="90"/>
            </w:tcMar>
          </w:tcPr>
          <w:p>
            <w:r>
              <w:rPr>
                <w:b w:val="false"/>
                <w:bCs w:val="false"/>
                <w:color w:val="000000"/>
                <w:sz w:val="19"/>
                <w:szCs w:val="19"/>
              </w:rPr>
              <w:t xml:space="preserve">20 Feb 2024</w:t>
            </w:r>
          </w:p>
        </w:tc>
        <w:tc>
          <w:tcPr>
            <w:tcW w:type="dxa" w:w="2600"/>
            <w:tcMar>
              <w:top w:type="dxa" w:w="70"/>
              <w:left w:type="dxa" w:w="90"/>
              <w:bottom w:type="dxa" w:w="70"/>
              <w:right w:type="dxa" w:w="90"/>
            </w:tcMar>
          </w:tcPr>
          <w:p>
            <w:r>
              <w:rPr>
                <w:b w:val="false"/>
                <w:bCs w:val="false"/>
                <w:color w:val="000000"/>
                <w:sz w:val="19"/>
                <w:szCs w:val="19"/>
              </w:rPr>
              <w:t xml:space="preserve">Termination notice issued by plaintiff</w:t>
            </w:r>
          </w:p>
        </w:tc>
        <w:tc>
          <w:tcPr>
            <w:tcW w:type="dxa" w:w="5800"/>
            <w:tcMar>
              <w:top w:type="dxa" w:w="70"/>
              <w:left w:type="dxa" w:w="90"/>
              <w:bottom w:type="dxa" w:w="70"/>
              <w:right w:type="dxa" w:w="90"/>
            </w:tcMar>
          </w:tcPr>
          <w:p>
            <w:r>
              <w:rPr>
                <w:b w:val="false"/>
                <w:bCs w:val="false"/>
                <w:color w:val="000000"/>
                <w:sz w:val="19"/>
                <w:szCs w:val="19"/>
              </w:rPr>
              <w:t xml:space="preserve">Contract terminated citing failure to complete and invalid force majeure claim</w:t>
            </w:r>
          </w:p>
        </w:tc>
      </w:tr>
      <w:tr>
        <w:tc>
          <w:tcPr>
            <w:tcW w:type="dxa" w:w="1500"/>
            <w:tcMar>
              <w:top w:type="dxa" w:w="70"/>
              <w:left w:type="dxa" w:w="90"/>
              <w:bottom w:type="dxa" w:w="70"/>
              <w:right w:type="dxa" w:w="90"/>
            </w:tcMar>
          </w:tcPr>
          <w:p>
            <w:r>
              <w:rPr>
                <w:b w:val="false"/>
                <w:bCs w:val="false"/>
                <w:color w:val="000000"/>
                <w:sz w:val="19"/>
                <w:szCs w:val="19"/>
              </w:rPr>
              <w:t xml:space="preserve">15 Apr 2024</w:t>
            </w:r>
          </w:p>
        </w:tc>
        <w:tc>
          <w:tcPr>
            <w:tcW w:type="dxa" w:w="2600"/>
            <w:tcMar>
              <w:top w:type="dxa" w:w="70"/>
              <w:left w:type="dxa" w:w="90"/>
              <w:bottom w:type="dxa" w:w="70"/>
              <w:right w:type="dxa" w:w="90"/>
            </w:tcMar>
          </w:tcPr>
          <w:p>
            <w:r>
              <w:rPr>
                <w:b w:val="false"/>
                <w:bCs w:val="false"/>
                <w:color w:val="000000"/>
                <w:sz w:val="19"/>
                <w:szCs w:val="19"/>
              </w:rPr>
              <w:t xml:space="preserve">Suit filed</w:t>
            </w:r>
          </w:p>
        </w:tc>
        <w:tc>
          <w:tcPr>
            <w:tcW w:type="dxa" w:w="5800"/>
            <w:tcMar>
              <w:top w:type="dxa" w:w="70"/>
              <w:left w:type="dxa" w:w="90"/>
              <w:bottom w:type="dxa" w:w="70"/>
              <w:right w:type="dxa" w:w="90"/>
            </w:tcMar>
          </w:tcPr>
          <w:p>
            <w:r>
              <w:rPr>
                <w:b w:val="false"/>
                <w:bCs w:val="false"/>
                <w:color w:val="000000"/>
                <w:sz w:val="19"/>
                <w:szCs w:val="19"/>
              </w:rPr>
              <w:t xml:space="preserve">Filed before Commercial Court along with application for interim relief</w:t>
            </w:r>
          </w:p>
        </w:tc>
      </w:tr>
      <w:tr>
        <w:tc>
          <w:tcPr>
            <w:tcW w:type="dxa" w:w="1500"/>
            <w:tcMar>
              <w:top w:type="dxa" w:w="70"/>
              <w:left w:type="dxa" w:w="90"/>
              <w:bottom w:type="dxa" w:w="70"/>
              <w:right w:type="dxa" w:w="90"/>
            </w:tcMar>
          </w:tcPr>
          <w:p>
            <w:r>
              <w:rPr>
                <w:b w:val="false"/>
                <w:bCs w:val="false"/>
                <w:color w:val="000000"/>
                <w:sz w:val="19"/>
                <w:szCs w:val="19"/>
              </w:rPr>
              <w:t xml:space="preserve">3 Jun 2024</w:t>
            </w:r>
          </w:p>
        </w:tc>
        <w:tc>
          <w:tcPr>
            <w:tcW w:type="dxa" w:w="2600"/>
            <w:tcMar>
              <w:top w:type="dxa" w:w="70"/>
              <w:left w:type="dxa" w:w="90"/>
              <w:bottom w:type="dxa" w:w="70"/>
              <w:right w:type="dxa" w:w="90"/>
            </w:tcMar>
          </w:tcPr>
          <w:p>
            <w:r>
              <w:rPr>
                <w:b w:val="false"/>
                <w:bCs w:val="false"/>
                <w:color w:val="000000"/>
                <w:sz w:val="19"/>
                <w:szCs w:val="19"/>
              </w:rPr>
              <w:t xml:space="preserve">Summons served on defendant</w:t>
            </w:r>
          </w:p>
        </w:tc>
        <w:tc>
          <w:tcPr>
            <w:tcW w:type="dxa" w:w="5800"/>
            <w:tcMar>
              <w:top w:type="dxa" w:w="70"/>
              <w:left w:type="dxa" w:w="90"/>
              <w:bottom w:type="dxa" w:w="70"/>
              <w:right w:type="dxa" w:w="90"/>
            </w:tcMar>
          </w:tcPr>
          <w:p>
            <w:r>
              <w:rPr>
                <w:b w:val="false"/>
                <w:bCs w:val="false"/>
                <w:color w:val="000000"/>
                <w:sz w:val="19"/>
                <w:szCs w:val="19"/>
              </w:rPr>
              <w:t xml:space="preserve">Defendant granted 30 days to file written statement</w:t>
            </w:r>
          </w:p>
        </w:tc>
      </w:tr>
      <w:tr>
        <w:tc>
          <w:tcPr>
            <w:tcW w:type="dxa" w:w="1500"/>
            <w:tcMar>
              <w:top w:type="dxa" w:w="70"/>
              <w:left w:type="dxa" w:w="90"/>
              <w:bottom w:type="dxa" w:w="70"/>
              <w:right w:type="dxa" w:w="90"/>
            </w:tcMar>
          </w:tcPr>
          <w:p>
            <w:r>
              <w:rPr>
                <w:b w:val="false"/>
                <w:bCs w:val="false"/>
                <w:color w:val="000000"/>
                <w:sz w:val="19"/>
                <w:szCs w:val="19"/>
              </w:rPr>
              <w:t xml:space="preserve">10 Jul 2024</w:t>
            </w:r>
          </w:p>
        </w:tc>
        <w:tc>
          <w:tcPr>
            <w:tcW w:type="dxa" w:w="2600"/>
            <w:tcMar>
              <w:top w:type="dxa" w:w="70"/>
              <w:left w:type="dxa" w:w="90"/>
              <w:bottom w:type="dxa" w:w="70"/>
              <w:right w:type="dxa" w:w="90"/>
            </w:tcMar>
          </w:tcPr>
          <w:p>
            <w:r>
              <w:rPr>
                <w:b w:val="false"/>
                <w:bCs w:val="false"/>
                <w:color w:val="000000"/>
                <w:sz w:val="19"/>
                <w:szCs w:val="19"/>
              </w:rPr>
              <w:t xml:space="preserve">Written statement filed</w:t>
            </w:r>
          </w:p>
        </w:tc>
        <w:tc>
          <w:tcPr>
            <w:tcW w:type="dxa" w:w="5800"/>
            <w:tcMar>
              <w:top w:type="dxa" w:w="70"/>
              <w:left w:type="dxa" w:w="90"/>
              <w:bottom w:type="dxa" w:w="70"/>
              <w:right w:type="dxa" w:w="90"/>
            </w:tcMar>
          </w:tcPr>
          <w:p>
            <w:r>
              <w:rPr>
                <w:b w:val="false"/>
                <w:bCs w:val="false"/>
                <w:color w:val="000000"/>
                <w:sz w:val="19"/>
                <w:szCs w:val="19"/>
              </w:rPr>
              <w:t xml:space="preserve">Defendant denies breach; asserts force majeure and counterclaims for unpaid running bills</w:t>
            </w:r>
          </w:p>
        </w:tc>
      </w:tr>
      <w:tr>
        <w:tc>
          <w:tcPr>
            <w:tcW w:type="dxa" w:w="1500"/>
            <w:tcMar>
              <w:top w:type="dxa" w:w="70"/>
              <w:left w:type="dxa" w:w="90"/>
              <w:bottom w:type="dxa" w:w="70"/>
              <w:right w:type="dxa" w:w="90"/>
            </w:tcMar>
          </w:tcPr>
          <w:p>
            <w:r>
              <w:rPr>
                <w:b w:val="false"/>
                <w:bCs w:val="false"/>
                <w:color w:val="000000"/>
                <w:sz w:val="19"/>
                <w:szCs w:val="19"/>
              </w:rPr>
              <w:t xml:space="preserve">2 Sep 2024</w:t>
            </w:r>
          </w:p>
        </w:tc>
        <w:tc>
          <w:tcPr>
            <w:tcW w:type="dxa" w:w="2600"/>
            <w:tcMar>
              <w:top w:type="dxa" w:w="70"/>
              <w:left w:type="dxa" w:w="90"/>
              <w:bottom w:type="dxa" w:w="70"/>
              <w:right w:type="dxa" w:w="90"/>
            </w:tcMar>
          </w:tcPr>
          <w:p>
            <w:r>
              <w:rPr>
                <w:b w:val="false"/>
                <w:bCs w:val="false"/>
                <w:color w:val="000000"/>
                <w:sz w:val="19"/>
                <w:szCs w:val="19"/>
              </w:rPr>
              <w:t xml:space="preserve">Replication filed by plaintiff</w:t>
            </w:r>
          </w:p>
        </w:tc>
        <w:tc>
          <w:tcPr>
            <w:tcW w:type="dxa" w:w="5800"/>
            <w:tcMar>
              <w:top w:type="dxa" w:w="70"/>
              <w:left w:type="dxa" w:w="90"/>
              <w:bottom w:type="dxa" w:w="70"/>
              <w:right w:type="dxa" w:w="90"/>
            </w:tcMar>
          </w:tcPr>
          <w:p>
            <w:r>
              <w:rPr>
                <w:b w:val="false"/>
                <w:bCs w:val="false"/>
                <w:color w:val="000000"/>
                <w:sz w:val="19"/>
                <w:szCs w:val="19"/>
              </w:rPr>
              <w:t xml:space="preserve">Force majeure notice challenged as defective and untimely</w:t>
            </w:r>
          </w:p>
        </w:tc>
      </w:tr>
      <w:tr>
        <w:tc>
          <w:tcPr>
            <w:tcW w:type="dxa" w:w="1500"/>
            <w:tcMar>
              <w:top w:type="dxa" w:w="70"/>
              <w:left w:type="dxa" w:w="90"/>
              <w:bottom w:type="dxa" w:w="70"/>
              <w:right w:type="dxa" w:w="90"/>
            </w:tcMar>
          </w:tcPr>
          <w:p>
            <w:r>
              <w:rPr>
                <w:b w:val="false"/>
                <w:bCs w:val="false"/>
                <w:color w:val="000000"/>
                <w:sz w:val="19"/>
                <w:szCs w:val="19"/>
              </w:rPr>
              <w:t xml:space="preserve">28 Oct 2024</w:t>
            </w:r>
          </w:p>
        </w:tc>
        <w:tc>
          <w:tcPr>
            <w:tcW w:type="dxa" w:w="2600"/>
            <w:tcMar>
              <w:top w:type="dxa" w:w="70"/>
              <w:left w:type="dxa" w:w="90"/>
              <w:bottom w:type="dxa" w:w="70"/>
              <w:right w:type="dxa" w:w="90"/>
            </w:tcMar>
          </w:tcPr>
          <w:p>
            <w:r>
              <w:rPr>
                <w:b w:val="false"/>
                <w:bCs w:val="false"/>
                <w:color w:val="000000"/>
                <w:sz w:val="19"/>
                <w:szCs w:val="19"/>
              </w:rPr>
              <w:t xml:space="preserve">Issues framed</w:t>
            </w:r>
          </w:p>
        </w:tc>
        <w:tc>
          <w:tcPr>
            <w:tcW w:type="dxa" w:w="5800"/>
            <w:tcMar>
              <w:top w:type="dxa" w:w="70"/>
              <w:left w:type="dxa" w:w="90"/>
              <w:bottom w:type="dxa" w:w="70"/>
              <w:right w:type="dxa" w:w="90"/>
            </w:tcMar>
          </w:tcPr>
          <w:p>
            <w:r>
              <w:rPr>
                <w:b w:val="false"/>
                <w:bCs w:val="false"/>
                <w:color w:val="000000"/>
                <w:sz w:val="19"/>
                <w:szCs w:val="19"/>
              </w:rPr>
              <w:t xml:space="preserve">Nine issues framed, including validity of force majeure invocation and quantum of damages</w:t>
            </w:r>
          </w:p>
        </w:tc>
      </w:tr>
      <w:tr>
        <w:tc>
          <w:tcPr>
            <w:tcW w:type="dxa" w:w="1500"/>
            <w:tcMar>
              <w:top w:type="dxa" w:w="70"/>
              <w:left w:type="dxa" w:w="90"/>
              <w:bottom w:type="dxa" w:w="70"/>
              <w:right w:type="dxa" w:w="90"/>
            </w:tcMar>
          </w:tcPr>
          <w:p>
            <w:r>
              <w:rPr>
                <w:b w:val="false"/>
                <w:bCs w:val="false"/>
                <w:color w:val="000000"/>
                <w:sz w:val="19"/>
                <w:szCs w:val="19"/>
              </w:rPr>
              <w:t xml:space="preserve">14 Jan 2025</w:t>
            </w:r>
          </w:p>
        </w:tc>
        <w:tc>
          <w:tcPr>
            <w:tcW w:type="dxa" w:w="2600"/>
            <w:tcMar>
              <w:top w:type="dxa" w:w="70"/>
              <w:left w:type="dxa" w:w="90"/>
              <w:bottom w:type="dxa" w:w="70"/>
              <w:right w:type="dxa" w:w="90"/>
            </w:tcMar>
          </w:tcPr>
          <w:p>
            <w:r>
              <w:rPr>
                <w:b w:val="false"/>
                <w:bCs w:val="false"/>
                <w:color w:val="000000"/>
                <w:sz w:val="19"/>
                <w:szCs w:val="19"/>
              </w:rPr>
              <w:t xml:space="preserve">PW-1 (plaintiff's project manager) examined-in-chief</w:t>
            </w:r>
          </w:p>
        </w:tc>
        <w:tc>
          <w:tcPr>
            <w:tcW w:type="dxa" w:w="5800"/>
            <w:tcMar>
              <w:top w:type="dxa" w:w="70"/>
              <w:left w:type="dxa" w:w="90"/>
              <w:bottom w:type="dxa" w:w="70"/>
              <w:right w:type="dxa" w:w="90"/>
            </w:tcMar>
          </w:tcPr>
          <w:p>
            <w:r>
              <w:rPr>
                <w:b w:val="false"/>
                <w:bCs w:val="false"/>
                <w:color w:val="000000"/>
                <w:sz w:val="19"/>
                <w:szCs w:val="19"/>
              </w:rPr>
              <w:t xml:space="preserve">Deposed on site progress records and delay computation</w:t>
            </w:r>
          </w:p>
        </w:tc>
      </w:tr>
      <w:tr>
        <w:tc>
          <w:tcPr>
            <w:tcW w:type="dxa" w:w="1500"/>
            <w:tcMar>
              <w:top w:type="dxa" w:w="70"/>
              <w:left w:type="dxa" w:w="90"/>
              <w:bottom w:type="dxa" w:w="70"/>
              <w:right w:type="dxa" w:w="90"/>
            </w:tcMar>
          </w:tcPr>
          <w:p>
            <w:r>
              <w:rPr>
                <w:b w:val="false"/>
                <w:bCs w:val="false"/>
                <w:color w:val="000000"/>
                <w:sz w:val="19"/>
                <w:szCs w:val="19"/>
              </w:rPr>
              <w:t xml:space="preserve">20 Feb 2025</w:t>
            </w:r>
          </w:p>
        </w:tc>
        <w:tc>
          <w:tcPr>
            <w:tcW w:type="dxa" w:w="2600"/>
            <w:tcMar>
              <w:top w:type="dxa" w:w="70"/>
              <w:left w:type="dxa" w:w="90"/>
              <w:bottom w:type="dxa" w:w="70"/>
              <w:right w:type="dxa" w:w="90"/>
            </w:tcMar>
          </w:tcPr>
          <w:p>
            <w:r>
              <w:rPr>
                <w:b w:val="false"/>
                <w:bCs w:val="false"/>
                <w:color w:val="000000"/>
                <w:sz w:val="19"/>
                <w:szCs w:val="19"/>
              </w:rPr>
              <w:t xml:space="preserve">Expert witness (delay analysis) affidavit filed</w:t>
            </w:r>
          </w:p>
        </w:tc>
        <w:tc>
          <w:tcPr>
            <w:tcW w:type="dxa" w:w="5800"/>
            <w:tcMar>
              <w:top w:type="dxa" w:w="70"/>
              <w:left w:type="dxa" w:w="90"/>
              <w:bottom w:type="dxa" w:w="70"/>
              <w:right w:type="dxa" w:w="90"/>
            </w:tcMar>
          </w:tcPr>
          <w:p>
            <w:r>
              <w:rPr>
                <w:b w:val="false"/>
                <w:bCs w:val="false"/>
                <w:color w:val="000000"/>
                <w:sz w:val="19"/>
                <w:szCs w:val="19"/>
              </w:rPr>
              <w:t xml:space="preserve">Independent scheduling expert's report tendered as evidence</w:t>
            </w:r>
          </w:p>
        </w:tc>
      </w:tr>
    </w:tbl>
    <w:p>
      <w:pPr>
        <w:pStyle w:val="Heading1"/>
        <w:spacing w:after="120" w:before="240"/>
      </w:pPr>
      <w:r>
        <w:t xml:space="preserve">4. Documents on Record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1F3A5F" w:color="auto" w:val="clear"/>
            <w:tcMar>
              <w:top w:type="dxa" w:w="70"/>
              <w:left w:type="dxa" w:w="90"/>
              <w:bottom w:type="dxa" w:w="70"/>
              <w:right w:type="dxa" w:w="90"/>
            </w:tcMar>
          </w:tcPr>
          <w:p>
            <w:r>
              <w:rPr>
                <w:b/>
                <w:bCs/>
                <w:color w:val="FFFFFF"/>
                <w:sz w:val="19"/>
                <w:szCs w:val="19"/>
              </w:rPr>
              <w:t xml:space="preserve">Exhibit No.</w:t>
            </w:r>
          </w:p>
        </w:tc>
        <w:tc>
          <w:tcPr>
            <w:tcW w:type="dxa" w:w="3600"/>
            <w:shd w:fill="1F3A5F" w:color="auto" w:val="clear"/>
            <w:tcMar>
              <w:top w:type="dxa" w:w="70"/>
              <w:left w:type="dxa" w:w="90"/>
              <w:bottom w:type="dxa" w:w="70"/>
              <w:right w:type="dxa" w:w="90"/>
            </w:tcMar>
          </w:tcPr>
          <w:p>
            <w:r>
              <w:rPr>
                <w:b/>
                <w:bCs/>
                <w:color w:val="FFFFFF"/>
                <w:sz w:val="19"/>
                <w:szCs w:val="19"/>
              </w:rPr>
              <w:t xml:space="preserve">Description</w:t>
            </w:r>
          </w:p>
        </w:tc>
        <w:tc>
          <w:tcPr>
            <w:tcW w:type="dxa" w:w="4800"/>
            <w:shd w:fill="1F3A5F" w:color="auto" w:val="clear"/>
            <w:tcMar>
              <w:top w:type="dxa" w:w="70"/>
              <w:left w:type="dxa" w:w="90"/>
              <w:bottom w:type="dxa" w:w="70"/>
              <w:right w:type="dxa" w:w="90"/>
            </w:tcMar>
          </w:tcPr>
          <w:p>
            <w:r>
              <w:rPr>
                <w:b/>
                <w:bCs/>
                <w:color w:val="FFFFFF"/>
                <w:sz w:val="19"/>
                <w:szCs w:val="19"/>
              </w:rPr>
              <w:t xml:space="preserve">Relevance</w:t>
            </w:r>
          </w:p>
        </w:tc>
      </w:tr>
      <w:tr>
        <w:tc>
          <w:tcPr>
            <w:tcW w:type="dxa" w:w="1400"/>
            <w:tcMar>
              <w:top w:type="dxa" w:w="70"/>
              <w:left w:type="dxa" w:w="90"/>
              <w:bottom w:type="dxa" w:w="70"/>
              <w:right w:type="dxa" w:w="90"/>
            </w:tcMar>
          </w:tcPr>
          <w:p>
            <w:r>
              <w:rPr>
                <w:b w:val="false"/>
                <w:bCs w:val="false"/>
                <w:color w:val="000000"/>
                <w:sz w:val="19"/>
                <w:szCs w:val="19"/>
              </w:rPr>
              <w:t xml:space="preserve">Ex. P1</w:t>
            </w:r>
          </w:p>
        </w:tc>
        <w:tc>
          <w:tcPr>
            <w:tcW w:type="dxa" w:w="3600"/>
            <w:tcMar>
              <w:top w:type="dxa" w:w="70"/>
              <w:left w:type="dxa" w:w="90"/>
              <w:bottom w:type="dxa" w:w="70"/>
              <w:right w:type="dxa" w:w="90"/>
            </w:tcMar>
          </w:tcPr>
          <w:p>
            <w:r>
              <w:rPr>
                <w:b w:val="false"/>
                <w:bCs w:val="false"/>
                <w:color w:val="000000"/>
                <w:sz w:val="19"/>
                <w:szCs w:val="19"/>
              </w:rPr>
              <w:t xml:space="preserve">EPC contract dated 5 Jan 2023, with all schedules</w:t>
            </w:r>
          </w:p>
        </w:tc>
        <w:tc>
          <w:tcPr>
            <w:tcW w:type="dxa" w:w="4800"/>
            <w:tcMar>
              <w:top w:type="dxa" w:w="70"/>
              <w:left w:type="dxa" w:w="90"/>
              <w:bottom w:type="dxa" w:w="70"/>
              <w:right w:type="dxa" w:w="90"/>
            </w:tcMar>
          </w:tcPr>
          <w:p>
            <w:r>
              <w:rPr>
                <w:b w:val="false"/>
                <w:bCs w:val="false"/>
                <w:color w:val="000000"/>
                <w:sz w:val="19"/>
                <w:szCs w:val="19"/>
              </w:rPr>
              <w:t xml:space="preserve">Establishes scope, timeline, and liquidated damages clause</w:t>
            </w:r>
          </w:p>
        </w:tc>
      </w:tr>
      <w:tr>
        <w:tc>
          <w:tcPr>
            <w:tcW w:type="dxa" w:w="1400"/>
            <w:tcMar>
              <w:top w:type="dxa" w:w="70"/>
              <w:left w:type="dxa" w:w="90"/>
              <w:bottom w:type="dxa" w:w="70"/>
              <w:right w:type="dxa" w:w="90"/>
            </w:tcMar>
          </w:tcPr>
          <w:p>
            <w:r>
              <w:rPr>
                <w:b w:val="false"/>
                <w:bCs w:val="false"/>
                <w:color w:val="000000"/>
                <w:sz w:val="19"/>
                <w:szCs w:val="19"/>
              </w:rPr>
              <w:t xml:space="preserve">Ex. P2</w:t>
            </w:r>
          </w:p>
        </w:tc>
        <w:tc>
          <w:tcPr>
            <w:tcW w:type="dxa" w:w="3600"/>
            <w:tcMar>
              <w:top w:type="dxa" w:w="70"/>
              <w:left w:type="dxa" w:w="90"/>
              <w:bottom w:type="dxa" w:w="70"/>
              <w:right w:type="dxa" w:w="90"/>
            </w:tcMar>
          </w:tcPr>
          <w:p>
            <w:r>
              <w:rPr>
                <w:b w:val="false"/>
                <w:bCs w:val="false"/>
                <w:color w:val="000000"/>
                <w:sz w:val="19"/>
                <w:szCs w:val="19"/>
              </w:rPr>
              <w:t xml:space="preserve">Monthly progress reports (Jan 2023 – Jan 2024)</w:t>
            </w:r>
          </w:p>
        </w:tc>
        <w:tc>
          <w:tcPr>
            <w:tcW w:type="dxa" w:w="4800"/>
            <w:tcMar>
              <w:top w:type="dxa" w:w="70"/>
              <w:left w:type="dxa" w:w="90"/>
              <w:bottom w:type="dxa" w:w="70"/>
              <w:right w:type="dxa" w:w="90"/>
            </w:tcMar>
          </w:tcPr>
          <w:p>
            <w:r>
              <w:rPr>
                <w:b w:val="false"/>
                <w:bCs w:val="false"/>
                <w:color w:val="000000"/>
                <w:sz w:val="19"/>
                <w:szCs w:val="19"/>
              </w:rPr>
              <w:t xml:space="preserve">Documents actual physical progress against schedule</w:t>
            </w:r>
          </w:p>
        </w:tc>
      </w:tr>
      <w:tr>
        <w:tc>
          <w:tcPr>
            <w:tcW w:type="dxa" w:w="1400"/>
            <w:tcMar>
              <w:top w:type="dxa" w:w="70"/>
              <w:left w:type="dxa" w:w="90"/>
              <w:bottom w:type="dxa" w:w="70"/>
              <w:right w:type="dxa" w:w="90"/>
            </w:tcMar>
          </w:tcPr>
          <w:p>
            <w:r>
              <w:rPr>
                <w:b w:val="false"/>
                <w:bCs w:val="false"/>
                <w:color w:val="000000"/>
                <w:sz w:val="19"/>
                <w:szCs w:val="19"/>
              </w:rPr>
              <w:t xml:space="preserve">Ex. P3</w:t>
            </w:r>
          </w:p>
        </w:tc>
        <w:tc>
          <w:tcPr>
            <w:tcW w:type="dxa" w:w="3600"/>
            <w:tcMar>
              <w:top w:type="dxa" w:w="70"/>
              <w:left w:type="dxa" w:w="90"/>
              <w:bottom w:type="dxa" w:w="70"/>
              <w:right w:type="dxa" w:w="90"/>
            </w:tcMar>
          </w:tcPr>
          <w:p>
            <w:r>
              <w:rPr>
                <w:b w:val="false"/>
                <w:bCs w:val="false"/>
                <w:color w:val="000000"/>
                <w:sz w:val="19"/>
                <w:szCs w:val="19"/>
              </w:rPr>
              <w:t xml:space="preserve">Force majeure notice dated 11 Nov 2023 and plaintiff's reply</w:t>
            </w:r>
          </w:p>
        </w:tc>
        <w:tc>
          <w:tcPr>
            <w:tcW w:type="dxa" w:w="4800"/>
            <w:tcMar>
              <w:top w:type="dxa" w:w="70"/>
              <w:left w:type="dxa" w:w="90"/>
              <w:bottom w:type="dxa" w:w="70"/>
              <w:right w:type="dxa" w:w="90"/>
            </w:tcMar>
          </w:tcPr>
          <w:p>
            <w:r>
              <w:rPr>
                <w:b w:val="false"/>
                <w:bCs w:val="false"/>
                <w:color w:val="000000"/>
                <w:sz w:val="19"/>
                <w:szCs w:val="19"/>
              </w:rPr>
              <w:t xml:space="preserve">Central to dispute over validity of force majeure invocation</w:t>
            </w:r>
          </w:p>
        </w:tc>
      </w:tr>
      <w:tr>
        <w:tc>
          <w:tcPr>
            <w:tcW w:type="dxa" w:w="1400"/>
            <w:tcMar>
              <w:top w:type="dxa" w:w="70"/>
              <w:left w:type="dxa" w:w="90"/>
              <w:bottom w:type="dxa" w:w="70"/>
              <w:right w:type="dxa" w:w="90"/>
            </w:tcMar>
          </w:tcPr>
          <w:p>
            <w:r>
              <w:rPr>
                <w:b w:val="false"/>
                <w:bCs w:val="false"/>
                <w:color w:val="000000"/>
                <w:sz w:val="19"/>
                <w:szCs w:val="19"/>
              </w:rPr>
              <w:t xml:space="preserve">Ex. P4</w:t>
            </w:r>
          </w:p>
        </w:tc>
        <w:tc>
          <w:tcPr>
            <w:tcW w:type="dxa" w:w="3600"/>
            <w:tcMar>
              <w:top w:type="dxa" w:w="70"/>
              <w:left w:type="dxa" w:w="90"/>
              <w:bottom w:type="dxa" w:w="70"/>
              <w:right w:type="dxa" w:w="90"/>
            </w:tcMar>
          </w:tcPr>
          <w:p>
            <w:r>
              <w:rPr>
                <w:b w:val="false"/>
                <w:bCs w:val="false"/>
                <w:color w:val="000000"/>
                <w:sz w:val="19"/>
                <w:szCs w:val="19"/>
              </w:rPr>
              <w:t xml:space="preserve">Termination notice dated 20 Feb 2024</w:t>
            </w:r>
          </w:p>
        </w:tc>
        <w:tc>
          <w:tcPr>
            <w:tcW w:type="dxa" w:w="4800"/>
            <w:tcMar>
              <w:top w:type="dxa" w:w="70"/>
              <w:left w:type="dxa" w:w="90"/>
              <w:bottom w:type="dxa" w:w="70"/>
              <w:right w:type="dxa" w:w="90"/>
            </w:tcMar>
          </w:tcPr>
          <w:p>
            <w:r>
              <w:rPr>
                <w:b w:val="false"/>
                <w:bCs w:val="false"/>
                <w:color w:val="000000"/>
                <w:sz w:val="19"/>
                <w:szCs w:val="19"/>
              </w:rPr>
              <w:t xml:space="preserve">Establishes date and grounds of termination</w:t>
            </w:r>
          </w:p>
        </w:tc>
      </w:tr>
      <w:tr>
        <w:tc>
          <w:tcPr>
            <w:tcW w:type="dxa" w:w="1400"/>
            <w:tcMar>
              <w:top w:type="dxa" w:w="70"/>
              <w:left w:type="dxa" w:w="90"/>
              <w:bottom w:type="dxa" w:w="70"/>
              <w:right w:type="dxa" w:w="90"/>
            </w:tcMar>
          </w:tcPr>
          <w:p>
            <w:r>
              <w:rPr>
                <w:b w:val="false"/>
                <w:bCs w:val="false"/>
                <w:color w:val="000000"/>
                <w:sz w:val="19"/>
                <w:szCs w:val="19"/>
              </w:rPr>
              <w:t xml:space="preserve">Ex. P5</w:t>
            </w:r>
          </w:p>
        </w:tc>
        <w:tc>
          <w:tcPr>
            <w:tcW w:type="dxa" w:w="3600"/>
            <w:tcMar>
              <w:top w:type="dxa" w:w="70"/>
              <w:left w:type="dxa" w:w="90"/>
              <w:bottom w:type="dxa" w:w="70"/>
              <w:right w:type="dxa" w:w="90"/>
            </w:tcMar>
          </w:tcPr>
          <w:p>
            <w:r>
              <w:rPr>
                <w:b w:val="false"/>
                <w:bCs w:val="false"/>
                <w:color w:val="000000"/>
                <w:sz w:val="19"/>
                <w:szCs w:val="19"/>
              </w:rPr>
              <w:t xml:space="preserve">Invoices for alternate contractor engaged post-termination</w:t>
            </w:r>
          </w:p>
        </w:tc>
        <w:tc>
          <w:tcPr>
            <w:tcW w:type="dxa" w:w="4800"/>
            <w:tcMar>
              <w:top w:type="dxa" w:w="70"/>
              <w:left w:type="dxa" w:w="90"/>
              <w:bottom w:type="dxa" w:w="70"/>
              <w:right w:type="dxa" w:w="90"/>
            </w:tcMar>
          </w:tcPr>
          <w:p>
            <w:r>
              <w:rPr>
                <w:b w:val="false"/>
                <w:bCs w:val="false"/>
                <w:color w:val="000000"/>
                <w:sz w:val="19"/>
                <w:szCs w:val="19"/>
              </w:rPr>
              <w:t xml:space="preserve">Supports quantum of additional completion cost claimed</w:t>
            </w:r>
          </w:p>
        </w:tc>
      </w:tr>
      <w:tr>
        <w:tc>
          <w:tcPr>
            <w:tcW w:type="dxa" w:w="1400"/>
            <w:tcMar>
              <w:top w:type="dxa" w:w="70"/>
              <w:left w:type="dxa" w:w="90"/>
              <w:bottom w:type="dxa" w:w="70"/>
              <w:right w:type="dxa" w:w="90"/>
            </w:tcMar>
          </w:tcPr>
          <w:p>
            <w:r>
              <w:rPr>
                <w:b w:val="false"/>
                <w:bCs w:val="false"/>
                <w:color w:val="000000"/>
                <w:sz w:val="19"/>
                <w:szCs w:val="19"/>
              </w:rPr>
              <w:t xml:space="preserve">Ex. D1</w:t>
            </w:r>
          </w:p>
        </w:tc>
        <w:tc>
          <w:tcPr>
            <w:tcW w:type="dxa" w:w="3600"/>
            <w:tcMar>
              <w:top w:type="dxa" w:w="70"/>
              <w:left w:type="dxa" w:w="90"/>
              <w:bottom w:type="dxa" w:w="70"/>
              <w:right w:type="dxa" w:w="90"/>
            </w:tcMar>
          </w:tcPr>
          <w:p>
            <w:r>
              <w:rPr>
                <w:b w:val="false"/>
                <w:bCs w:val="false"/>
                <w:color w:val="000000"/>
                <w:sz w:val="19"/>
                <w:szCs w:val="19"/>
              </w:rPr>
              <w:t xml:space="preserve">Regional cement supply shortage notification (industry body)</w:t>
            </w:r>
          </w:p>
        </w:tc>
        <w:tc>
          <w:tcPr>
            <w:tcW w:type="dxa" w:w="4800"/>
            <w:tcMar>
              <w:top w:type="dxa" w:w="70"/>
              <w:left w:type="dxa" w:w="90"/>
              <w:bottom w:type="dxa" w:w="70"/>
              <w:right w:type="dxa" w:w="90"/>
            </w:tcMar>
          </w:tcPr>
          <w:p>
            <w:r>
              <w:rPr>
                <w:b w:val="false"/>
                <w:bCs w:val="false"/>
                <w:color w:val="000000"/>
                <w:sz w:val="19"/>
                <w:szCs w:val="19"/>
              </w:rPr>
              <w:t xml:space="preserve">Defendant's evidence supporting force majeure claim</w:t>
            </w:r>
          </w:p>
        </w:tc>
      </w:tr>
      <w:tr>
        <w:tc>
          <w:tcPr>
            <w:tcW w:type="dxa" w:w="1400"/>
            <w:tcMar>
              <w:top w:type="dxa" w:w="70"/>
              <w:left w:type="dxa" w:w="90"/>
              <w:bottom w:type="dxa" w:w="70"/>
              <w:right w:type="dxa" w:w="90"/>
            </w:tcMar>
          </w:tcPr>
          <w:p>
            <w:r>
              <w:rPr>
                <w:b w:val="false"/>
                <w:bCs w:val="false"/>
                <w:color w:val="000000"/>
                <w:sz w:val="19"/>
                <w:szCs w:val="19"/>
              </w:rPr>
              <w:t xml:space="preserve">Ex. C1</w:t>
            </w:r>
          </w:p>
        </w:tc>
        <w:tc>
          <w:tcPr>
            <w:tcW w:type="dxa" w:w="3600"/>
            <w:tcMar>
              <w:top w:type="dxa" w:w="70"/>
              <w:left w:type="dxa" w:w="90"/>
              <w:bottom w:type="dxa" w:w="70"/>
              <w:right w:type="dxa" w:w="90"/>
            </w:tcMar>
          </w:tcPr>
          <w:p>
            <w:r>
              <w:rPr>
                <w:b w:val="false"/>
                <w:bCs w:val="false"/>
                <w:color w:val="000000"/>
                <w:sz w:val="19"/>
                <w:szCs w:val="19"/>
              </w:rPr>
              <w:t xml:space="preserve">Expert scheduling report dated 20 Feb 2025</w:t>
            </w:r>
          </w:p>
        </w:tc>
        <w:tc>
          <w:tcPr>
            <w:tcW w:type="dxa" w:w="4800"/>
            <w:tcMar>
              <w:top w:type="dxa" w:w="70"/>
              <w:left w:type="dxa" w:w="90"/>
              <w:bottom w:type="dxa" w:w="70"/>
              <w:right w:type="dxa" w:w="90"/>
            </w:tcMar>
          </w:tcPr>
          <w:p>
            <w:r>
              <w:rPr>
                <w:b w:val="false"/>
                <w:bCs w:val="false"/>
                <w:color w:val="000000"/>
                <w:sz w:val="19"/>
                <w:szCs w:val="19"/>
              </w:rPr>
              <w:t xml:space="preserve">Independent analysis attributing delay causes between parties</w:t>
            </w:r>
          </w:p>
        </w:tc>
      </w:tr>
    </w:tbl>
    <w:p>
      <w:pPr>
        <w:pStyle w:val="Heading1"/>
        <w:spacing w:after="120" w:before="240"/>
      </w:pPr>
      <w:r>
        <w:t xml:space="preserve">5. Key Legal Issues</w:t>
      </w:r>
    </w:p>
    <w:p>
      <w:pPr>
        <w:pStyle w:val="ListParagraph"/>
        <w:numPr>
          <w:ilvl w:val="0"/>
          <w:numId w:val="2"/>
        </w:numPr>
        <w:spacing w:after="80"/>
      </w:pPr>
      <w:r>
        <w:t xml:space="preserve">Whether the force majeure notice dated 11 November 2023 was issued within the time and form required under Clause 18.3 of the contract</w:t>
      </w:r>
    </w:p>
    <w:p>
      <w:pPr>
        <w:pStyle w:val="ListParagraph"/>
        <w:numPr>
          <w:ilvl w:val="0"/>
          <w:numId w:val="2"/>
        </w:numPr>
        <w:spacing w:after="80"/>
      </w:pPr>
      <w:r>
        <w:t xml:space="preserve">Whether the delay is attributable to force majeure events, contractor default, or a combination of both, and in what proportion</w:t>
      </w:r>
    </w:p>
    <w:p>
      <w:pPr>
        <w:pStyle w:val="ListParagraph"/>
        <w:numPr>
          <w:ilvl w:val="0"/>
          <w:numId w:val="2"/>
        </w:numPr>
        <w:spacing w:after="80"/>
      </w:pPr>
      <w:r>
        <w:t xml:space="preserve">Enforceability and computation of the liquidated damages clause (Clause 14.2) as against actual proven loss</w:t>
      </w:r>
    </w:p>
    <w:p>
      <w:pPr>
        <w:pStyle w:val="ListParagraph"/>
        <w:numPr>
          <w:ilvl w:val="0"/>
          <w:numId w:val="2"/>
        </w:numPr>
        <w:spacing w:after="80"/>
      </w:pPr>
      <w:r>
        <w:t xml:space="preserve">Validity of the termination and entitlement to recover the additional cost of completion through the substitute contractor</w:t>
      </w:r>
    </w:p>
    <w:p>
      <w:pPr>
        <w:pStyle w:val="ListParagraph"/>
        <w:numPr>
          <w:ilvl w:val="0"/>
          <w:numId w:val="2"/>
        </w:numPr>
        <w:spacing w:after="80"/>
      </w:pPr>
      <w:r>
        <w:t xml:space="preserve">Maintainability of the defendant's counterclaim for unpaid running bills in the same proceeding</w:t>
      </w:r>
    </w:p>
    <w:p>
      <w:pPr>
        <w:pStyle w:val="Heading1"/>
        <w:spacing w:after="120" w:before="240"/>
      </w:pPr>
      <w:r>
        <w:t xml:space="preserve">6. Current Status</w:t>
      </w:r>
    </w:p>
    <w:p>
      <w:pPr>
        <w:spacing w:after="160"/>
      </w:pPr>
      <w:r>
        <w:t xml:space="preserve">The matter is at the evidence stage. Plaintiff's witness examination is substantially complete; the independent scheduling expert's report has been filed and the expert is expected to be examined next. Defendant's evidence is yet to commence.</w:t>
      </w:r>
    </w:p>
    <w:p>
      <w:pPr>
        <w:pStyle w:val="Heading1"/>
        <w:spacing w:after="120" w:before="240"/>
      </w:pPr>
      <w:r>
        <w:t xml:space="preserve">7. Next Steps</w:t>
      </w:r>
    </w:p>
    <w:p>
      <w:pPr>
        <w:pStyle w:val="ListParagraph"/>
        <w:numPr>
          <w:ilvl w:val="0"/>
          <w:numId w:val="2"/>
        </w:numPr>
        <w:spacing w:after="80"/>
      </w:pPr>
      <w:r>
        <w:t xml:space="preserve">Next hearing: 9 May 2025 — examination of independent scheduling expert (Ex. C1)</w:t>
      </w:r>
    </w:p>
    <w:p>
      <w:pPr>
        <w:pStyle w:val="ListParagraph"/>
        <w:numPr>
          <w:ilvl w:val="0"/>
          <w:numId w:val="2"/>
        </w:numPr>
        <w:spacing w:after="80"/>
      </w:pPr>
      <w:r>
        <w:t xml:space="preserve">Prepare cross-examination outline for defendant's anticipated force-majeure witnesses</w:t>
      </w:r>
    </w:p>
    <w:p>
      <w:pPr>
        <w:pStyle w:val="ListParagraph"/>
        <w:numPr>
          <w:ilvl w:val="0"/>
          <w:numId w:val="2"/>
        </w:numPr>
        <w:spacing w:after="80"/>
      </w:pPr>
      <w:r>
        <w:t xml:space="preserve">Finalize computation of damages claim reconciling liquidated damages cap with actual completion cost evidence</w:t>
      </w:r>
    </w:p>
    <w:p>
      <w:pPr>
        <w:pStyle w:val="ListParagraph"/>
        <w:numPr>
          <w:ilvl w:val="0"/>
          <w:numId w:val="2"/>
        </w:numPr>
        <w:spacing w:after="80"/>
      </w:pPr>
      <w:r>
        <w:t xml:space="preserve">Evaluate settlement posture in light of expert report findings once expert testimony concludes</w:t>
      </w:r>
    </w:p>
    <w:p>
      <w:pPr>
        <w:pStyle w:val="Heading1"/>
        <w:spacing w:after="120" w:before="240"/>
      </w:pPr>
      <w:r>
        <w:t xml:space="preserve">8. Internal Notes (Privileged &amp; Confidential)</w:t>
      </w:r>
    </w:p>
    <w:p>
      <w:pPr>
        <w:spacing w:after="160"/>
      </w:pPr>
      <w:r>
        <w:t xml:space="preserve">Client has indicated the commercial relationship with the defendant is unlikely to continue regardless of outcome; full recovery of damages remains the priority over any settlement discussion. Internal cost-benefit note on expert witness fees to be circulated separately.</w:t>
      </w:r>
    </w:p>
    <w:p>
      <w:pPr>
        <w:pStyle w:val="Heading1"/>
        <w:spacing w:after="120" w:before="240"/>
      </w:pPr>
      <w:r>
        <w:t xml:space="preserve">9. Relevant Contractual and Legal Provisions</w:t>
      </w:r>
    </w:p>
    <w:p>
      <w:pPr>
        <w:pStyle w:val="ListParagraph"/>
        <w:numPr>
          <w:ilvl w:val="0"/>
          <w:numId w:val="2"/>
        </w:numPr>
        <w:spacing w:after="80"/>
      </w:pPr>
      <w:r>
        <w:t xml:space="preserve">Clause 14.2 of the EPC Contract — Liquidated damages at 0.5% of contract value per week of delay, capped at 10% of contract value</w:t>
      </w:r>
    </w:p>
    <w:p>
      <w:pPr>
        <w:pStyle w:val="ListParagraph"/>
        <w:numPr>
          <w:ilvl w:val="0"/>
          <w:numId w:val="2"/>
        </w:numPr>
        <w:spacing w:after="80"/>
      </w:pPr>
      <w:r>
        <w:t xml:space="preserve">Clause 18 of the EPC Contract — Force majeure, including notice requirement within 7 days of the triggering event</w:t>
      </w:r>
    </w:p>
    <w:p>
      <w:pPr>
        <w:pStyle w:val="ListParagraph"/>
        <w:numPr>
          <w:ilvl w:val="0"/>
          <w:numId w:val="2"/>
        </w:numPr>
        <w:spacing w:after="80"/>
      </w:pPr>
      <w:r>
        <w:t xml:space="preserve">Section 73, Indian Contract Act, 1872 — Compensation for loss or damage caused by breach of contract</w:t>
      </w:r>
    </w:p>
    <w:p>
      <w:pPr>
        <w:pStyle w:val="ListParagraph"/>
        <w:numPr>
          <w:ilvl w:val="0"/>
          <w:numId w:val="2"/>
        </w:numPr>
        <w:spacing w:after="80"/>
      </w:pPr>
      <w:r>
        <w:t xml:space="preserve">Section 74, Indian Contract Act, 1872 — Reasonable compensation where a sum is named as liquidated damages, not exceeding the amount stipulated</w:t>
      </w:r>
    </w:p>
    <w:p>
      <w:pPr>
        <w:pStyle w:val="ListParagraph"/>
        <w:numPr>
          <w:ilvl w:val="0"/>
          <w:numId w:val="2"/>
        </w:numPr>
        <w:spacing w:after="80"/>
      </w:pPr>
      <w:r>
        <w:t xml:space="preserve">Commercial Courts Act, 2015 — Procedural framework governing case management and timelines in the present suit</w:t>
      </w:r>
    </w:p>
    <w:p>
      <w:pPr>
        <w:pStyle w:val="Heading1"/>
        <w:spacing w:after="120" w:before="240"/>
      </w:pPr>
      <w:r>
        <w:t xml:space="preserve">10. Precedents Relied Upon</w:t>
      </w:r>
    </w:p>
    <w:p>
      <w:pPr>
        <w:spacing w:after="160"/>
      </w:pPr>
      <w:r>
        <w:t xml:space="preserve">The following categories of precedent are being relied upon; specific citations to be finalized by the handling advocate ahead of final arguments:</w:t>
      </w:r>
    </w:p>
    <w:p>
      <w:pPr>
        <w:pStyle w:val="ListParagraph"/>
        <w:numPr>
          <w:ilvl w:val="0"/>
          <w:numId w:val="2"/>
        </w:numPr>
        <w:spacing w:after="80"/>
      </w:pPr>
      <w:r>
        <w:t xml:space="preserve">Authorities on strict construction of force majeure clauses, including the requirement of timely notice as a condition precedent to relief</w:t>
      </w:r>
    </w:p>
    <w:p>
      <w:pPr>
        <w:pStyle w:val="ListParagraph"/>
        <w:numPr>
          <w:ilvl w:val="0"/>
          <w:numId w:val="2"/>
        </w:numPr>
        <w:spacing w:after="80"/>
      </w:pPr>
      <w:r>
        <w:t xml:space="preserve">Authorities on the interplay between Section 74 of the Contract Act and liquidated damages clauses, including the requirement to prove genuine pre-estimate of loss where a party seeks damages beyond the capped amount</w:t>
      </w:r>
    </w:p>
    <w:p>
      <w:pPr>
        <w:pStyle w:val="ListParagraph"/>
        <w:numPr>
          <w:ilvl w:val="0"/>
          <w:numId w:val="2"/>
        </w:numPr>
        <w:spacing w:after="80"/>
      </w:pPr>
      <w:r>
        <w:t xml:space="preserve">Authorities on reliance on independent expert delay-analysis reports in construction and infrastructure disputes</w:t>
      </w:r>
    </w:p>
    <w:p>
      <w:pPr>
        <w:pStyle w:val="Heading1"/>
        <w:spacing w:after="120" w:before="240"/>
      </w:pPr>
      <w:r>
        <w:t xml:space="preserve">11. Risk Assessment</w:t>
      </w:r>
    </w:p>
    <w:p>
      <w:pPr>
        <w:spacing w:after="160"/>
      </w:pPr>
      <w:r>
        <w:t xml:space="preserve">The plaintiff's position is aided by the apparently defective and delayed force majeure notice, and by the independent expert's report attributing the bulk of the delay to the defendant's mobilization failures. The principal risk is the liquidated damages cap under Clause 14.2, which may limit recovery notwithstanding a higher quantum of actual proven loss; arguments on recovering damages beyond the cap will need to be carefully framed under Section 74 of the Contract Act.</w:t>
      </w:r>
    </w:p>
    <w:p>
      <w:pPr>
        <w:pStyle w:val="Heading1"/>
        <w:spacing w:after="120" w:before="240"/>
      </w:pPr>
      <w:r>
        <w:t xml:space="preserve">12. Witness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1F3A5F" w:color="auto" w:val="clear"/>
            <w:tcMar>
              <w:top w:type="dxa" w:w="70"/>
              <w:left w:type="dxa" w:w="90"/>
              <w:bottom w:type="dxa" w:w="70"/>
              <w:right w:type="dxa" w:w="90"/>
            </w:tcMar>
          </w:tcPr>
          <w:p>
            <w:r>
              <w:rPr>
                <w:b/>
                <w:bCs/>
                <w:color w:val="FFFFFF"/>
                <w:sz w:val="19"/>
                <w:szCs w:val="19"/>
              </w:rPr>
              <w:t xml:space="preserve">Witness</w:t>
            </w:r>
          </w:p>
        </w:tc>
        <w:tc>
          <w:tcPr>
            <w:tcW w:type="dxa" w:w="3600"/>
            <w:shd w:fill="1F3A5F" w:color="auto" w:val="clear"/>
            <w:tcMar>
              <w:top w:type="dxa" w:w="70"/>
              <w:left w:type="dxa" w:w="90"/>
              <w:bottom w:type="dxa" w:w="70"/>
              <w:right w:type="dxa" w:w="90"/>
            </w:tcMar>
          </w:tcPr>
          <w:p>
            <w:r>
              <w:rPr>
                <w:b/>
                <w:bCs/>
                <w:color w:val="FFFFFF"/>
                <w:sz w:val="19"/>
                <w:szCs w:val="19"/>
              </w:rPr>
              <w:t xml:space="preserve">Role</w:t>
            </w:r>
          </w:p>
        </w:tc>
        <w:tc>
          <w:tcPr>
            <w:tcW w:type="dxa" w:w="4800"/>
            <w:shd w:fill="1F3A5F" w:color="auto" w:val="clear"/>
            <w:tcMar>
              <w:top w:type="dxa" w:w="70"/>
              <w:left w:type="dxa" w:w="90"/>
              <w:bottom w:type="dxa" w:w="70"/>
              <w:right w:type="dxa" w:w="90"/>
            </w:tcMar>
          </w:tcPr>
          <w:p>
            <w:r>
              <w:rPr>
                <w:b/>
                <w:bCs/>
                <w:color w:val="FFFFFF"/>
                <w:sz w:val="19"/>
                <w:szCs w:val="19"/>
              </w:rPr>
              <w:t xml:space="preserve">Status</w:t>
            </w:r>
          </w:p>
        </w:tc>
      </w:tr>
      <w:tr>
        <w:tc>
          <w:tcPr>
            <w:tcW w:type="dxa" w:w="1400"/>
            <w:tcMar>
              <w:top w:type="dxa" w:w="70"/>
              <w:left w:type="dxa" w:w="90"/>
              <w:bottom w:type="dxa" w:w="70"/>
              <w:right w:type="dxa" w:w="90"/>
            </w:tcMar>
          </w:tcPr>
          <w:p>
            <w:r>
              <w:rPr>
                <w:b w:val="false"/>
                <w:bCs w:val="false"/>
                <w:color w:val="000000"/>
                <w:sz w:val="19"/>
                <w:szCs w:val="19"/>
              </w:rPr>
              <w:t xml:space="preserve">PW-1 — Project Manager</w:t>
            </w:r>
          </w:p>
        </w:tc>
        <w:tc>
          <w:tcPr>
            <w:tcW w:type="dxa" w:w="3600"/>
            <w:tcMar>
              <w:top w:type="dxa" w:w="70"/>
              <w:left w:type="dxa" w:w="90"/>
              <w:bottom w:type="dxa" w:w="70"/>
              <w:right w:type="dxa" w:w="90"/>
            </w:tcMar>
          </w:tcPr>
          <w:p>
            <w:r>
              <w:rPr>
                <w:b w:val="false"/>
                <w:bCs w:val="false"/>
                <w:color w:val="000000"/>
                <w:sz w:val="19"/>
                <w:szCs w:val="19"/>
              </w:rPr>
              <w:t xml:space="preserve">Plaintiff's site progress and delay records</w:t>
            </w:r>
          </w:p>
        </w:tc>
        <w:tc>
          <w:tcPr>
            <w:tcW w:type="dxa" w:w="4800"/>
            <w:tcMar>
              <w:top w:type="dxa" w:w="70"/>
              <w:left w:type="dxa" w:w="90"/>
              <w:bottom w:type="dxa" w:w="70"/>
              <w:right w:type="dxa" w:w="90"/>
            </w:tcMar>
          </w:tcPr>
          <w:p>
            <w:r>
              <w:rPr>
                <w:b w:val="false"/>
                <w:bCs w:val="false"/>
                <w:color w:val="000000"/>
                <w:sz w:val="19"/>
                <w:szCs w:val="19"/>
              </w:rPr>
              <w:t xml:space="preserve">Examined-in-chief completed</w:t>
            </w:r>
          </w:p>
        </w:tc>
      </w:tr>
      <w:tr>
        <w:tc>
          <w:tcPr>
            <w:tcW w:type="dxa" w:w="1400"/>
            <w:tcMar>
              <w:top w:type="dxa" w:w="70"/>
              <w:left w:type="dxa" w:w="90"/>
              <w:bottom w:type="dxa" w:w="70"/>
              <w:right w:type="dxa" w:w="90"/>
            </w:tcMar>
          </w:tcPr>
          <w:p>
            <w:r>
              <w:rPr>
                <w:b w:val="false"/>
                <w:bCs w:val="false"/>
                <w:color w:val="000000"/>
                <w:sz w:val="19"/>
                <w:szCs w:val="19"/>
              </w:rPr>
              <w:t xml:space="preserve">PW-2 (anticipated) — Finance Head, BlueWave</w:t>
            </w:r>
          </w:p>
        </w:tc>
        <w:tc>
          <w:tcPr>
            <w:tcW w:type="dxa" w:w="3600"/>
            <w:tcMar>
              <w:top w:type="dxa" w:w="70"/>
              <w:left w:type="dxa" w:w="90"/>
              <w:bottom w:type="dxa" w:w="70"/>
              <w:right w:type="dxa" w:w="90"/>
            </w:tcMar>
          </w:tcPr>
          <w:p>
            <w:r>
              <w:rPr>
                <w:b w:val="false"/>
                <w:bCs w:val="false"/>
                <w:color w:val="000000"/>
                <w:sz w:val="19"/>
                <w:szCs w:val="19"/>
              </w:rPr>
              <w:t xml:space="preserve">To depose on quantum of loss and alternate contractor costs</w:t>
            </w:r>
          </w:p>
        </w:tc>
        <w:tc>
          <w:tcPr>
            <w:tcW w:type="dxa" w:w="4800"/>
            <w:tcMar>
              <w:top w:type="dxa" w:w="70"/>
              <w:left w:type="dxa" w:w="90"/>
              <w:bottom w:type="dxa" w:w="70"/>
              <w:right w:type="dxa" w:w="90"/>
            </w:tcMar>
          </w:tcPr>
          <w:p>
            <w:r>
              <w:rPr>
                <w:b w:val="false"/>
                <w:bCs w:val="false"/>
                <w:color w:val="000000"/>
                <w:sz w:val="19"/>
                <w:szCs w:val="19"/>
              </w:rPr>
              <w:t xml:space="preserve">Not yet examined; expected after expert testimony</w:t>
            </w:r>
          </w:p>
        </w:tc>
      </w:tr>
      <w:tr>
        <w:tc>
          <w:tcPr>
            <w:tcW w:type="dxa" w:w="1400"/>
            <w:tcMar>
              <w:top w:type="dxa" w:w="70"/>
              <w:left w:type="dxa" w:w="90"/>
              <w:bottom w:type="dxa" w:w="70"/>
              <w:right w:type="dxa" w:w="90"/>
            </w:tcMar>
          </w:tcPr>
          <w:p>
            <w:r>
              <w:rPr>
                <w:b w:val="false"/>
                <w:bCs w:val="false"/>
                <w:color w:val="000000"/>
                <w:sz w:val="19"/>
                <w:szCs w:val="19"/>
              </w:rPr>
              <w:t xml:space="preserve">Court Witness — Independent Scheduling Expert</w:t>
            </w:r>
          </w:p>
        </w:tc>
        <w:tc>
          <w:tcPr>
            <w:tcW w:type="dxa" w:w="3600"/>
            <w:tcMar>
              <w:top w:type="dxa" w:w="70"/>
              <w:left w:type="dxa" w:w="90"/>
              <w:bottom w:type="dxa" w:w="70"/>
              <w:right w:type="dxa" w:w="90"/>
            </w:tcMar>
          </w:tcPr>
          <w:p>
            <w:r>
              <w:rPr>
                <w:b w:val="false"/>
                <w:bCs w:val="false"/>
                <w:color w:val="000000"/>
                <w:sz w:val="19"/>
                <w:szCs w:val="19"/>
              </w:rPr>
              <w:t xml:space="preserve">Author of delay analysis report (Ex. C1)</w:t>
            </w:r>
          </w:p>
        </w:tc>
        <w:tc>
          <w:tcPr>
            <w:tcW w:type="dxa" w:w="4800"/>
            <w:tcMar>
              <w:top w:type="dxa" w:w="70"/>
              <w:left w:type="dxa" w:w="90"/>
              <w:bottom w:type="dxa" w:w="70"/>
              <w:right w:type="dxa" w:w="90"/>
            </w:tcMar>
          </w:tcPr>
          <w:p>
            <w:r>
              <w:rPr>
                <w:b w:val="false"/>
                <w:bCs w:val="false"/>
                <w:color w:val="000000"/>
                <w:sz w:val="19"/>
                <w:szCs w:val="19"/>
              </w:rPr>
              <w:t xml:space="preserve">Report filed; examination scheduled next hearing</w:t>
            </w:r>
          </w:p>
        </w:tc>
      </w:tr>
      <w:tr>
        <w:tc>
          <w:tcPr>
            <w:tcW w:type="dxa" w:w="1400"/>
            <w:tcMar>
              <w:top w:type="dxa" w:w="70"/>
              <w:left w:type="dxa" w:w="90"/>
              <w:bottom w:type="dxa" w:w="70"/>
              <w:right w:type="dxa" w:w="90"/>
            </w:tcMar>
          </w:tcPr>
          <w:p>
            <w:r>
              <w:rPr>
                <w:b w:val="false"/>
                <w:bCs w:val="false"/>
                <w:color w:val="000000"/>
                <w:sz w:val="19"/>
                <w:szCs w:val="19"/>
              </w:rPr>
              <w:t xml:space="preserve">DW-1 (anticipated) — Site Engineer, Orion Infra</w:t>
            </w:r>
          </w:p>
        </w:tc>
        <w:tc>
          <w:tcPr>
            <w:tcW w:type="dxa" w:w="3600"/>
            <w:tcMar>
              <w:top w:type="dxa" w:w="70"/>
              <w:left w:type="dxa" w:w="90"/>
              <w:bottom w:type="dxa" w:w="70"/>
              <w:right w:type="dxa" w:w="90"/>
            </w:tcMar>
          </w:tcPr>
          <w:p>
            <w:r>
              <w:rPr>
                <w:b w:val="false"/>
                <w:bCs w:val="false"/>
                <w:color w:val="000000"/>
                <w:sz w:val="19"/>
                <w:szCs w:val="19"/>
              </w:rPr>
              <w:t xml:space="preserve">Expected to testify on force majeure impact at site</w:t>
            </w:r>
          </w:p>
        </w:tc>
        <w:tc>
          <w:tcPr>
            <w:tcW w:type="dxa" w:w="4800"/>
            <w:tcMar>
              <w:top w:type="dxa" w:w="70"/>
              <w:left w:type="dxa" w:w="90"/>
              <w:bottom w:type="dxa" w:w="70"/>
              <w:right w:type="dxa" w:w="90"/>
            </w:tcMar>
          </w:tcPr>
          <w:p>
            <w:r>
              <w:rPr>
                <w:b w:val="false"/>
                <w:bCs w:val="false"/>
                <w:color w:val="000000"/>
                <w:sz w:val="19"/>
                <w:szCs w:val="19"/>
              </w:rPr>
              <w:t xml:space="preserve">Not yet examined; defendant's evidence stage pending</w:t>
            </w:r>
          </w:p>
        </w:tc>
      </w:tr>
    </w:tbl>
    <w:p>
      <w:pPr>
        <w:spacing w:after="200"/>
      </w:pPr>
      <w:r>
        <w:rPr>
          <w:i/>
          <w:iCs/>
          <w:color w:val="666666"/>
          <w:sz w:val="20"/>
          <w:szCs w:val="20"/>
        </w:rPr>
        <w:t xml:space="preserve">End of document. Internal reference: MER-COMM-2024-112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Meridian &amp; Rao Legal Associates, Hyderabad — Internal Case File — CS(COMM)/112/2024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2026-08-23T13:52:33.324Z</dcterms:created>
  <dcterms:modified xsi:type="dcterms:W3CDTF">2026-08-23T13:52:33.324Z</dcterms:modified>
</cp:coreProperties>
</file>

<file path=docProps/custom.xml><?xml version="1.0" encoding="utf-8"?>
<Properties xmlns="http://schemas.openxmlformats.org/officeDocument/2006/custom-properties" xmlns:vt="http://schemas.openxmlformats.org/officeDocument/2006/docPropsVTypes"/>
</file>