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E5C2E"/>
          <w:sz w:val="22"/>
          <w:szCs w:val="22"/>
        </w:rPr>
        <w:t xml:space="preserve">Meridian &amp; Rao Legal Associates, Hyderabad</w:t>
      </w:r>
    </w:p>
    <w:p>
      <w:pPr>
        <w:spacing w:after="200"/>
      </w:pPr>
      <w:r>
        <w:rPr>
          <w:i/>
          <w:iCs/>
          <w:color w:val="888888"/>
          <w:sz w:val="18"/>
          <w:szCs w:val="18"/>
        </w:rPr>
        <w:t xml:space="preserve">Internal Case File — Privileged &amp; Confidential</w:t>
      </w:r>
    </w:p>
    <w:p>
      <w:pPr>
        <w:spacing w:after="80"/>
      </w:pPr>
      <w:r>
        <w:rPr>
          <w:b/>
          <w:bCs/>
          <w:color w:val="3E5C2E"/>
          <w:sz w:val="36"/>
          <w:szCs w:val="36"/>
        </w:rPr>
        <w:t xml:space="preserve">Lakshmi Devi vs. Ramesh Naidu</w:t>
      </w:r>
    </w:p>
    <w:p>
      <w:pPr>
        <w:spacing w:after="200"/>
      </w:pPr>
      <w:r>
        <w:rPr>
          <w:i/>
          <w:iCs/>
          <w:color w:val="444444"/>
          <w:sz w:val="24"/>
          <w:szCs w:val="24"/>
        </w:rPr>
        <w:t xml:space="preserve">Original Suit No. 245/2023 — Declaration of Title and Permanent Injunction</w:t>
      </w:r>
    </w:p>
    <w:p>
      <w:pPr>
        <w:spacing w:after="200"/>
      </w:pPr>
      <w:r>
        <w:rPr>
          <w:i/>
          <w:iCs/>
          <w:color w:val="666666"/>
          <w:sz w:val="20"/>
          <w:szCs w:val="20"/>
        </w:rPr>
        <w:t xml:space="preserve">Illustrative / synthetic case file created for training and demonstration purposes (e.g., testing retrieval-augmented generation systems). All names, dates, case numbers, and facts are fictional and do not correspond to any real person, entity, or proceeding.</w:t>
      </w:r>
    </w:p>
    <w:p>
      <w:pPr>
        <w:pStyle w:val="Heading1"/>
        <w:spacing w:after="120" w:before="240"/>
      </w:pPr>
      <w:r>
        <w:t xml:space="preserve">1. Case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3E5C2E" w:color="auto" w:val="clear"/>
            <w:tcMar>
              <w:top w:type="dxa" w:w="70"/>
              <w:left w:type="dxa" w:w="90"/>
              <w:bottom w:type="dxa" w:w="70"/>
              <w:right w:type="dxa" w:w="90"/>
            </w:tcMar>
          </w:tcPr>
          <w:p>
            <w:r>
              <w:rPr>
                <w:b/>
                <w:bCs/>
                <w:color w:val="FFFFFF"/>
                <w:sz w:val="19"/>
                <w:szCs w:val="19"/>
              </w:rPr>
              <w:t xml:space="preserve">Case No.</w:t>
            </w:r>
          </w:p>
        </w:tc>
        <w:tc>
          <w:tcPr>
            <w:tcW w:type="dxa" w:w="7000"/>
            <w:tcMar>
              <w:top w:type="dxa" w:w="70"/>
              <w:left w:type="dxa" w:w="90"/>
              <w:bottom w:type="dxa" w:w="70"/>
              <w:right w:type="dxa" w:w="90"/>
            </w:tcMar>
          </w:tcPr>
          <w:p>
            <w:r>
              <w:rPr>
                <w:b w:val="false"/>
                <w:bCs w:val="false"/>
                <w:color w:val="000000"/>
                <w:sz w:val="19"/>
                <w:szCs w:val="19"/>
              </w:rPr>
              <w:t xml:space="preserve">O.S. 245/2023</w:t>
            </w:r>
          </w:p>
        </w:tc>
      </w:tr>
      <w:tr>
        <w:tc>
          <w:tcPr>
            <w:tcW w:type="dxa" w:w="2800"/>
            <w:shd w:fill="3E5C2E" w:color="auto" w:val="clear"/>
            <w:tcMar>
              <w:top w:type="dxa" w:w="70"/>
              <w:left w:type="dxa" w:w="90"/>
              <w:bottom w:type="dxa" w:w="70"/>
              <w:right w:type="dxa" w:w="90"/>
            </w:tcMar>
          </w:tcPr>
          <w:p>
            <w:r>
              <w:rPr>
                <w:b/>
                <w:bCs/>
                <w:color w:val="FFFFFF"/>
                <w:sz w:val="19"/>
                <w:szCs w:val="19"/>
              </w:rPr>
              <w:t xml:space="preserve">Court</w:t>
            </w:r>
          </w:p>
        </w:tc>
        <w:tc>
          <w:tcPr>
            <w:tcW w:type="dxa" w:w="7000"/>
            <w:tcMar>
              <w:top w:type="dxa" w:w="70"/>
              <w:left w:type="dxa" w:w="90"/>
              <w:bottom w:type="dxa" w:w="70"/>
              <w:right w:type="dxa" w:w="90"/>
            </w:tcMar>
          </w:tcPr>
          <w:p>
            <w:r>
              <w:rPr>
                <w:b w:val="false"/>
                <w:bCs w:val="false"/>
                <w:color w:val="000000"/>
                <w:sz w:val="19"/>
                <w:szCs w:val="19"/>
              </w:rPr>
              <w:t xml:space="preserve">City Civil Court, Hyderabad</w:t>
            </w:r>
          </w:p>
        </w:tc>
      </w:tr>
      <w:tr>
        <w:tc>
          <w:tcPr>
            <w:tcW w:type="dxa" w:w="2800"/>
            <w:shd w:fill="3E5C2E" w:color="auto" w:val="clear"/>
            <w:tcMar>
              <w:top w:type="dxa" w:w="70"/>
              <w:left w:type="dxa" w:w="90"/>
              <w:bottom w:type="dxa" w:w="70"/>
              <w:right w:type="dxa" w:w="90"/>
            </w:tcMar>
          </w:tcPr>
          <w:p>
            <w:r>
              <w:rPr>
                <w:b/>
                <w:bCs/>
                <w:color w:val="FFFFFF"/>
                <w:sz w:val="19"/>
                <w:szCs w:val="19"/>
              </w:rPr>
              <w:t xml:space="preserve">Plaintiff</w:t>
            </w:r>
          </w:p>
        </w:tc>
        <w:tc>
          <w:tcPr>
            <w:tcW w:type="dxa" w:w="7000"/>
            <w:tcMar>
              <w:top w:type="dxa" w:w="70"/>
              <w:left w:type="dxa" w:w="90"/>
              <w:bottom w:type="dxa" w:w="70"/>
              <w:right w:type="dxa" w:w="90"/>
            </w:tcMar>
          </w:tcPr>
          <w:p>
            <w:r>
              <w:rPr>
                <w:b w:val="false"/>
                <w:bCs w:val="false"/>
                <w:color w:val="000000"/>
                <w:sz w:val="19"/>
                <w:szCs w:val="19"/>
              </w:rPr>
              <w:t xml:space="preserve">Mrs. Lakshmi Devi, resident of Malakpet, Hyderabad</w:t>
            </w:r>
          </w:p>
        </w:tc>
      </w:tr>
      <w:tr>
        <w:tc>
          <w:tcPr>
            <w:tcW w:type="dxa" w:w="2800"/>
            <w:shd w:fill="3E5C2E" w:color="auto" w:val="clear"/>
            <w:tcMar>
              <w:top w:type="dxa" w:w="70"/>
              <w:left w:type="dxa" w:w="90"/>
              <w:bottom w:type="dxa" w:w="70"/>
              <w:right w:type="dxa" w:w="90"/>
            </w:tcMar>
          </w:tcPr>
          <w:p>
            <w:r>
              <w:rPr>
                <w:b/>
                <w:bCs/>
                <w:color w:val="FFFFFF"/>
                <w:sz w:val="19"/>
                <w:szCs w:val="19"/>
              </w:rPr>
              <w:t xml:space="preserve">Defendant</w:t>
            </w:r>
          </w:p>
        </w:tc>
        <w:tc>
          <w:tcPr>
            <w:tcW w:type="dxa" w:w="7000"/>
            <w:tcMar>
              <w:top w:type="dxa" w:w="70"/>
              <w:left w:type="dxa" w:w="90"/>
              <w:bottom w:type="dxa" w:w="70"/>
              <w:right w:type="dxa" w:w="90"/>
            </w:tcMar>
          </w:tcPr>
          <w:p>
            <w:r>
              <w:rPr>
                <w:b w:val="false"/>
                <w:bCs w:val="false"/>
                <w:color w:val="000000"/>
                <w:sz w:val="19"/>
                <w:szCs w:val="19"/>
              </w:rPr>
              <w:t xml:space="preserve">Mr. Ramesh Naidu, resident of Dilsukhnagar, Hyderabad</w:t>
            </w:r>
          </w:p>
        </w:tc>
      </w:tr>
      <w:tr>
        <w:tc>
          <w:tcPr>
            <w:tcW w:type="dxa" w:w="2800"/>
            <w:shd w:fill="3E5C2E" w:color="auto" w:val="clear"/>
            <w:tcMar>
              <w:top w:type="dxa" w:w="70"/>
              <w:left w:type="dxa" w:w="90"/>
              <w:bottom w:type="dxa" w:w="70"/>
              <w:right w:type="dxa" w:w="90"/>
            </w:tcMar>
          </w:tcPr>
          <w:p>
            <w:r>
              <w:rPr>
                <w:b/>
                <w:bCs/>
                <w:color w:val="FFFFFF"/>
                <w:sz w:val="19"/>
                <w:szCs w:val="19"/>
              </w:rPr>
              <w:t xml:space="preserve">Suit Property</w:t>
            </w:r>
          </w:p>
        </w:tc>
        <w:tc>
          <w:tcPr>
            <w:tcW w:type="dxa" w:w="7000"/>
            <w:tcMar>
              <w:top w:type="dxa" w:w="70"/>
              <w:left w:type="dxa" w:w="90"/>
              <w:bottom w:type="dxa" w:w="70"/>
              <w:right w:type="dxa" w:w="90"/>
            </w:tcMar>
          </w:tcPr>
          <w:p>
            <w:r>
              <w:rPr>
                <w:b w:val="false"/>
                <w:bCs w:val="false"/>
                <w:color w:val="000000"/>
                <w:sz w:val="19"/>
                <w:szCs w:val="19"/>
              </w:rPr>
              <w:t xml:space="preserve">Plot bearing Survey No. 118/2A, admeasuring 500 sq. yards, situated at Nagole village, Ranga Reddy District</w:t>
            </w:r>
          </w:p>
        </w:tc>
      </w:tr>
      <w:tr>
        <w:tc>
          <w:tcPr>
            <w:tcW w:type="dxa" w:w="2800"/>
            <w:shd w:fill="3E5C2E" w:color="auto" w:val="clear"/>
            <w:tcMar>
              <w:top w:type="dxa" w:w="70"/>
              <w:left w:type="dxa" w:w="90"/>
              <w:bottom w:type="dxa" w:w="70"/>
              <w:right w:type="dxa" w:w="90"/>
            </w:tcMar>
          </w:tcPr>
          <w:p>
            <w:r>
              <w:rPr>
                <w:b/>
                <w:bCs/>
                <w:color w:val="FFFFFF"/>
                <w:sz w:val="19"/>
                <w:szCs w:val="19"/>
              </w:rPr>
              <w:t xml:space="preserve">Nature of Suit</w:t>
            </w:r>
          </w:p>
        </w:tc>
        <w:tc>
          <w:tcPr>
            <w:tcW w:type="dxa" w:w="7000"/>
            <w:tcMar>
              <w:top w:type="dxa" w:w="70"/>
              <w:left w:type="dxa" w:w="90"/>
              <w:bottom w:type="dxa" w:w="70"/>
              <w:right w:type="dxa" w:w="90"/>
            </w:tcMar>
          </w:tcPr>
          <w:p>
            <w:r>
              <w:rPr>
                <w:b w:val="false"/>
                <w:bCs w:val="false"/>
                <w:color w:val="000000"/>
                <w:sz w:val="19"/>
                <w:szCs w:val="19"/>
              </w:rPr>
              <w:t xml:space="preserve">Declaration of title, recovery of possession (in part), and permanent injunction restraining alienation</w:t>
            </w:r>
          </w:p>
        </w:tc>
      </w:tr>
      <w:tr>
        <w:tc>
          <w:tcPr>
            <w:tcW w:type="dxa" w:w="2800"/>
            <w:shd w:fill="3E5C2E" w:color="auto" w:val="clear"/>
            <w:tcMar>
              <w:top w:type="dxa" w:w="70"/>
              <w:left w:type="dxa" w:w="90"/>
              <w:bottom w:type="dxa" w:w="70"/>
              <w:right w:type="dxa" w:w="90"/>
            </w:tcMar>
          </w:tcPr>
          <w:p>
            <w:r>
              <w:rPr>
                <w:b/>
                <w:bCs/>
                <w:color w:val="FFFFFF"/>
                <w:sz w:val="19"/>
                <w:szCs w:val="19"/>
              </w:rPr>
              <w:t xml:space="preserve">Firm's Client</w:t>
            </w:r>
          </w:p>
        </w:tc>
        <w:tc>
          <w:tcPr>
            <w:tcW w:type="dxa" w:w="7000"/>
            <w:tcMar>
              <w:top w:type="dxa" w:w="70"/>
              <w:left w:type="dxa" w:w="90"/>
              <w:bottom w:type="dxa" w:w="70"/>
              <w:right w:type="dxa" w:w="90"/>
            </w:tcMar>
          </w:tcPr>
          <w:p>
            <w:r>
              <w:rPr>
                <w:b w:val="false"/>
                <w:bCs w:val="false"/>
                <w:color w:val="000000"/>
                <w:sz w:val="19"/>
                <w:szCs w:val="19"/>
              </w:rPr>
              <w:t xml:space="preserve">Plaintiff (Mrs. Lakshmi Devi)</w:t>
            </w:r>
          </w:p>
        </w:tc>
      </w:tr>
      <w:tr>
        <w:tc>
          <w:tcPr>
            <w:tcW w:type="dxa" w:w="2800"/>
            <w:shd w:fill="3E5C2E" w:color="auto" w:val="clear"/>
            <w:tcMar>
              <w:top w:type="dxa" w:w="70"/>
              <w:left w:type="dxa" w:w="90"/>
              <w:bottom w:type="dxa" w:w="70"/>
              <w:right w:type="dxa" w:w="90"/>
            </w:tcMar>
          </w:tcPr>
          <w:p>
            <w:r>
              <w:rPr>
                <w:b/>
                <w:bCs/>
                <w:color w:val="FFFFFF"/>
                <w:sz w:val="19"/>
                <w:szCs w:val="19"/>
              </w:rPr>
              <w:t xml:space="preserve">Handling Advocate</w:t>
            </w:r>
          </w:p>
        </w:tc>
        <w:tc>
          <w:tcPr>
            <w:tcW w:type="dxa" w:w="7000"/>
            <w:tcMar>
              <w:top w:type="dxa" w:w="70"/>
              <w:left w:type="dxa" w:w="90"/>
              <w:bottom w:type="dxa" w:w="70"/>
              <w:right w:type="dxa" w:w="90"/>
            </w:tcMar>
          </w:tcPr>
          <w:p>
            <w:r>
              <w:rPr>
                <w:b w:val="false"/>
                <w:bCs w:val="false"/>
                <w:color w:val="000000"/>
                <w:sz w:val="19"/>
                <w:szCs w:val="19"/>
              </w:rPr>
              <w:t xml:space="preserve">Adv. Srinivas Reddy, Partner</w:t>
            </w:r>
          </w:p>
        </w:tc>
      </w:tr>
    </w:tbl>
    <w:p>
      <w:pPr>
        <w:pStyle w:val="Heading1"/>
        <w:spacing w:after="120" w:before="240"/>
      </w:pPr>
      <w:r>
        <w:t xml:space="preserve">2. Brief Facts</w:t>
      </w:r>
    </w:p>
    <w:p>
      <w:pPr>
        <w:spacing w:after="160"/>
      </w:pPr>
      <w:r>
        <w:t xml:space="preserve">The plaintiff claims ownership of the suit property by virtue of a registered sale deed dated 9 June 1998 (Document No. 2214/1998, Sub-Registrar Office, Saroornagar), executed in her favor by the original owner, and has been in continuous possession and enjoyment since that date, with revenue records (pattadar passbook and mutation extracts) standing in her name.</w:t>
      </w:r>
    </w:p>
    <w:p>
      <w:pPr>
        <w:spacing w:after="160"/>
      </w:pPr>
      <w:r>
        <w:t xml:space="preserve">The defendant claims title over a portion of the same survey number (approximately 150 sq. yards) on the strength of a sale deed dated 3 August 2021, allegedly executed by a person claiming to be the legal heir of the original owner. The plaintiff disputes the defendant's vendor's title, contending that the entire original holding had already been conveyed to her in 1998 and that no residual interest remained capable of being transferred in 2021. The defendant commenced construction of a compound wall encroaching on the disputed portion in August 2023, prompting the plaintiff to seek urgent injunctive relief.</w:t>
      </w:r>
    </w:p>
    <w:p>
      <w:pPr>
        <w:pStyle w:val="Heading1"/>
        <w:spacing w:after="120" w:before="240"/>
      </w:pPr>
      <w:r>
        <w:t xml:space="preserve">3. Chronology of Proceedings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3E5C2E" w:color="auto" w:val="clear"/>
            <w:tcMar>
              <w:top w:type="dxa" w:w="70"/>
              <w:left w:type="dxa" w:w="90"/>
              <w:bottom w:type="dxa" w:w="70"/>
              <w:right w:type="dxa" w:w="90"/>
            </w:tcMar>
          </w:tcPr>
          <w:p>
            <w:r>
              <w:rPr>
                <w:b/>
                <w:bCs/>
                <w:color w:val="FFFFFF"/>
                <w:sz w:val="19"/>
                <w:szCs w:val="19"/>
              </w:rPr>
              <w:t xml:space="preserve">Date</w:t>
            </w:r>
          </w:p>
        </w:tc>
        <w:tc>
          <w:tcPr>
            <w:tcW w:type="dxa" w:w="2600"/>
            <w:shd w:fill="3E5C2E" w:color="auto" w:val="clear"/>
            <w:tcMar>
              <w:top w:type="dxa" w:w="70"/>
              <w:left w:type="dxa" w:w="90"/>
              <w:bottom w:type="dxa" w:w="70"/>
              <w:right w:type="dxa" w:w="90"/>
            </w:tcMar>
          </w:tcPr>
          <w:p>
            <w:r>
              <w:rPr>
                <w:b/>
                <w:bCs/>
                <w:color w:val="FFFFFF"/>
                <w:sz w:val="19"/>
                <w:szCs w:val="19"/>
              </w:rPr>
              <w:t xml:space="preserve">Event</w:t>
            </w:r>
          </w:p>
        </w:tc>
        <w:tc>
          <w:tcPr>
            <w:tcW w:type="dxa" w:w="5800"/>
            <w:shd w:fill="3E5C2E" w:color="auto" w:val="clear"/>
            <w:tcMar>
              <w:top w:type="dxa" w:w="70"/>
              <w:left w:type="dxa" w:w="90"/>
              <w:bottom w:type="dxa" w:w="70"/>
              <w:right w:type="dxa" w:w="90"/>
            </w:tcMar>
          </w:tcPr>
          <w:p>
            <w:r>
              <w:rPr>
                <w:b/>
                <w:bCs/>
                <w:color w:val="FFFFFF"/>
                <w:sz w:val="19"/>
                <w:szCs w:val="19"/>
              </w:rPr>
              <w:t xml:space="preserve">Notes / Outcome</w:t>
            </w:r>
          </w:p>
        </w:tc>
      </w:tr>
      <w:tr>
        <w:tc>
          <w:tcPr>
            <w:tcW w:type="dxa" w:w="1500"/>
            <w:tcMar>
              <w:top w:type="dxa" w:w="70"/>
              <w:left w:type="dxa" w:w="90"/>
              <w:bottom w:type="dxa" w:w="70"/>
              <w:right w:type="dxa" w:w="90"/>
            </w:tcMar>
          </w:tcPr>
          <w:p>
            <w:r>
              <w:rPr>
                <w:b w:val="false"/>
                <w:bCs w:val="false"/>
                <w:color w:val="000000"/>
                <w:sz w:val="19"/>
                <w:szCs w:val="19"/>
              </w:rPr>
              <w:t xml:space="preserve">9 Jun 1998</w:t>
            </w:r>
          </w:p>
        </w:tc>
        <w:tc>
          <w:tcPr>
            <w:tcW w:type="dxa" w:w="2600"/>
            <w:tcMar>
              <w:top w:type="dxa" w:w="70"/>
              <w:left w:type="dxa" w:w="90"/>
              <w:bottom w:type="dxa" w:w="70"/>
              <w:right w:type="dxa" w:w="90"/>
            </w:tcMar>
          </w:tcPr>
          <w:p>
            <w:r>
              <w:rPr>
                <w:b w:val="false"/>
                <w:bCs w:val="false"/>
                <w:color w:val="000000"/>
                <w:sz w:val="19"/>
                <w:szCs w:val="19"/>
              </w:rPr>
              <w:t xml:space="preserve">Registered sale deed executed in favor of plaintiff</w:t>
            </w:r>
          </w:p>
        </w:tc>
        <w:tc>
          <w:tcPr>
            <w:tcW w:type="dxa" w:w="5800"/>
            <w:tcMar>
              <w:top w:type="dxa" w:w="70"/>
              <w:left w:type="dxa" w:w="90"/>
              <w:bottom w:type="dxa" w:w="70"/>
              <w:right w:type="dxa" w:w="90"/>
            </w:tcMar>
          </w:tcPr>
          <w:p>
            <w:r>
              <w:rPr>
                <w:b w:val="false"/>
                <w:bCs w:val="false"/>
                <w:color w:val="000000"/>
                <w:sz w:val="19"/>
                <w:szCs w:val="19"/>
              </w:rPr>
              <w:t xml:space="preserve">Document No. 2214/1998; covers entire Survey No. 118/2A</w:t>
            </w:r>
          </w:p>
        </w:tc>
      </w:tr>
      <w:tr>
        <w:tc>
          <w:tcPr>
            <w:tcW w:type="dxa" w:w="1500"/>
            <w:tcMar>
              <w:top w:type="dxa" w:w="70"/>
              <w:left w:type="dxa" w:w="90"/>
              <w:bottom w:type="dxa" w:w="70"/>
              <w:right w:type="dxa" w:w="90"/>
            </w:tcMar>
          </w:tcPr>
          <w:p>
            <w:r>
              <w:rPr>
                <w:b w:val="false"/>
                <w:bCs w:val="false"/>
                <w:color w:val="000000"/>
                <w:sz w:val="19"/>
                <w:szCs w:val="19"/>
              </w:rPr>
              <w:t xml:space="preserve">3 Aug 2021</w:t>
            </w:r>
          </w:p>
        </w:tc>
        <w:tc>
          <w:tcPr>
            <w:tcW w:type="dxa" w:w="2600"/>
            <w:tcMar>
              <w:top w:type="dxa" w:w="70"/>
              <w:left w:type="dxa" w:w="90"/>
              <w:bottom w:type="dxa" w:w="70"/>
              <w:right w:type="dxa" w:w="90"/>
            </w:tcMar>
          </w:tcPr>
          <w:p>
            <w:r>
              <w:rPr>
                <w:b w:val="false"/>
                <w:bCs w:val="false"/>
                <w:color w:val="000000"/>
                <w:sz w:val="19"/>
                <w:szCs w:val="19"/>
              </w:rPr>
              <w:t xml:space="preserve">Defendant's sale deed executed</w:t>
            </w:r>
          </w:p>
        </w:tc>
        <w:tc>
          <w:tcPr>
            <w:tcW w:type="dxa" w:w="5800"/>
            <w:tcMar>
              <w:top w:type="dxa" w:w="70"/>
              <w:left w:type="dxa" w:w="90"/>
              <w:bottom w:type="dxa" w:w="70"/>
              <w:right w:type="dxa" w:w="90"/>
            </w:tcMar>
          </w:tcPr>
          <w:p>
            <w:r>
              <w:rPr>
                <w:b w:val="false"/>
                <w:bCs w:val="false"/>
                <w:color w:val="000000"/>
                <w:sz w:val="19"/>
                <w:szCs w:val="19"/>
              </w:rPr>
              <w:t xml:space="preserve">Covers approx. 150 sq. yards of the same survey number</w:t>
            </w:r>
          </w:p>
        </w:tc>
      </w:tr>
      <w:tr>
        <w:tc>
          <w:tcPr>
            <w:tcW w:type="dxa" w:w="1500"/>
            <w:tcMar>
              <w:top w:type="dxa" w:w="70"/>
              <w:left w:type="dxa" w:w="90"/>
              <w:bottom w:type="dxa" w:w="70"/>
              <w:right w:type="dxa" w:w="90"/>
            </w:tcMar>
          </w:tcPr>
          <w:p>
            <w:r>
              <w:rPr>
                <w:b w:val="false"/>
                <w:bCs w:val="false"/>
                <w:color w:val="000000"/>
                <w:sz w:val="19"/>
                <w:szCs w:val="19"/>
              </w:rPr>
              <w:t xml:space="preserve">14 Aug 2023</w:t>
            </w:r>
          </w:p>
        </w:tc>
        <w:tc>
          <w:tcPr>
            <w:tcW w:type="dxa" w:w="2600"/>
            <w:tcMar>
              <w:top w:type="dxa" w:w="70"/>
              <w:left w:type="dxa" w:w="90"/>
              <w:bottom w:type="dxa" w:w="70"/>
              <w:right w:type="dxa" w:w="90"/>
            </w:tcMar>
          </w:tcPr>
          <w:p>
            <w:r>
              <w:rPr>
                <w:b w:val="false"/>
                <w:bCs w:val="false"/>
                <w:color w:val="000000"/>
                <w:sz w:val="19"/>
                <w:szCs w:val="19"/>
              </w:rPr>
              <w:t xml:space="preserve">Defendant commences compound wall construction</w:t>
            </w:r>
          </w:p>
        </w:tc>
        <w:tc>
          <w:tcPr>
            <w:tcW w:type="dxa" w:w="5800"/>
            <w:tcMar>
              <w:top w:type="dxa" w:w="70"/>
              <w:left w:type="dxa" w:w="90"/>
              <w:bottom w:type="dxa" w:w="70"/>
              <w:right w:type="dxa" w:w="90"/>
            </w:tcMar>
          </w:tcPr>
          <w:p>
            <w:r>
              <w:rPr>
                <w:b w:val="false"/>
                <w:bCs w:val="false"/>
                <w:color w:val="000000"/>
                <w:sz w:val="19"/>
                <w:szCs w:val="19"/>
              </w:rPr>
              <w:t xml:space="preserve">Triggers dispute and urgent legal notice from plaintiff</w:t>
            </w:r>
          </w:p>
        </w:tc>
      </w:tr>
      <w:tr>
        <w:tc>
          <w:tcPr>
            <w:tcW w:type="dxa" w:w="1500"/>
            <w:tcMar>
              <w:top w:type="dxa" w:w="70"/>
              <w:left w:type="dxa" w:w="90"/>
              <w:bottom w:type="dxa" w:w="70"/>
              <w:right w:type="dxa" w:w="90"/>
            </w:tcMar>
          </w:tcPr>
          <w:p>
            <w:r>
              <w:rPr>
                <w:b w:val="false"/>
                <w:bCs w:val="false"/>
                <w:color w:val="000000"/>
                <w:sz w:val="19"/>
                <w:szCs w:val="19"/>
              </w:rPr>
              <w:t xml:space="preserve">22 Aug 2023</w:t>
            </w:r>
          </w:p>
        </w:tc>
        <w:tc>
          <w:tcPr>
            <w:tcW w:type="dxa" w:w="2600"/>
            <w:tcMar>
              <w:top w:type="dxa" w:w="70"/>
              <w:left w:type="dxa" w:w="90"/>
              <w:bottom w:type="dxa" w:w="70"/>
              <w:right w:type="dxa" w:w="90"/>
            </w:tcMar>
          </w:tcPr>
          <w:p>
            <w:r>
              <w:rPr>
                <w:b w:val="false"/>
                <w:bCs w:val="false"/>
                <w:color w:val="000000"/>
                <w:sz w:val="19"/>
                <w:szCs w:val="19"/>
              </w:rPr>
              <w:t xml:space="preserve">Suit filed with application for temporary injunction</w:t>
            </w:r>
          </w:p>
        </w:tc>
        <w:tc>
          <w:tcPr>
            <w:tcW w:type="dxa" w:w="5800"/>
            <w:tcMar>
              <w:top w:type="dxa" w:w="70"/>
              <w:left w:type="dxa" w:w="90"/>
              <w:bottom w:type="dxa" w:w="70"/>
              <w:right w:type="dxa" w:w="90"/>
            </w:tcMar>
          </w:tcPr>
          <w:p>
            <w:r>
              <w:rPr>
                <w:b w:val="false"/>
                <w:bCs w:val="false"/>
                <w:color w:val="000000"/>
                <w:sz w:val="19"/>
                <w:szCs w:val="19"/>
              </w:rPr>
              <w:t xml:space="preserve">Ad-interim injunction granted restraining further construction</w:t>
            </w:r>
          </w:p>
        </w:tc>
      </w:tr>
      <w:tr>
        <w:tc>
          <w:tcPr>
            <w:tcW w:type="dxa" w:w="1500"/>
            <w:tcMar>
              <w:top w:type="dxa" w:w="70"/>
              <w:left w:type="dxa" w:w="90"/>
              <w:bottom w:type="dxa" w:w="70"/>
              <w:right w:type="dxa" w:w="90"/>
            </w:tcMar>
          </w:tcPr>
          <w:p>
            <w:r>
              <w:rPr>
                <w:b w:val="false"/>
                <w:bCs w:val="false"/>
                <w:color w:val="000000"/>
                <w:sz w:val="19"/>
                <w:szCs w:val="19"/>
              </w:rPr>
              <w:t xml:space="preserve">5 Sep 2023</w:t>
            </w:r>
          </w:p>
        </w:tc>
        <w:tc>
          <w:tcPr>
            <w:tcW w:type="dxa" w:w="2600"/>
            <w:tcMar>
              <w:top w:type="dxa" w:w="70"/>
              <w:left w:type="dxa" w:w="90"/>
              <w:bottom w:type="dxa" w:w="70"/>
              <w:right w:type="dxa" w:w="90"/>
            </w:tcMar>
          </w:tcPr>
          <w:p>
            <w:r>
              <w:rPr>
                <w:b w:val="false"/>
                <w:bCs w:val="false"/>
                <w:color w:val="000000"/>
                <w:sz w:val="19"/>
                <w:szCs w:val="19"/>
              </w:rPr>
              <w:t xml:space="preserve">Defendant's counter-affidavit filed</w:t>
            </w:r>
          </w:p>
        </w:tc>
        <w:tc>
          <w:tcPr>
            <w:tcW w:type="dxa" w:w="5800"/>
            <w:tcMar>
              <w:top w:type="dxa" w:w="70"/>
              <w:left w:type="dxa" w:w="90"/>
              <w:bottom w:type="dxa" w:w="70"/>
              <w:right w:type="dxa" w:w="90"/>
            </w:tcMar>
          </w:tcPr>
          <w:p>
            <w:r>
              <w:rPr>
                <w:b w:val="false"/>
                <w:bCs w:val="false"/>
                <w:color w:val="000000"/>
                <w:sz w:val="19"/>
                <w:szCs w:val="19"/>
              </w:rPr>
              <w:t xml:space="preserve">Disputes plaintiff's title and seeks vacation of interim injunction</w:t>
            </w:r>
          </w:p>
        </w:tc>
      </w:tr>
      <w:tr>
        <w:tc>
          <w:tcPr>
            <w:tcW w:type="dxa" w:w="1500"/>
            <w:tcMar>
              <w:top w:type="dxa" w:w="70"/>
              <w:left w:type="dxa" w:w="90"/>
              <w:bottom w:type="dxa" w:w="70"/>
              <w:right w:type="dxa" w:w="90"/>
            </w:tcMar>
          </w:tcPr>
          <w:p>
            <w:r>
              <w:rPr>
                <w:b w:val="false"/>
                <w:bCs w:val="false"/>
                <w:color w:val="000000"/>
                <w:sz w:val="19"/>
                <w:szCs w:val="19"/>
              </w:rPr>
              <w:t xml:space="preserve">19 Oct 2023</w:t>
            </w:r>
          </w:p>
        </w:tc>
        <w:tc>
          <w:tcPr>
            <w:tcW w:type="dxa" w:w="2600"/>
            <w:tcMar>
              <w:top w:type="dxa" w:w="70"/>
              <w:left w:type="dxa" w:w="90"/>
              <w:bottom w:type="dxa" w:w="70"/>
              <w:right w:type="dxa" w:w="90"/>
            </w:tcMar>
          </w:tcPr>
          <w:p>
            <w:r>
              <w:rPr>
                <w:b w:val="false"/>
                <w:bCs w:val="false"/>
                <w:color w:val="000000"/>
                <w:sz w:val="19"/>
                <w:szCs w:val="19"/>
              </w:rPr>
              <w:t xml:space="preserve">Temporary injunction confirmed after hearing</w:t>
            </w:r>
          </w:p>
        </w:tc>
        <w:tc>
          <w:tcPr>
            <w:tcW w:type="dxa" w:w="5800"/>
            <w:tcMar>
              <w:top w:type="dxa" w:w="70"/>
              <w:left w:type="dxa" w:w="90"/>
              <w:bottom w:type="dxa" w:w="70"/>
              <w:right w:type="dxa" w:w="90"/>
            </w:tcMar>
          </w:tcPr>
          <w:p>
            <w:r>
              <w:rPr>
                <w:b w:val="false"/>
                <w:bCs w:val="false"/>
                <w:color w:val="000000"/>
                <w:sz w:val="19"/>
                <w:szCs w:val="19"/>
              </w:rPr>
              <w:t xml:space="preserve">Status quo on disputed 150 sq. yards to be maintained pending trial</w:t>
            </w:r>
          </w:p>
        </w:tc>
      </w:tr>
      <w:tr>
        <w:tc>
          <w:tcPr>
            <w:tcW w:type="dxa" w:w="1500"/>
            <w:tcMar>
              <w:top w:type="dxa" w:w="70"/>
              <w:left w:type="dxa" w:w="90"/>
              <w:bottom w:type="dxa" w:w="70"/>
              <w:right w:type="dxa" w:w="90"/>
            </w:tcMar>
          </w:tcPr>
          <w:p>
            <w:r>
              <w:rPr>
                <w:b w:val="false"/>
                <w:bCs w:val="false"/>
                <w:color w:val="000000"/>
                <w:sz w:val="19"/>
                <w:szCs w:val="19"/>
              </w:rPr>
              <w:t xml:space="preserve">30 Nov 2023</w:t>
            </w:r>
          </w:p>
        </w:tc>
        <w:tc>
          <w:tcPr>
            <w:tcW w:type="dxa" w:w="2600"/>
            <w:tcMar>
              <w:top w:type="dxa" w:w="70"/>
              <w:left w:type="dxa" w:w="90"/>
              <w:bottom w:type="dxa" w:w="70"/>
              <w:right w:type="dxa" w:w="90"/>
            </w:tcMar>
          </w:tcPr>
          <w:p>
            <w:r>
              <w:rPr>
                <w:b w:val="false"/>
                <w:bCs w:val="false"/>
                <w:color w:val="000000"/>
                <w:sz w:val="19"/>
                <w:szCs w:val="19"/>
              </w:rPr>
              <w:t xml:space="preserve">Written statement filed by defendant</w:t>
            </w:r>
          </w:p>
        </w:tc>
        <w:tc>
          <w:tcPr>
            <w:tcW w:type="dxa" w:w="5800"/>
            <w:tcMar>
              <w:top w:type="dxa" w:w="70"/>
              <w:left w:type="dxa" w:w="90"/>
              <w:bottom w:type="dxa" w:w="70"/>
              <w:right w:type="dxa" w:w="90"/>
            </w:tcMar>
          </w:tcPr>
          <w:p>
            <w:r>
              <w:rPr>
                <w:b w:val="false"/>
                <w:bCs w:val="false"/>
                <w:color w:val="000000"/>
                <w:sz w:val="19"/>
                <w:szCs w:val="19"/>
              </w:rPr>
              <w:t xml:space="preserve">Traces title through alleged legal heir vendor</w:t>
            </w:r>
          </w:p>
        </w:tc>
      </w:tr>
      <w:tr>
        <w:tc>
          <w:tcPr>
            <w:tcW w:type="dxa" w:w="1500"/>
            <w:tcMar>
              <w:top w:type="dxa" w:w="70"/>
              <w:left w:type="dxa" w:w="90"/>
              <w:bottom w:type="dxa" w:w="70"/>
              <w:right w:type="dxa" w:w="90"/>
            </w:tcMar>
          </w:tcPr>
          <w:p>
            <w:r>
              <w:rPr>
                <w:b w:val="false"/>
                <w:bCs w:val="false"/>
                <w:color w:val="000000"/>
                <w:sz w:val="19"/>
                <w:szCs w:val="19"/>
              </w:rPr>
              <w:t xml:space="preserve">15 Jan 2024</w:t>
            </w:r>
          </w:p>
        </w:tc>
        <w:tc>
          <w:tcPr>
            <w:tcW w:type="dxa" w:w="2600"/>
            <w:tcMar>
              <w:top w:type="dxa" w:w="70"/>
              <w:left w:type="dxa" w:w="90"/>
              <w:bottom w:type="dxa" w:w="70"/>
              <w:right w:type="dxa" w:w="90"/>
            </w:tcMar>
          </w:tcPr>
          <w:p>
            <w:r>
              <w:rPr>
                <w:b w:val="false"/>
                <w:bCs w:val="false"/>
                <w:color w:val="000000"/>
                <w:sz w:val="19"/>
                <w:szCs w:val="19"/>
              </w:rPr>
              <w:t xml:space="preserve">Issues framed</w:t>
            </w:r>
          </w:p>
        </w:tc>
        <w:tc>
          <w:tcPr>
            <w:tcW w:type="dxa" w:w="5800"/>
            <w:tcMar>
              <w:top w:type="dxa" w:w="70"/>
              <w:left w:type="dxa" w:w="90"/>
              <w:bottom w:type="dxa" w:w="70"/>
              <w:right w:type="dxa" w:w="90"/>
            </w:tcMar>
          </w:tcPr>
          <w:p>
            <w:r>
              <w:rPr>
                <w:b w:val="false"/>
                <w:bCs w:val="false"/>
                <w:color w:val="000000"/>
                <w:sz w:val="19"/>
                <w:szCs w:val="19"/>
              </w:rPr>
              <w:t xml:space="preserve">Six issues framed, including validity of defendant's vendor's title</w:t>
            </w:r>
          </w:p>
        </w:tc>
      </w:tr>
      <w:tr>
        <w:tc>
          <w:tcPr>
            <w:tcW w:type="dxa" w:w="1500"/>
            <w:tcMar>
              <w:top w:type="dxa" w:w="70"/>
              <w:left w:type="dxa" w:w="90"/>
              <w:bottom w:type="dxa" w:w="70"/>
              <w:right w:type="dxa" w:w="90"/>
            </w:tcMar>
          </w:tcPr>
          <w:p>
            <w:r>
              <w:rPr>
                <w:b w:val="false"/>
                <w:bCs w:val="false"/>
                <w:color w:val="000000"/>
                <w:sz w:val="19"/>
                <w:szCs w:val="19"/>
              </w:rPr>
              <w:t xml:space="preserve">8 Apr 2024</w:t>
            </w:r>
          </w:p>
        </w:tc>
        <w:tc>
          <w:tcPr>
            <w:tcW w:type="dxa" w:w="2600"/>
            <w:tcMar>
              <w:top w:type="dxa" w:w="70"/>
              <w:left w:type="dxa" w:w="90"/>
              <w:bottom w:type="dxa" w:w="70"/>
              <w:right w:type="dxa" w:w="90"/>
            </w:tcMar>
          </w:tcPr>
          <w:p>
            <w:r>
              <w:rPr>
                <w:b w:val="false"/>
                <w:bCs w:val="false"/>
                <w:color w:val="000000"/>
                <w:sz w:val="19"/>
                <w:szCs w:val="19"/>
              </w:rPr>
              <w:t xml:space="preserve">Court appoints Survey Commissioner</w:t>
            </w:r>
          </w:p>
        </w:tc>
        <w:tc>
          <w:tcPr>
            <w:tcW w:type="dxa" w:w="5800"/>
            <w:tcMar>
              <w:top w:type="dxa" w:w="70"/>
              <w:left w:type="dxa" w:w="90"/>
              <w:bottom w:type="dxa" w:w="70"/>
              <w:right w:type="dxa" w:w="90"/>
            </w:tcMar>
          </w:tcPr>
          <w:p>
            <w:r>
              <w:rPr>
                <w:b w:val="false"/>
                <w:bCs w:val="false"/>
                <w:color w:val="000000"/>
                <w:sz w:val="19"/>
                <w:szCs w:val="19"/>
              </w:rPr>
              <w:t xml:space="preserve">To demarcate boundaries and verify overlap between the two sale deeds</w:t>
            </w:r>
          </w:p>
        </w:tc>
      </w:tr>
      <w:tr>
        <w:tc>
          <w:tcPr>
            <w:tcW w:type="dxa" w:w="1500"/>
            <w:tcMar>
              <w:top w:type="dxa" w:w="70"/>
              <w:left w:type="dxa" w:w="90"/>
              <w:bottom w:type="dxa" w:w="70"/>
              <w:right w:type="dxa" w:w="90"/>
            </w:tcMar>
          </w:tcPr>
          <w:p>
            <w:r>
              <w:rPr>
                <w:b w:val="false"/>
                <w:bCs w:val="false"/>
                <w:color w:val="000000"/>
                <w:sz w:val="19"/>
                <w:szCs w:val="19"/>
              </w:rPr>
              <w:t xml:space="preserve">26 Aug 2024</w:t>
            </w:r>
          </w:p>
        </w:tc>
        <w:tc>
          <w:tcPr>
            <w:tcW w:type="dxa" w:w="2600"/>
            <w:tcMar>
              <w:top w:type="dxa" w:w="70"/>
              <w:left w:type="dxa" w:w="90"/>
              <w:bottom w:type="dxa" w:w="70"/>
              <w:right w:type="dxa" w:w="90"/>
            </w:tcMar>
          </w:tcPr>
          <w:p>
            <w:r>
              <w:rPr>
                <w:b w:val="false"/>
                <w:bCs w:val="false"/>
                <w:color w:val="000000"/>
                <w:sz w:val="19"/>
                <w:szCs w:val="19"/>
              </w:rPr>
              <w:t xml:space="preserve">Survey Commissioner's report filed</w:t>
            </w:r>
          </w:p>
        </w:tc>
        <w:tc>
          <w:tcPr>
            <w:tcW w:type="dxa" w:w="5800"/>
            <w:tcMar>
              <w:top w:type="dxa" w:w="70"/>
              <w:left w:type="dxa" w:w="90"/>
              <w:bottom w:type="dxa" w:w="70"/>
              <w:right w:type="dxa" w:w="90"/>
            </w:tcMar>
          </w:tcPr>
          <w:p>
            <w:r>
              <w:rPr>
                <w:b w:val="false"/>
                <w:bCs w:val="false"/>
                <w:color w:val="000000"/>
                <w:sz w:val="19"/>
                <w:szCs w:val="19"/>
              </w:rPr>
              <w:t xml:space="preserve">Confirms disputed 150 sq. yards falls entirely within plaintiff's 1998 deed boundaries</w:t>
            </w:r>
          </w:p>
        </w:tc>
      </w:tr>
      <w:tr>
        <w:tc>
          <w:tcPr>
            <w:tcW w:type="dxa" w:w="1500"/>
            <w:tcMar>
              <w:top w:type="dxa" w:w="70"/>
              <w:left w:type="dxa" w:w="90"/>
              <w:bottom w:type="dxa" w:w="70"/>
              <w:right w:type="dxa" w:w="90"/>
            </w:tcMar>
          </w:tcPr>
          <w:p>
            <w:r>
              <w:rPr>
                <w:b w:val="false"/>
                <w:bCs w:val="false"/>
                <w:color w:val="000000"/>
                <w:sz w:val="19"/>
                <w:szCs w:val="19"/>
              </w:rPr>
              <w:t xml:space="preserve">11 Feb 2025</w:t>
            </w:r>
          </w:p>
        </w:tc>
        <w:tc>
          <w:tcPr>
            <w:tcW w:type="dxa" w:w="2600"/>
            <w:tcMar>
              <w:top w:type="dxa" w:w="70"/>
              <w:left w:type="dxa" w:w="90"/>
              <w:bottom w:type="dxa" w:w="70"/>
              <w:right w:type="dxa" w:w="90"/>
            </w:tcMar>
          </w:tcPr>
          <w:p>
            <w:r>
              <w:rPr>
                <w:b w:val="false"/>
                <w:bCs w:val="false"/>
                <w:color w:val="000000"/>
                <w:sz w:val="19"/>
                <w:szCs w:val="19"/>
              </w:rPr>
              <w:t xml:space="preserve">Defendant files objections to Survey Commissioner's report</w:t>
            </w:r>
          </w:p>
        </w:tc>
        <w:tc>
          <w:tcPr>
            <w:tcW w:type="dxa" w:w="5800"/>
            <w:tcMar>
              <w:top w:type="dxa" w:w="70"/>
              <w:left w:type="dxa" w:w="90"/>
              <w:bottom w:type="dxa" w:w="70"/>
              <w:right w:type="dxa" w:w="90"/>
            </w:tcMar>
          </w:tcPr>
          <w:p>
            <w:r>
              <w:rPr>
                <w:b w:val="false"/>
                <w:bCs w:val="false"/>
                <w:color w:val="000000"/>
                <w:sz w:val="19"/>
                <w:szCs w:val="19"/>
              </w:rPr>
              <w:t xml:space="preserve">Objections currently pending consideration</w:t>
            </w:r>
          </w:p>
        </w:tc>
      </w:tr>
    </w:tbl>
    <w:p>
      <w:pPr>
        <w:pStyle w:val="Heading1"/>
        <w:spacing w:after="120" w:before="240"/>
      </w:pPr>
      <w:r>
        <w:t xml:space="preserve">4.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3E5C2E" w:color="auto" w:val="clear"/>
            <w:tcMar>
              <w:top w:type="dxa" w:w="70"/>
              <w:left w:type="dxa" w:w="90"/>
              <w:bottom w:type="dxa" w:w="70"/>
              <w:right w:type="dxa" w:w="90"/>
            </w:tcMar>
          </w:tcPr>
          <w:p>
            <w:r>
              <w:rPr>
                <w:b/>
                <w:bCs/>
                <w:color w:val="FFFFFF"/>
                <w:sz w:val="19"/>
                <w:szCs w:val="19"/>
              </w:rPr>
              <w:t xml:space="preserve">Exhibit No.</w:t>
            </w:r>
          </w:p>
        </w:tc>
        <w:tc>
          <w:tcPr>
            <w:tcW w:type="dxa" w:w="3600"/>
            <w:shd w:fill="3E5C2E" w:color="auto" w:val="clear"/>
            <w:tcMar>
              <w:top w:type="dxa" w:w="70"/>
              <w:left w:type="dxa" w:w="90"/>
              <w:bottom w:type="dxa" w:w="70"/>
              <w:right w:type="dxa" w:w="90"/>
            </w:tcMar>
          </w:tcPr>
          <w:p>
            <w:r>
              <w:rPr>
                <w:b/>
                <w:bCs/>
                <w:color w:val="FFFFFF"/>
                <w:sz w:val="19"/>
                <w:szCs w:val="19"/>
              </w:rPr>
              <w:t xml:space="preserve">Description</w:t>
            </w:r>
          </w:p>
        </w:tc>
        <w:tc>
          <w:tcPr>
            <w:tcW w:type="dxa" w:w="4800"/>
            <w:shd w:fill="3E5C2E" w:color="auto" w:val="clear"/>
            <w:tcMar>
              <w:top w:type="dxa" w:w="70"/>
              <w:left w:type="dxa" w:w="90"/>
              <w:bottom w:type="dxa" w:w="70"/>
              <w:right w:type="dxa" w:w="90"/>
            </w:tcMar>
          </w:tcPr>
          <w:p>
            <w:r>
              <w:rPr>
                <w:b/>
                <w:bCs/>
                <w:color w:val="FFFFFF"/>
                <w:sz w:val="19"/>
                <w:szCs w:val="19"/>
              </w:rPr>
              <w:t xml:space="preserve">Relevance</w:t>
            </w:r>
          </w:p>
        </w:tc>
      </w:tr>
      <w:tr>
        <w:tc>
          <w:tcPr>
            <w:tcW w:type="dxa" w:w="1400"/>
            <w:tcMar>
              <w:top w:type="dxa" w:w="70"/>
              <w:left w:type="dxa" w:w="90"/>
              <w:bottom w:type="dxa" w:w="70"/>
              <w:right w:type="dxa" w:w="90"/>
            </w:tcMar>
          </w:tcPr>
          <w:p>
            <w:r>
              <w:rPr>
                <w:b w:val="false"/>
                <w:bCs w:val="false"/>
                <w:color w:val="000000"/>
                <w:sz w:val="19"/>
                <w:szCs w:val="19"/>
              </w:rPr>
              <w:t xml:space="preserve">Ex. A1</w:t>
            </w:r>
          </w:p>
        </w:tc>
        <w:tc>
          <w:tcPr>
            <w:tcW w:type="dxa" w:w="3600"/>
            <w:tcMar>
              <w:top w:type="dxa" w:w="70"/>
              <w:left w:type="dxa" w:w="90"/>
              <w:bottom w:type="dxa" w:w="70"/>
              <w:right w:type="dxa" w:w="90"/>
            </w:tcMar>
          </w:tcPr>
          <w:p>
            <w:r>
              <w:rPr>
                <w:b w:val="false"/>
                <w:bCs w:val="false"/>
                <w:color w:val="000000"/>
                <w:sz w:val="19"/>
                <w:szCs w:val="19"/>
              </w:rPr>
              <w:t xml:space="preserve">Registered sale deed dated 9 Jun 1998 (Doc No. 2214/1998)</w:t>
            </w:r>
          </w:p>
        </w:tc>
        <w:tc>
          <w:tcPr>
            <w:tcW w:type="dxa" w:w="4800"/>
            <w:tcMar>
              <w:top w:type="dxa" w:w="70"/>
              <w:left w:type="dxa" w:w="90"/>
              <w:bottom w:type="dxa" w:w="70"/>
              <w:right w:type="dxa" w:w="90"/>
            </w:tcMar>
          </w:tcPr>
          <w:p>
            <w:r>
              <w:rPr>
                <w:b w:val="false"/>
                <w:bCs w:val="false"/>
                <w:color w:val="000000"/>
                <w:sz w:val="19"/>
                <w:szCs w:val="19"/>
              </w:rPr>
              <w:t xml:space="preserve">Root of plaintiff's title over the entire survey number</w:t>
            </w:r>
          </w:p>
        </w:tc>
      </w:tr>
      <w:tr>
        <w:tc>
          <w:tcPr>
            <w:tcW w:type="dxa" w:w="1400"/>
            <w:tcMar>
              <w:top w:type="dxa" w:w="70"/>
              <w:left w:type="dxa" w:w="90"/>
              <w:bottom w:type="dxa" w:w="70"/>
              <w:right w:type="dxa" w:w="90"/>
            </w:tcMar>
          </w:tcPr>
          <w:p>
            <w:r>
              <w:rPr>
                <w:b w:val="false"/>
                <w:bCs w:val="false"/>
                <w:color w:val="000000"/>
                <w:sz w:val="19"/>
                <w:szCs w:val="19"/>
              </w:rPr>
              <w:t xml:space="preserve">Ex. A2</w:t>
            </w:r>
          </w:p>
        </w:tc>
        <w:tc>
          <w:tcPr>
            <w:tcW w:type="dxa" w:w="3600"/>
            <w:tcMar>
              <w:top w:type="dxa" w:w="70"/>
              <w:left w:type="dxa" w:w="90"/>
              <w:bottom w:type="dxa" w:w="70"/>
              <w:right w:type="dxa" w:w="90"/>
            </w:tcMar>
          </w:tcPr>
          <w:p>
            <w:r>
              <w:rPr>
                <w:b w:val="false"/>
                <w:bCs w:val="false"/>
                <w:color w:val="000000"/>
                <w:sz w:val="19"/>
                <w:szCs w:val="19"/>
              </w:rPr>
              <w:t xml:space="preserve">Pattadar passbook and mutation extracts in plaintiff's name</w:t>
            </w:r>
          </w:p>
        </w:tc>
        <w:tc>
          <w:tcPr>
            <w:tcW w:type="dxa" w:w="4800"/>
            <w:tcMar>
              <w:top w:type="dxa" w:w="70"/>
              <w:left w:type="dxa" w:w="90"/>
              <w:bottom w:type="dxa" w:w="70"/>
              <w:right w:type="dxa" w:w="90"/>
            </w:tcMar>
          </w:tcPr>
          <w:p>
            <w:r>
              <w:rPr>
                <w:b w:val="false"/>
                <w:bCs w:val="false"/>
                <w:color w:val="000000"/>
                <w:sz w:val="19"/>
                <w:szCs w:val="19"/>
              </w:rPr>
              <w:t xml:space="preserve">Corroborates continuous possession and revenue recognition</w:t>
            </w:r>
          </w:p>
        </w:tc>
      </w:tr>
      <w:tr>
        <w:tc>
          <w:tcPr>
            <w:tcW w:type="dxa" w:w="1400"/>
            <w:tcMar>
              <w:top w:type="dxa" w:w="70"/>
              <w:left w:type="dxa" w:w="90"/>
              <w:bottom w:type="dxa" w:w="70"/>
              <w:right w:type="dxa" w:w="90"/>
            </w:tcMar>
          </w:tcPr>
          <w:p>
            <w:r>
              <w:rPr>
                <w:b w:val="false"/>
                <w:bCs w:val="false"/>
                <w:color w:val="000000"/>
                <w:sz w:val="19"/>
                <w:szCs w:val="19"/>
              </w:rPr>
              <w:t xml:space="preserve">Ex. A3</w:t>
            </w:r>
          </w:p>
        </w:tc>
        <w:tc>
          <w:tcPr>
            <w:tcW w:type="dxa" w:w="3600"/>
            <w:tcMar>
              <w:top w:type="dxa" w:w="70"/>
              <w:left w:type="dxa" w:w="90"/>
              <w:bottom w:type="dxa" w:w="70"/>
              <w:right w:type="dxa" w:w="90"/>
            </w:tcMar>
          </w:tcPr>
          <w:p>
            <w:r>
              <w:rPr>
                <w:b w:val="false"/>
                <w:bCs w:val="false"/>
                <w:color w:val="000000"/>
                <w:sz w:val="19"/>
                <w:szCs w:val="19"/>
              </w:rPr>
              <w:t xml:space="preserve">Property tax receipts, 1999–2023</w:t>
            </w:r>
          </w:p>
        </w:tc>
        <w:tc>
          <w:tcPr>
            <w:tcW w:type="dxa" w:w="4800"/>
            <w:tcMar>
              <w:top w:type="dxa" w:w="70"/>
              <w:left w:type="dxa" w:w="90"/>
              <w:bottom w:type="dxa" w:w="70"/>
              <w:right w:type="dxa" w:w="90"/>
            </w:tcMar>
          </w:tcPr>
          <w:p>
            <w:r>
              <w:rPr>
                <w:b w:val="false"/>
                <w:bCs w:val="false"/>
                <w:color w:val="000000"/>
                <w:sz w:val="19"/>
                <w:szCs w:val="19"/>
              </w:rPr>
              <w:t xml:space="preserve">Evidence of continuous possession and payment of dues by plaintiff</w:t>
            </w:r>
          </w:p>
        </w:tc>
      </w:tr>
      <w:tr>
        <w:tc>
          <w:tcPr>
            <w:tcW w:type="dxa" w:w="1400"/>
            <w:tcMar>
              <w:top w:type="dxa" w:w="70"/>
              <w:left w:type="dxa" w:w="90"/>
              <w:bottom w:type="dxa" w:w="70"/>
              <w:right w:type="dxa" w:w="90"/>
            </w:tcMar>
          </w:tcPr>
          <w:p>
            <w:r>
              <w:rPr>
                <w:b w:val="false"/>
                <w:bCs w:val="false"/>
                <w:color w:val="000000"/>
                <w:sz w:val="19"/>
                <w:szCs w:val="19"/>
              </w:rPr>
              <w:t xml:space="preserve">Ex. B1</w:t>
            </w:r>
          </w:p>
        </w:tc>
        <w:tc>
          <w:tcPr>
            <w:tcW w:type="dxa" w:w="3600"/>
            <w:tcMar>
              <w:top w:type="dxa" w:w="70"/>
              <w:left w:type="dxa" w:w="90"/>
              <w:bottom w:type="dxa" w:w="70"/>
              <w:right w:type="dxa" w:w="90"/>
            </w:tcMar>
          </w:tcPr>
          <w:p>
            <w:r>
              <w:rPr>
                <w:b w:val="false"/>
                <w:bCs w:val="false"/>
                <w:color w:val="000000"/>
                <w:sz w:val="19"/>
                <w:szCs w:val="19"/>
              </w:rPr>
              <w:t xml:space="preserve">Defendant's sale deed dated 3 Aug 2021</w:t>
            </w:r>
          </w:p>
        </w:tc>
        <w:tc>
          <w:tcPr>
            <w:tcW w:type="dxa" w:w="4800"/>
            <w:tcMar>
              <w:top w:type="dxa" w:w="70"/>
              <w:left w:type="dxa" w:w="90"/>
              <w:bottom w:type="dxa" w:w="70"/>
              <w:right w:type="dxa" w:w="90"/>
            </w:tcMar>
          </w:tcPr>
          <w:p>
            <w:r>
              <w:rPr>
                <w:b w:val="false"/>
                <w:bCs w:val="false"/>
                <w:color w:val="000000"/>
                <w:sz w:val="19"/>
                <w:szCs w:val="19"/>
              </w:rPr>
              <w:t xml:space="preserve">Basis of defendant's claimed title; validity disputed</w:t>
            </w:r>
          </w:p>
        </w:tc>
      </w:tr>
      <w:tr>
        <w:tc>
          <w:tcPr>
            <w:tcW w:type="dxa" w:w="1400"/>
            <w:tcMar>
              <w:top w:type="dxa" w:w="70"/>
              <w:left w:type="dxa" w:w="90"/>
              <w:bottom w:type="dxa" w:w="70"/>
              <w:right w:type="dxa" w:w="90"/>
            </w:tcMar>
          </w:tcPr>
          <w:p>
            <w:r>
              <w:rPr>
                <w:b w:val="false"/>
                <w:bCs w:val="false"/>
                <w:color w:val="000000"/>
                <w:sz w:val="19"/>
                <w:szCs w:val="19"/>
              </w:rPr>
              <w:t xml:space="preserve">Ex. C1</w:t>
            </w:r>
          </w:p>
        </w:tc>
        <w:tc>
          <w:tcPr>
            <w:tcW w:type="dxa" w:w="3600"/>
            <w:tcMar>
              <w:top w:type="dxa" w:w="70"/>
              <w:left w:type="dxa" w:w="90"/>
              <w:bottom w:type="dxa" w:w="70"/>
              <w:right w:type="dxa" w:w="90"/>
            </w:tcMar>
          </w:tcPr>
          <w:p>
            <w:r>
              <w:rPr>
                <w:b w:val="false"/>
                <w:bCs w:val="false"/>
                <w:color w:val="000000"/>
                <w:sz w:val="19"/>
                <w:szCs w:val="19"/>
              </w:rPr>
              <w:t xml:space="preserve">Survey Commissioner's report dated 26 Aug 2024, with sketch map</w:t>
            </w:r>
          </w:p>
        </w:tc>
        <w:tc>
          <w:tcPr>
            <w:tcW w:type="dxa" w:w="4800"/>
            <w:tcMar>
              <w:top w:type="dxa" w:w="70"/>
              <w:left w:type="dxa" w:w="90"/>
              <w:bottom w:type="dxa" w:w="70"/>
              <w:right w:type="dxa" w:w="90"/>
            </w:tcMar>
          </w:tcPr>
          <w:p>
            <w:r>
              <w:rPr>
                <w:b w:val="false"/>
                <w:bCs w:val="false"/>
                <w:color w:val="000000"/>
                <w:sz w:val="19"/>
                <w:szCs w:val="19"/>
              </w:rPr>
              <w:t xml:space="preserve">Key technical evidence on boundary overlap</w:t>
            </w:r>
          </w:p>
        </w:tc>
      </w:tr>
    </w:tbl>
    <w:p>
      <w:pPr>
        <w:pStyle w:val="Heading1"/>
        <w:spacing w:after="120" w:before="240"/>
      </w:pPr>
      <w:r>
        <w:t xml:space="preserve">5. Key Legal Issues</w:t>
      </w:r>
    </w:p>
    <w:p>
      <w:pPr>
        <w:pStyle w:val="ListParagraph"/>
        <w:numPr>
          <w:ilvl w:val="0"/>
          <w:numId w:val="2"/>
        </w:numPr>
        <w:spacing w:after="80"/>
      </w:pPr>
      <w:r>
        <w:t xml:space="preserve">Whether the plaintiff has valid, subsisting title to the entire extent covered by the 1998 sale deed, including the disputed 150 sq. yards</w:t>
      </w:r>
    </w:p>
    <w:p>
      <w:pPr>
        <w:pStyle w:val="ListParagraph"/>
        <w:numPr>
          <w:ilvl w:val="0"/>
          <w:numId w:val="2"/>
        </w:numPr>
        <w:spacing w:after="80"/>
      </w:pPr>
      <w:r>
        <w:t xml:space="preserve">Whether the defendant's vendor held any residual transferable interest in the suit property as of August 2021</w:t>
      </w:r>
    </w:p>
    <w:p>
      <w:pPr>
        <w:pStyle w:val="ListParagraph"/>
        <w:numPr>
          <w:ilvl w:val="0"/>
          <w:numId w:val="2"/>
        </w:numPr>
        <w:spacing w:after="80"/>
      </w:pPr>
      <w:r>
        <w:t xml:space="preserve">Whether the plaintiff is entitled to a permanent injunction restraining the defendant from interfering with or constructing upon the disputed portion</w:t>
      </w:r>
    </w:p>
    <w:p>
      <w:pPr>
        <w:pStyle w:val="ListParagraph"/>
        <w:numPr>
          <w:ilvl w:val="0"/>
          <w:numId w:val="2"/>
        </w:numPr>
        <w:spacing w:after="80"/>
      </w:pPr>
      <w:r>
        <w:t xml:space="preserve">Evidentiary weight to be accorded to the Survey Commissioner's report in the face of the defendant's pending objections</w:t>
      </w:r>
    </w:p>
    <w:p>
      <w:pPr>
        <w:pStyle w:val="Heading1"/>
        <w:spacing w:after="120" w:before="240"/>
      </w:pPr>
      <w:r>
        <w:t xml:space="preserve">6. Current Status</w:t>
      </w:r>
    </w:p>
    <w:p>
      <w:pPr>
        <w:spacing w:after="160"/>
      </w:pPr>
      <w:r>
        <w:t xml:space="preserve">The Survey Commissioner's report has been filed and supports the plaintiff's case on the boundary overlap. The defendant's objections to the report are pending consideration; trial evidence has not yet commenced pending disposal of these objections.</w:t>
      </w:r>
    </w:p>
    <w:p>
      <w:pPr>
        <w:pStyle w:val="Heading1"/>
        <w:spacing w:after="120" w:before="240"/>
      </w:pPr>
      <w:r>
        <w:t xml:space="preserve">7. Next Steps</w:t>
      </w:r>
    </w:p>
    <w:p>
      <w:pPr>
        <w:pStyle w:val="ListParagraph"/>
        <w:numPr>
          <w:ilvl w:val="0"/>
          <w:numId w:val="2"/>
        </w:numPr>
        <w:spacing w:after="80"/>
      </w:pPr>
      <w:r>
        <w:t xml:space="preserve">Next hearing: 30 April 2025 — arguments on defendant's objections to Survey Commissioner's report</w:t>
      </w:r>
    </w:p>
    <w:p>
      <w:pPr>
        <w:pStyle w:val="ListParagraph"/>
        <w:numPr>
          <w:ilvl w:val="0"/>
          <w:numId w:val="2"/>
        </w:numPr>
        <w:spacing w:after="80"/>
      </w:pPr>
      <w:r>
        <w:t xml:space="preserve">Prepare written submissions supporting the accuracy and methodology of the survey report</w:t>
      </w:r>
    </w:p>
    <w:p>
      <w:pPr>
        <w:pStyle w:val="ListParagraph"/>
        <w:numPr>
          <w:ilvl w:val="0"/>
          <w:numId w:val="2"/>
        </w:numPr>
        <w:spacing w:after="80"/>
      </w:pPr>
      <w:r>
        <w:t xml:space="preserve">If objections are overruled, proceed to list matter for plaintiff's evidence</w:t>
      </w:r>
    </w:p>
    <w:p>
      <w:pPr>
        <w:pStyle w:val="ListParagraph"/>
        <w:numPr>
          <w:ilvl w:val="0"/>
          <w:numId w:val="2"/>
        </w:numPr>
        <w:spacing w:after="80"/>
      </w:pPr>
      <w:r>
        <w:t xml:space="preserve">Continue monitoring compliance with the standing status quo order on the disputed portion</w:t>
      </w:r>
    </w:p>
    <w:p>
      <w:pPr>
        <w:pStyle w:val="Heading1"/>
        <w:spacing w:after="120" w:before="240"/>
      </w:pPr>
      <w:r>
        <w:t xml:space="preserve">8. Internal Notes (Privileged &amp; Confidential)</w:t>
      </w:r>
    </w:p>
    <w:p>
      <w:pPr>
        <w:spacing w:after="160"/>
      </w:pPr>
      <w:r>
        <w:t xml:space="preserve">Client has been advised that the Survey Commissioner's report significantly strengthens her position; however, she should be counselled on the likely timeline for final disposal, given the defendant's pending objections and possibility of further appeal. No settlement discussions have taken place to date.</w:t>
      </w:r>
    </w:p>
    <w:p>
      <w:pPr>
        <w:pStyle w:val="Heading1"/>
        <w:spacing w:after="120" w:before="240"/>
      </w:pPr>
      <w:r>
        <w:t xml:space="preserve">9. Relevant Legal Provisions</w:t>
      </w:r>
    </w:p>
    <w:p>
      <w:pPr>
        <w:pStyle w:val="ListParagraph"/>
        <w:numPr>
          <w:ilvl w:val="0"/>
          <w:numId w:val="2"/>
        </w:numPr>
        <w:spacing w:after="80"/>
      </w:pPr>
      <w:r>
        <w:t xml:space="preserve">Section 34, Specific Relief Act, 1963 — Discretion to declare title where the plaintiff's right is denied</w:t>
      </w:r>
    </w:p>
    <w:p>
      <w:pPr>
        <w:pStyle w:val="ListParagraph"/>
        <w:numPr>
          <w:ilvl w:val="0"/>
          <w:numId w:val="2"/>
        </w:numPr>
        <w:spacing w:after="80"/>
      </w:pPr>
      <w:r>
        <w:t xml:space="preserve">Section 38, Specific Relief Act, 1963 — Perpetual injunction to prevent breach of an obligation</w:t>
      </w:r>
    </w:p>
    <w:p>
      <w:pPr>
        <w:pStyle w:val="ListParagraph"/>
        <w:numPr>
          <w:ilvl w:val="0"/>
          <w:numId w:val="2"/>
        </w:numPr>
        <w:spacing w:after="80"/>
      </w:pPr>
      <w:r>
        <w:t xml:space="preserve">Order XXVI, Rule 9, Code of Civil Procedure, 1908 — Commission for local investigation (basis for appointment of Survey Commissioner)</w:t>
      </w:r>
    </w:p>
    <w:p>
      <w:pPr>
        <w:pStyle w:val="ListParagraph"/>
        <w:numPr>
          <w:ilvl w:val="0"/>
          <w:numId w:val="2"/>
        </w:numPr>
        <w:spacing w:after="80"/>
      </w:pPr>
      <w:r>
        <w:t xml:space="preserve">Section 17, Registration Act, 1908 — Mandatory registration of instruments transferring immovable property valued above the statutory threshold</w:t>
      </w:r>
    </w:p>
    <w:p>
      <w:pPr>
        <w:pStyle w:val="Heading1"/>
        <w:spacing w:after="120" w:before="240"/>
      </w:pPr>
      <w:r>
        <w:t xml:space="preserve">10. Precedents Relied Upon</w:t>
      </w:r>
    </w:p>
    <w:p>
      <w:pPr>
        <w:spacing w:after="160"/>
      </w:pPr>
      <w:r>
        <w:t xml:space="preserve">The following categories of precedent are being relied upon; specific citations to be finalized by the handling advocate ahead of final arguments:</w:t>
      </w:r>
    </w:p>
    <w:p>
      <w:pPr>
        <w:pStyle w:val="ListParagraph"/>
        <w:numPr>
          <w:ilvl w:val="0"/>
          <w:numId w:val="2"/>
        </w:numPr>
        <w:spacing w:after="80"/>
      </w:pPr>
      <w:r>
        <w:t xml:space="preserve">Authorities on the evidentiary value of a Court-appointed Survey Commissioner's report and the limited grounds on which such a report may be discarded</w:t>
      </w:r>
    </w:p>
    <w:p>
      <w:pPr>
        <w:pStyle w:val="ListParagraph"/>
        <w:numPr>
          <w:ilvl w:val="0"/>
          <w:numId w:val="2"/>
        </w:numPr>
        <w:spacing w:after="80"/>
      </w:pPr>
      <w:r>
        <w:t xml:space="preserve">Authorities on the principle that a vendor cannot convey better title than they themselves possess (nemo dat quod non habet), relevant to the defendant's 2021 sale deed</w:t>
      </w:r>
    </w:p>
    <w:p>
      <w:pPr>
        <w:pStyle w:val="ListParagraph"/>
        <w:numPr>
          <w:ilvl w:val="0"/>
          <w:numId w:val="2"/>
        </w:numPr>
        <w:spacing w:after="80"/>
      </w:pPr>
      <w:r>
        <w:t xml:space="preserve">Authorities on long, continuous, and open possession as corroborative evidence of title in property disputes</w:t>
      </w:r>
    </w:p>
    <w:p>
      <w:pPr>
        <w:pStyle w:val="Heading1"/>
        <w:spacing w:after="120" w:before="240"/>
      </w:pPr>
      <w:r>
        <w:t xml:space="preserve">11. Risk Assessment</w:t>
      </w:r>
    </w:p>
    <w:p>
      <w:pPr>
        <w:spacing w:after="160"/>
      </w:pPr>
      <w:r>
        <w:t xml:space="preserve">The plaintiff's position is considerably strengthened by the Survey Commissioner's report, which independently confirms the boundary overlap in her favor. The principal risk lies in the defendant's pending objections potentially delaying final adjudication, and in the possibility that the defendant may seek to implead his vendor or raise a fresh challenge to the chain of title underlying Ex. A1, though no such application has been filed to date.</w:t>
      </w:r>
    </w:p>
    <w:p>
      <w:pPr>
        <w:pStyle w:val="Heading1"/>
        <w:spacing w:after="120" w:before="240"/>
      </w:pPr>
      <w:r>
        <w:t xml:space="preserve">12. Witness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3E5C2E" w:color="auto" w:val="clear"/>
            <w:tcMar>
              <w:top w:type="dxa" w:w="70"/>
              <w:left w:type="dxa" w:w="90"/>
              <w:bottom w:type="dxa" w:w="70"/>
              <w:right w:type="dxa" w:w="90"/>
            </w:tcMar>
          </w:tcPr>
          <w:p>
            <w:r>
              <w:rPr>
                <w:b/>
                <w:bCs/>
                <w:color w:val="FFFFFF"/>
                <w:sz w:val="19"/>
                <w:szCs w:val="19"/>
              </w:rPr>
              <w:t xml:space="preserve">Witness</w:t>
            </w:r>
          </w:p>
        </w:tc>
        <w:tc>
          <w:tcPr>
            <w:tcW w:type="dxa" w:w="3600"/>
            <w:shd w:fill="3E5C2E" w:color="auto" w:val="clear"/>
            <w:tcMar>
              <w:top w:type="dxa" w:w="70"/>
              <w:left w:type="dxa" w:w="90"/>
              <w:bottom w:type="dxa" w:w="70"/>
              <w:right w:type="dxa" w:w="90"/>
            </w:tcMar>
          </w:tcPr>
          <w:p>
            <w:r>
              <w:rPr>
                <w:b/>
                <w:bCs/>
                <w:color w:val="FFFFFF"/>
                <w:sz w:val="19"/>
                <w:szCs w:val="19"/>
              </w:rPr>
              <w:t xml:space="preserve">Role</w:t>
            </w:r>
          </w:p>
        </w:tc>
        <w:tc>
          <w:tcPr>
            <w:tcW w:type="dxa" w:w="4800"/>
            <w:shd w:fill="3E5C2E"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PW-1 — Mrs. Lakshmi Devi</w:t>
            </w:r>
          </w:p>
        </w:tc>
        <w:tc>
          <w:tcPr>
            <w:tcW w:type="dxa" w:w="3600"/>
            <w:tcMar>
              <w:top w:type="dxa" w:w="70"/>
              <w:left w:type="dxa" w:w="90"/>
              <w:bottom w:type="dxa" w:w="70"/>
              <w:right w:type="dxa" w:w="90"/>
            </w:tcMar>
          </w:tcPr>
          <w:p>
            <w:r>
              <w:rPr>
                <w:b w:val="false"/>
                <w:bCs w:val="false"/>
                <w:color w:val="000000"/>
                <w:sz w:val="19"/>
                <w:szCs w:val="19"/>
              </w:rPr>
              <w:t xml:space="preserve">Plaintiff; testifies to purchase, possession, and payment of dues</w:t>
            </w:r>
          </w:p>
        </w:tc>
        <w:tc>
          <w:tcPr>
            <w:tcW w:type="dxa" w:w="4800"/>
            <w:tcMar>
              <w:top w:type="dxa" w:w="70"/>
              <w:left w:type="dxa" w:w="90"/>
              <w:bottom w:type="dxa" w:w="70"/>
              <w:right w:type="dxa" w:w="90"/>
            </w:tcMar>
          </w:tcPr>
          <w:p>
            <w:r>
              <w:rPr>
                <w:b w:val="false"/>
                <w:bCs w:val="false"/>
                <w:color w:val="000000"/>
                <w:sz w:val="19"/>
                <w:szCs w:val="19"/>
              </w:rPr>
              <w:t xml:space="preserve">Not yet examined; awaiting disposal of objections</w:t>
            </w:r>
          </w:p>
        </w:tc>
      </w:tr>
      <w:tr>
        <w:tc>
          <w:tcPr>
            <w:tcW w:type="dxa" w:w="1400"/>
            <w:tcMar>
              <w:top w:type="dxa" w:w="70"/>
              <w:left w:type="dxa" w:w="90"/>
              <w:bottom w:type="dxa" w:w="70"/>
              <w:right w:type="dxa" w:w="90"/>
            </w:tcMar>
          </w:tcPr>
          <w:p>
            <w:r>
              <w:rPr>
                <w:b w:val="false"/>
                <w:bCs w:val="false"/>
                <w:color w:val="000000"/>
                <w:sz w:val="19"/>
                <w:szCs w:val="19"/>
              </w:rPr>
              <w:t xml:space="preserve">PW-2 (anticipated) — Neighboring Property Owner</w:t>
            </w:r>
          </w:p>
        </w:tc>
        <w:tc>
          <w:tcPr>
            <w:tcW w:type="dxa" w:w="3600"/>
            <w:tcMar>
              <w:top w:type="dxa" w:w="70"/>
              <w:left w:type="dxa" w:w="90"/>
              <w:bottom w:type="dxa" w:w="70"/>
              <w:right w:type="dxa" w:w="90"/>
            </w:tcMar>
          </w:tcPr>
          <w:p>
            <w:r>
              <w:rPr>
                <w:b w:val="false"/>
                <w:bCs w:val="false"/>
                <w:color w:val="000000"/>
                <w:sz w:val="19"/>
                <w:szCs w:val="19"/>
              </w:rPr>
              <w:t xml:space="preserve">To corroborate long possession by plaintiff</w:t>
            </w:r>
          </w:p>
        </w:tc>
        <w:tc>
          <w:tcPr>
            <w:tcW w:type="dxa" w:w="4800"/>
            <w:tcMar>
              <w:top w:type="dxa" w:w="70"/>
              <w:left w:type="dxa" w:w="90"/>
              <w:bottom w:type="dxa" w:w="70"/>
              <w:right w:type="dxa" w:w="90"/>
            </w:tcMar>
          </w:tcPr>
          <w:p>
            <w:r>
              <w:rPr>
                <w:b w:val="false"/>
                <w:bCs w:val="false"/>
                <w:color w:val="000000"/>
                <w:sz w:val="19"/>
                <w:szCs w:val="19"/>
              </w:rPr>
              <w:t xml:space="preserve">Not yet examined</w:t>
            </w:r>
          </w:p>
        </w:tc>
      </w:tr>
      <w:tr>
        <w:tc>
          <w:tcPr>
            <w:tcW w:type="dxa" w:w="1400"/>
            <w:tcMar>
              <w:top w:type="dxa" w:w="70"/>
              <w:left w:type="dxa" w:w="90"/>
              <w:bottom w:type="dxa" w:w="70"/>
              <w:right w:type="dxa" w:w="90"/>
            </w:tcMar>
          </w:tcPr>
          <w:p>
            <w:r>
              <w:rPr>
                <w:b w:val="false"/>
                <w:bCs w:val="false"/>
                <w:color w:val="000000"/>
                <w:sz w:val="19"/>
                <w:szCs w:val="19"/>
              </w:rPr>
              <w:t xml:space="preserve">Court Witness — Survey Commissioner</w:t>
            </w:r>
          </w:p>
        </w:tc>
        <w:tc>
          <w:tcPr>
            <w:tcW w:type="dxa" w:w="3600"/>
            <w:tcMar>
              <w:top w:type="dxa" w:w="70"/>
              <w:left w:type="dxa" w:w="90"/>
              <w:bottom w:type="dxa" w:w="70"/>
              <w:right w:type="dxa" w:w="90"/>
            </w:tcMar>
          </w:tcPr>
          <w:p>
            <w:r>
              <w:rPr>
                <w:b w:val="false"/>
                <w:bCs w:val="false"/>
                <w:color w:val="000000"/>
                <w:sz w:val="19"/>
                <w:szCs w:val="19"/>
              </w:rPr>
              <w:t xml:space="preserve">Author of boundary demarcation report (Ex. C1)</w:t>
            </w:r>
          </w:p>
        </w:tc>
        <w:tc>
          <w:tcPr>
            <w:tcW w:type="dxa" w:w="4800"/>
            <w:tcMar>
              <w:top w:type="dxa" w:w="70"/>
              <w:left w:type="dxa" w:w="90"/>
              <w:bottom w:type="dxa" w:w="70"/>
              <w:right w:type="dxa" w:w="90"/>
            </w:tcMar>
          </w:tcPr>
          <w:p>
            <w:r>
              <w:rPr>
                <w:b w:val="false"/>
                <w:bCs w:val="false"/>
                <w:color w:val="000000"/>
                <w:sz w:val="19"/>
                <w:szCs w:val="19"/>
              </w:rPr>
              <w:t xml:space="preserve">Report filed; examination to follow disposal of objections</w:t>
            </w:r>
          </w:p>
        </w:tc>
      </w:tr>
      <w:tr>
        <w:tc>
          <w:tcPr>
            <w:tcW w:type="dxa" w:w="1400"/>
            <w:tcMar>
              <w:top w:type="dxa" w:w="70"/>
              <w:left w:type="dxa" w:w="90"/>
              <w:bottom w:type="dxa" w:w="70"/>
              <w:right w:type="dxa" w:w="90"/>
            </w:tcMar>
          </w:tcPr>
          <w:p>
            <w:r>
              <w:rPr>
                <w:b w:val="false"/>
                <w:bCs w:val="false"/>
                <w:color w:val="000000"/>
                <w:sz w:val="19"/>
                <w:szCs w:val="19"/>
              </w:rPr>
              <w:t xml:space="preserve">DW-1 (anticipated) — Mr. Ramesh Naidu</w:t>
            </w:r>
          </w:p>
        </w:tc>
        <w:tc>
          <w:tcPr>
            <w:tcW w:type="dxa" w:w="3600"/>
            <w:tcMar>
              <w:top w:type="dxa" w:w="70"/>
              <w:left w:type="dxa" w:w="90"/>
              <w:bottom w:type="dxa" w:w="70"/>
              <w:right w:type="dxa" w:w="90"/>
            </w:tcMar>
          </w:tcPr>
          <w:p>
            <w:r>
              <w:rPr>
                <w:b w:val="false"/>
                <w:bCs w:val="false"/>
                <w:color w:val="000000"/>
                <w:sz w:val="19"/>
                <w:szCs w:val="19"/>
              </w:rPr>
              <w:t xml:space="preserve">Defendant; to testify on his vendor's claimed title</w:t>
            </w:r>
          </w:p>
        </w:tc>
        <w:tc>
          <w:tcPr>
            <w:tcW w:type="dxa" w:w="4800"/>
            <w:tcMar>
              <w:top w:type="dxa" w:w="70"/>
              <w:left w:type="dxa" w:w="90"/>
              <w:bottom w:type="dxa" w:w="70"/>
              <w:right w:type="dxa" w:w="90"/>
            </w:tcMar>
          </w:tcPr>
          <w:p>
            <w:r>
              <w:rPr>
                <w:b w:val="false"/>
                <w:bCs w:val="false"/>
                <w:color w:val="000000"/>
                <w:sz w:val="19"/>
                <w:szCs w:val="19"/>
              </w:rPr>
              <w:t xml:space="preserve">Not yet examined</w:t>
            </w:r>
          </w:p>
        </w:tc>
      </w:tr>
    </w:tbl>
    <w:p>
      <w:pPr>
        <w:pStyle w:val="Heading1"/>
        <w:spacing w:after="120" w:before="240"/>
      </w:pPr>
      <w:r>
        <w:t xml:space="preserve">13. Correspondence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3E5C2E" w:color="auto" w:val="clear"/>
            <w:tcMar>
              <w:top w:type="dxa" w:w="70"/>
              <w:left w:type="dxa" w:w="90"/>
              <w:bottom w:type="dxa" w:w="70"/>
              <w:right w:type="dxa" w:w="90"/>
            </w:tcMar>
          </w:tcPr>
          <w:p>
            <w:r>
              <w:rPr>
                <w:b/>
                <w:bCs/>
                <w:color w:val="FFFFFF"/>
                <w:sz w:val="19"/>
                <w:szCs w:val="19"/>
              </w:rPr>
              <w:t xml:space="preserve">Date</w:t>
            </w:r>
          </w:p>
        </w:tc>
        <w:tc>
          <w:tcPr>
            <w:tcW w:type="dxa" w:w="3600"/>
            <w:shd w:fill="3E5C2E" w:color="auto" w:val="clear"/>
            <w:tcMar>
              <w:top w:type="dxa" w:w="70"/>
              <w:left w:type="dxa" w:w="90"/>
              <w:bottom w:type="dxa" w:w="70"/>
              <w:right w:type="dxa" w:w="90"/>
            </w:tcMar>
          </w:tcPr>
          <w:p>
            <w:r>
              <w:rPr>
                <w:b/>
                <w:bCs/>
                <w:color w:val="FFFFFF"/>
                <w:sz w:val="19"/>
                <w:szCs w:val="19"/>
              </w:rPr>
              <w:t xml:space="preserve">Correspondence</w:t>
            </w:r>
          </w:p>
        </w:tc>
        <w:tc>
          <w:tcPr>
            <w:tcW w:type="dxa" w:w="4800"/>
            <w:shd w:fill="3E5C2E" w:color="auto" w:val="clear"/>
            <w:tcMar>
              <w:top w:type="dxa" w:w="70"/>
              <w:left w:type="dxa" w:w="90"/>
              <w:bottom w:type="dxa" w:w="70"/>
              <w:right w:type="dxa" w:w="90"/>
            </w:tcMar>
          </w:tcPr>
          <w:p>
            <w:r>
              <w:rPr>
                <w:b/>
                <w:bCs/>
                <w:color w:val="FFFFFF"/>
                <w:sz w:val="19"/>
                <w:szCs w:val="19"/>
              </w:rPr>
              <w:t xml:space="preserve">Summary</w:t>
            </w:r>
          </w:p>
        </w:tc>
      </w:tr>
      <w:tr>
        <w:tc>
          <w:tcPr>
            <w:tcW w:type="dxa" w:w="1400"/>
            <w:tcMar>
              <w:top w:type="dxa" w:w="70"/>
              <w:left w:type="dxa" w:w="90"/>
              <w:bottom w:type="dxa" w:w="70"/>
              <w:right w:type="dxa" w:w="90"/>
            </w:tcMar>
          </w:tcPr>
          <w:p>
            <w:r>
              <w:rPr>
                <w:b w:val="false"/>
                <w:bCs w:val="false"/>
                <w:color w:val="000000"/>
                <w:sz w:val="19"/>
                <w:szCs w:val="19"/>
              </w:rPr>
              <w:t xml:space="preserve">16 Aug 2023</w:t>
            </w:r>
          </w:p>
        </w:tc>
        <w:tc>
          <w:tcPr>
            <w:tcW w:type="dxa" w:w="3600"/>
            <w:tcMar>
              <w:top w:type="dxa" w:w="70"/>
              <w:left w:type="dxa" w:w="90"/>
              <w:bottom w:type="dxa" w:w="70"/>
              <w:right w:type="dxa" w:w="90"/>
            </w:tcMar>
          </w:tcPr>
          <w:p>
            <w:r>
              <w:rPr>
                <w:b w:val="false"/>
                <w:bCs w:val="false"/>
                <w:color w:val="000000"/>
                <w:sz w:val="19"/>
                <w:szCs w:val="19"/>
              </w:rPr>
              <w:t xml:space="preserve">Legal notice to defendant</w:t>
            </w:r>
          </w:p>
        </w:tc>
        <w:tc>
          <w:tcPr>
            <w:tcW w:type="dxa" w:w="4800"/>
            <w:tcMar>
              <w:top w:type="dxa" w:w="70"/>
              <w:left w:type="dxa" w:w="90"/>
              <w:bottom w:type="dxa" w:w="70"/>
              <w:right w:type="dxa" w:w="90"/>
            </w:tcMar>
          </w:tcPr>
          <w:p>
            <w:r>
              <w:rPr>
                <w:b w:val="false"/>
                <w:bCs w:val="false"/>
                <w:color w:val="000000"/>
                <w:sz w:val="19"/>
                <w:szCs w:val="19"/>
              </w:rPr>
              <w:t xml:space="preserve">Demanded halt to construction and clarification of title claim</w:t>
            </w:r>
          </w:p>
        </w:tc>
      </w:tr>
      <w:tr>
        <w:tc>
          <w:tcPr>
            <w:tcW w:type="dxa" w:w="1400"/>
            <w:tcMar>
              <w:top w:type="dxa" w:w="70"/>
              <w:left w:type="dxa" w:w="90"/>
              <w:bottom w:type="dxa" w:w="70"/>
              <w:right w:type="dxa" w:w="90"/>
            </w:tcMar>
          </w:tcPr>
          <w:p>
            <w:r>
              <w:rPr>
                <w:b w:val="false"/>
                <w:bCs w:val="false"/>
                <w:color w:val="000000"/>
                <w:sz w:val="19"/>
                <w:szCs w:val="19"/>
              </w:rPr>
              <w:t xml:space="preserve">28 Mar 2024</w:t>
            </w:r>
          </w:p>
        </w:tc>
        <w:tc>
          <w:tcPr>
            <w:tcW w:type="dxa" w:w="3600"/>
            <w:tcMar>
              <w:top w:type="dxa" w:w="70"/>
              <w:left w:type="dxa" w:w="90"/>
              <w:bottom w:type="dxa" w:w="70"/>
              <w:right w:type="dxa" w:w="90"/>
            </w:tcMar>
          </w:tcPr>
          <w:p>
            <w:r>
              <w:rPr>
                <w:b w:val="false"/>
                <w:bCs w:val="false"/>
                <w:color w:val="000000"/>
                <w:sz w:val="19"/>
                <w:szCs w:val="19"/>
              </w:rPr>
              <w:t xml:space="preserve">Letter to Survey Commissioner's office</w:t>
            </w:r>
          </w:p>
        </w:tc>
        <w:tc>
          <w:tcPr>
            <w:tcW w:type="dxa" w:w="4800"/>
            <w:tcMar>
              <w:top w:type="dxa" w:w="70"/>
              <w:left w:type="dxa" w:w="90"/>
              <w:bottom w:type="dxa" w:w="70"/>
              <w:right w:type="dxa" w:w="90"/>
            </w:tcMar>
          </w:tcPr>
          <w:p>
            <w:r>
              <w:rPr>
                <w:b w:val="false"/>
                <w:bCs w:val="false"/>
                <w:color w:val="000000"/>
                <w:sz w:val="19"/>
                <w:szCs w:val="19"/>
              </w:rPr>
              <w:t xml:space="preserve">Requested early scheduling of site visit given ongoing status quo order</w:t>
            </w:r>
          </w:p>
        </w:tc>
      </w:tr>
      <w:tr>
        <w:tc>
          <w:tcPr>
            <w:tcW w:type="dxa" w:w="1400"/>
            <w:tcMar>
              <w:top w:type="dxa" w:w="70"/>
              <w:left w:type="dxa" w:w="90"/>
              <w:bottom w:type="dxa" w:w="70"/>
              <w:right w:type="dxa" w:w="90"/>
            </w:tcMar>
          </w:tcPr>
          <w:p>
            <w:r>
              <w:rPr>
                <w:b w:val="false"/>
                <w:bCs w:val="false"/>
                <w:color w:val="000000"/>
                <w:sz w:val="19"/>
                <w:szCs w:val="19"/>
              </w:rPr>
              <w:t xml:space="preserve">2 Sep 2024</w:t>
            </w:r>
          </w:p>
        </w:tc>
        <w:tc>
          <w:tcPr>
            <w:tcW w:type="dxa" w:w="3600"/>
            <w:tcMar>
              <w:top w:type="dxa" w:w="70"/>
              <w:left w:type="dxa" w:w="90"/>
              <w:bottom w:type="dxa" w:w="70"/>
              <w:right w:type="dxa" w:w="90"/>
            </w:tcMar>
          </w:tcPr>
          <w:p>
            <w:r>
              <w:rPr>
                <w:b w:val="false"/>
                <w:bCs w:val="false"/>
                <w:color w:val="000000"/>
                <w:sz w:val="19"/>
                <w:szCs w:val="19"/>
              </w:rPr>
              <w:t xml:space="preserve">Email from client</w:t>
            </w:r>
          </w:p>
        </w:tc>
        <w:tc>
          <w:tcPr>
            <w:tcW w:type="dxa" w:w="4800"/>
            <w:tcMar>
              <w:top w:type="dxa" w:w="70"/>
              <w:left w:type="dxa" w:w="90"/>
              <w:bottom w:type="dxa" w:w="70"/>
              <w:right w:type="dxa" w:w="90"/>
            </w:tcMar>
          </w:tcPr>
          <w:p>
            <w:r>
              <w:rPr>
                <w:b w:val="false"/>
                <w:bCs w:val="false"/>
                <w:color w:val="000000"/>
                <w:sz w:val="19"/>
                <w:szCs w:val="19"/>
              </w:rPr>
              <w:t xml:space="preserve">Confirmed satisfaction with Survey Commissioner's findings and instructed firm to oppose defendant's objections</w:t>
            </w:r>
          </w:p>
        </w:tc>
      </w:tr>
    </w:tbl>
    <w:p>
      <w:pPr>
        <w:spacing w:after="200"/>
      </w:pPr>
      <w:r>
        <w:rPr>
          <w:i/>
          <w:iCs/>
          <w:color w:val="666666"/>
          <w:sz w:val="20"/>
          <w:szCs w:val="20"/>
        </w:rPr>
        <w:t xml:space="preserve">End of document. Internal reference: MER-CIV-2023-245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Meridian &amp; Rao Legal Associates, Hyderabad — Internal Case File — O.S. 245/2023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2026-08-23T13:52:33.506Z</dcterms:created>
  <dcterms:modified xsi:type="dcterms:W3CDTF">2026-08-23T13:52:33.507Z</dcterms:modified>
</cp:coreProperties>
</file>

<file path=docProps/custom.xml><?xml version="1.0" encoding="utf-8"?>
<Properties xmlns="http://schemas.openxmlformats.org/officeDocument/2006/custom-properties" xmlns:vt="http://schemas.openxmlformats.org/officeDocument/2006/docPropsVTypes"/>
</file>