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5C3E00"/>
          <w:sz w:val="22"/>
          <w:szCs w:val="22"/>
        </w:rPr>
        <w:t xml:space="preserve">Meridian &amp; Rao Legal Associates, Hyderabad</w:t>
      </w:r>
    </w:p>
    <w:p>
      <w:pPr>
        <w:spacing w:after="200"/>
      </w:pPr>
      <w:r>
        <w:rPr>
          <w:i/>
          <w:iCs/>
          <w:color w:val="888888"/>
          <w:sz w:val="18"/>
          <w:szCs w:val="18"/>
        </w:rPr>
        <w:t xml:space="preserve">Internal Case File — Privileged &amp; Confidential</w:t>
      </w:r>
    </w:p>
    <w:p>
      <w:pPr>
        <w:spacing w:after="80"/>
      </w:pPr>
      <w:r>
        <w:rPr>
          <w:b/>
          <w:bCs/>
          <w:color w:val="5C3E00"/>
          <w:sz w:val="34"/>
          <w:szCs w:val="34"/>
        </w:rPr>
        <w:t xml:space="preserve">Anil Kumar vs. Vertex Software Solutions Pvt. Ltd.</w:t>
      </w:r>
    </w:p>
    <w:p>
      <w:pPr>
        <w:spacing w:after="200"/>
      </w:pPr>
      <w:r>
        <w:rPr>
          <w:i/>
          <w:iCs/>
          <w:color w:val="444444"/>
          <w:sz w:val="24"/>
          <w:szCs w:val="24"/>
        </w:rPr>
        <w:t xml:space="preserve">Industrial Dispute No. 34/2024 — Alleged Wrongful Termination</w:t>
      </w:r>
    </w:p>
    <w:p>
      <w:pPr>
        <w:spacing w:after="200"/>
      </w:pPr>
      <w:r>
        <w:rPr>
          <w:i/>
          <w:iCs/>
          <w:color w:val="666666"/>
          <w:sz w:val="20"/>
          <w:szCs w:val="20"/>
        </w:rPr>
        <w:t xml:space="preserve">Illustrative / synthetic case file created for training and demonstration purposes (e.g., testing retrieval-augmented generation systems). All names, dates, case numbers, and facts are fictional and do not correspond to any real person, entity, or proceeding.</w:t>
      </w:r>
    </w:p>
    <w:p>
      <w:pPr>
        <w:pStyle w:val="Heading1"/>
        <w:spacing w:after="120" w:before="240"/>
      </w:pPr>
      <w:r>
        <w:t xml:space="preserve">1. Case Overview</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800"/>
        <w:gridCol w:w="7000"/>
      </w:tblGrid>
      <w:tr>
        <w:tc>
          <w:tcPr>
            <w:tcW w:type="dxa" w:w="2800"/>
            <w:shd w:fill="5C3E00" w:color="auto" w:val="clear"/>
            <w:tcMar>
              <w:top w:type="dxa" w:w="70"/>
              <w:left w:type="dxa" w:w="90"/>
              <w:bottom w:type="dxa" w:w="70"/>
              <w:right w:type="dxa" w:w="90"/>
            </w:tcMar>
          </w:tcPr>
          <w:p>
            <w:r>
              <w:rPr>
                <w:b/>
                <w:bCs/>
                <w:color w:val="FFFFFF"/>
                <w:sz w:val="19"/>
                <w:szCs w:val="19"/>
              </w:rPr>
              <w:t xml:space="preserve">Case No.</w:t>
            </w:r>
          </w:p>
        </w:tc>
        <w:tc>
          <w:tcPr>
            <w:tcW w:type="dxa" w:w="7000"/>
            <w:tcMar>
              <w:top w:type="dxa" w:w="70"/>
              <w:left w:type="dxa" w:w="90"/>
              <w:bottom w:type="dxa" w:w="70"/>
              <w:right w:type="dxa" w:w="90"/>
            </w:tcMar>
          </w:tcPr>
          <w:p>
            <w:r>
              <w:rPr>
                <w:b w:val="false"/>
                <w:bCs w:val="false"/>
                <w:color w:val="000000"/>
                <w:sz w:val="19"/>
                <w:szCs w:val="19"/>
              </w:rPr>
              <w:t xml:space="preserve">I.D. No. 34/2024</w:t>
            </w:r>
          </w:p>
        </w:tc>
      </w:tr>
      <w:tr>
        <w:tc>
          <w:tcPr>
            <w:tcW w:type="dxa" w:w="2800"/>
            <w:shd w:fill="5C3E00" w:color="auto" w:val="clear"/>
            <w:tcMar>
              <w:top w:type="dxa" w:w="70"/>
              <w:left w:type="dxa" w:w="90"/>
              <w:bottom w:type="dxa" w:w="70"/>
              <w:right w:type="dxa" w:w="90"/>
            </w:tcMar>
          </w:tcPr>
          <w:p>
            <w:r>
              <w:rPr>
                <w:b/>
                <w:bCs/>
                <w:color w:val="FFFFFF"/>
                <w:sz w:val="19"/>
                <w:szCs w:val="19"/>
              </w:rPr>
              <w:t xml:space="preserve">Forum</w:t>
            </w:r>
          </w:p>
        </w:tc>
        <w:tc>
          <w:tcPr>
            <w:tcW w:type="dxa" w:w="7000"/>
            <w:tcMar>
              <w:top w:type="dxa" w:w="70"/>
              <w:left w:type="dxa" w:w="90"/>
              <w:bottom w:type="dxa" w:w="70"/>
              <w:right w:type="dxa" w:w="90"/>
            </w:tcMar>
          </w:tcPr>
          <w:p>
            <w:r>
              <w:rPr>
                <w:b w:val="false"/>
                <w:bCs w:val="false"/>
                <w:color w:val="000000"/>
                <w:sz w:val="19"/>
                <w:szCs w:val="19"/>
              </w:rPr>
              <w:t xml:space="preserve">Labour Court-II, Hyderabad</w:t>
            </w:r>
          </w:p>
        </w:tc>
      </w:tr>
      <w:tr>
        <w:tc>
          <w:tcPr>
            <w:tcW w:type="dxa" w:w="2800"/>
            <w:shd w:fill="5C3E00" w:color="auto" w:val="clear"/>
            <w:tcMar>
              <w:top w:type="dxa" w:w="70"/>
              <w:left w:type="dxa" w:w="90"/>
              <w:bottom w:type="dxa" w:w="70"/>
              <w:right w:type="dxa" w:w="90"/>
            </w:tcMar>
          </w:tcPr>
          <w:p>
            <w:r>
              <w:rPr>
                <w:b/>
                <w:bCs/>
                <w:color w:val="FFFFFF"/>
                <w:sz w:val="19"/>
                <w:szCs w:val="19"/>
              </w:rPr>
              <w:t xml:space="preserve">Claimant / Workman</w:t>
            </w:r>
          </w:p>
        </w:tc>
        <w:tc>
          <w:tcPr>
            <w:tcW w:type="dxa" w:w="7000"/>
            <w:tcMar>
              <w:top w:type="dxa" w:w="70"/>
              <w:left w:type="dxa" w:w="90"/>
              <w:bottom w:type="dxa" w:w="70"/>
              <w:right w:type="dxa" w:w="90"/>
            </w:tcMar>
          </w:tcPr>
          <w:p>
            <w:r>
              <w:rPr>
                <w:b w:val="false"/>
                <w:bCs w:val="false"/>
                <w:color w:val="000000"/>
                <w:sz w:val="19"/>
                <w:szCs w:val="19"/>
              </w:rPr>
              <w:t xml:space="preserve">Mr. Anil Kumar, former Senior QA Engineer</w:t>
            </w:r>
          </w:p>
        </w:tc>
      </w:tr>
      <w:tr>
        <w:tc>
          <w:tcPr>
            <w:tcW w:type="dxa" w:w="2800"/>
            <w:shd w:fill="5C3E00" w:color="auto" w:val="clear"/>
            <w:tcMar>
              <w:top w:type="dxa" w:w="70"/>
              <w:left w:type="dxa" w:w="90"/>
              <w:bottom w:type="dxa" w:w="70"/>
              <w:right w:type="dxa" w:w="90"/>
            </w:tcMar>
          </w:tcPr>
          <w:p>
            <w:r>
              <w:rPr>
                <w:b/>
                <w:bCs/>
                <w:color w:val="FFFFFF"/>
                <w:sz w:val="19"/>
                <w:szCs w:val="19"/>
              </w:rPr>
              <w:t xml:space="preserve">Respondent / Management</w:t>
            </w:r>
          </w:p>
        </w:tc>
        <w:tc>
          <w:tcPr>
            <w:tcW w:type="dxa" w:w="7000"/>
            <w:tcMar>
              <w:top w:type="dxa" w:w="70"/>
              <w:left w:type="dxa" w:w="90"/>
              <w:bottom w:type="dxa" w:w="70"/>
              <w:right w:type="dxa" w:w="90"/>
            </w:tcMar>
          </w:tcPr>
          <w:p>
            <w:r>
              <w:rPr>
                <w:b w:val="false"/>
                <w:bCs w:val="false"/>
                <w:color w:val="000000"/>
                <w:sz w:val="19"/>
                <w:szCs w:val="19"/>
              </w:rPr>
              <w:t xml:space="preserve">Vertex Software Solutions Pvt. Ltd.</w:t>
            </w:r>
          </w:p>
        </w:tc>
      </w:tr>
      <w:tr>
        <w:tc>
          <w:tcPr>
            <w:tcW w:type="dxa" w:w="2800"/>
            <w:shd w:fill="5C3E00" w:color="auto" w:val="clear"/>
            <w:tcMar>
              <w:top w:type="dxa" w:w="70"/>
              <w:left w:type="dxa" w:w="90"/>
              <w:bottom w:type="dxa" w:w="70"/>
              <w:right w:type="dxa" w:w="90"/>
            </w:tcMar>
          </w:tcPr>
          <w:p>
            <w:r>
              <w:rPr>
                <w:b/>
                <w:bCs/>
                <w:color w:val="FFFFFF"/>
                <w:sz w:val="19"/>
                <w:szCs w:val="19"/>
              </w:rPr>
              <w:t xml:space="preserve">Nature of Dispute</w:t>
            </w:r>
          </w:p>
        </w:tc>
        <w:tc>
          <w:tcPr>
            <w:tcW w:type="dxa" w:w="7000"/>
            <w:tcMar>
              <w:top w:type="dxa" w:w="70"/>
              <w:left w:type="dxa" w:w="90"/>
              <w:bottom w:type="dxa" w:w="70"/>
              <w:right w:type="dxa" w:w="90"/>
            </w:tcMar>
          </w:tcPr>
          <w:p>
            <w:r>
              <w:rPr>
                <w:b w:val="false"/>
                <w:bCs w:val="false"/>
                <w:color w:val="000000"/>
                <w:sz w:val="19"/>
                <w:szCs w:val="19"/>
              </w:rPr>
              <w:t xml:space="preserve">Alleged wrongful/illegal termination without following retrenchment procedure under the Industrial Disputes Act, 1947</w:t>
            </w:r>
          </w:p>
        </w:tc>
      </w:tr>
      <w:tr>
        <w:tc>
          <w:tcPr>
            <w:tcW w:type="dxa" w:w="2800"/>
            <w:shd w:fill="5C3E00" w:color="auto" w:val="clear"/>
            <w:tcMar>
              <w:top w:type="dxa" w:w="70"/>
              <w:left w:type="dxa" w:w="90"/>
              <w:bottom w:type="dxa" w:w="70"/>
              <w:right w:type="dxa" w:w="90"/>
            </w:tcMar>
          </w:tcPr>
          <w:p>
            <w:r>
              <w:rPr>
                <w:b/>
                <w:bCs/>
                <w:color w:val="FFFFFF"/>
                <w:sz w:val="19"/>
                <w:szCs w:val="19"/>
              </w:rPr>
              <w:t xml:space="preserve">Relief Sought</w:t>
            </w:r>
          </w:p>
        </w:tc>
        <w:tc>
          <w:tcPr>
            <w:tcW w:type="dxa" w:w="7000"/>
            <w:tcMar>
              <w:top w:type="dxa" w:w="70"/>
              <w:left w:type="dxa" w:w="90"/>
              <w:bottom w:type="dxa" w:w="70"/>
              <w:right w:type="dxa" w:w="90"/>
            </w:tcMar>
          </w:tcPr>
          <w:p>
            <w:r>
              <w:rPr>
                <w:b w:val="false"/>
                <w:bCs w:val="false"/>
                <w:color w:val="000000"/>
                <w:sz w:val="19"/>
                <w:szCs w:val="19"/>
              </w:rPr>
              <w:t xml:space="preserve">Reinstatement with continuity of service and full back wages, or in the alternative, enhanced compensation</w:t>
            </w:r>
          </w:p>
        </w:tc>
      </w:tr>
      <w:tr>
        <w:tc>
          <w:tcPr>
            <w:tcW w:type="dxa" w:w="2800"/>
            <w:shd w:fill="5C3E00" w:color="auto" w:val="clear"/>
            <w:tcMar>
              <w:top w:type="dxa" w:w="70"/>
              <w:left w:type="dxa" w:w="90"/>
              <w:bottom w:type="dxa" w:w="70"/>
              <w:right w:type="dxa" w:w="90"/>
            </w:tcMar>
          </w:tcPr>
          <w:p>
            <w:r>
              <w:rPr>
                <w:b/>
                <w:bCs/>
                <w:color w:val="FFFFFF"/>
                <w:sz w:val="19"/>
                <w:szCs w:val="19"/>
              </w:rPr>
              <w:t xml:space="preserve">Firm's Client</w:t>
            </w:r>
          </w:p>
        </w:tc>
        <w:tc>
          <w:tcPr>
            <w:tcW w:type="dxa" w:w="7000"/>
            <w:tcMar>
              <w:top w:type="dxa" w:w="70"/>
              <w:left w:type="dxa" w:w="90"/>
              <w:bottom w:type="dxa" w:w="70"/>
              <w:right w:type="dxa" w:w="90"/>
            </w:tcMar>
          </w:tcPr>
          <w:p>
            <w:r>
              <w:rPr>
                <w:b w:val="false"/>
                <w:bCs w:val="false"/>
                <w:color w:val="000000"/>
                <w:sz w:val="19"/>
                <w:szCs w:val="19"/>
              </w:rPr>
              <w:t xml:space="preserve">Respondent (Vertex Software Solutions Pvt. Ltd.)</w:t>
            </w:r>
          </w:p>
        </w:tc>
      </w:tr>
      <w:tr>
        <w:tc>
          <w:tcPr>
            <w:tcW w:type="dxa" w:w="2800"/>
            <w:shd w:fill="5C3E00" w:color="auto" w:val="clear"/>
            <w:tcMar>
              <w:top w:type="dxa" w:w="70"/>
              <w:left w:type="dxa" w:w="90"/>
              <w:bottom w:type="dxa" w:w="70"/>
              <w:right w:type="dxa" w:w="90"/>
            </w:tcMar>
          </w:tcPr>
          <w:p>
            <w:r>
              <w:rPr>
                <w:b/>
                <w:bCs/>
                <w:color w:val="FFFFFF"/>
                <w:sz w:val="19"/>
                <w:szCs w:val="19"/>
              </w:rPr>
              <w:t xml:space="preserve">Handling Advocate</w:t>
            </w:r>
          </w:p>
        </w:tc>
        <w:tc>
          <w:tcPr>
            <w:tcW w:type="dxa" w:w="7000"/>
            <w:tcMar>
              <w:top w:type="dxa" w:w="70"/>
              <w:left w:type="dxa" w:w="90"/>
              <w:bottom w:type="dxa" w:w="70"/>
              <w:right w:type="dxa" w:w="90"/>
            </w:tcMar>
          </w:tcPr>
          <w:p>
            <w:r>
              <w:rPr>
                <w:b w:val="false"/>
                <w:bCs w:val="false"/>
                <w:color w:val="000000"/>
                <w:sz w:val="19"/>
                <w:szCs w:val="19"/>
              </w:rPr>
              <w:t xml:space="preserve">Adv. Nandini Rao, Associate</w:t>
            </w:r>
          </w:p>
        </w:tc>
      </w:tr>
    </w:tbl>
    <w:p>
      <w:pPr>
        <w:pStyle w:val="Heading1"/>
        <w:spacing w:after="120" w:before="240"/>
      </w:pPr>
      <w:r>
        <w:t xml:space="preserve">2. Brief Facts</w:t>
      </w:r>
    </w:p>
    <w:p>
      <w:pPr>
        <w:spacing w:after="160"/>
      </w:pPr>
      <w:r>
        <w:t xml:space="preserve">The claimant was employed with the respondent as a Senior QA Engineer from 3 June 2019 until his termination on 30 September 2023. The respondent states the termination formed part of a broader workforce reduction affecting 22 employees across the QA function, necessitated by the loss of a major client contract, and that one month's notice pay along with retrenchment compensation calculated under Section 25F of the Industrial Disputes Act, 1947 was tendered to the claimant at the time of termination.</w:t>
      </w:r>
    </w:p>
    <w:p>
      <w:pPr>
        <w:spacing w:after="160"/>
      </w:pPr>
      <w:r>
        <w:t xml:space="preserve">The claimant contends that the termination was in substance a targeted removal disguised as retrenchment, pointing to the fact that two employees junior to him in the same role were retained, in alleged violation of the 'last-in-first-out' principle ordinarily expected in retrenchment absent a valid reason for deviation. The claimant further alleges that no prior warning or performance-related communication was ever issued to him, and that the real reason for his selection was a workplace complaint he had raised in March 2023 regarding a reporting manager, which the respondent denies is connected to the termination.</w:t>
      </w:r>
    </w:p>
    <w:p>
      <w:pPr>
        <w:pStyle w:val="Heading1"/>
        <w:spacing w:after="120" w:before="240"/>
      </w:pPr>
      <w:r>
        <w:t xml:space="preserve">3. Chronology of Proceedings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5800"/>
      </w:tblGrid>
      <w:tr>
        <w:tc>
          <w:tcPr>
            <w:tcW w:type="dxa" w:w="1500"/>
            <w:shd w:fill="5C3E00" w:color="auto" w:val="clear"/>
            <w:tcMar>
              <w:top w:type="dxa" w:w="70"/>
              <w:left w:type="dxa" w:w="90"/>
              <w:bottom w:type="dxa" w:w="70"/>
              <w:right w:type="dxa" w:w="90"/>
            </w:tcMar>
          </w:tcPr>
          <w:p>
            <w:r>
              <w:rPr>
                <w:b/>
                <w:bCs/>
                <w:color w:val="FFFFFF"/>
                <w:sz w:val="19"/>
                <w:szCs w:val="19"/>
              </w:rPr>
              <w:t xml:space="preserve">Date</w:t>
            </w:r>
          </w:p>
        </w:tc>
        <w:tc>
          <w:tcPr>
            <w:tcW w:type="dxa" w:w="2600"/>
            <w:shd w:fill="5C3E00" w:color="auto" w:val="clear"/>
            <w:tcMar>
              <w:top w:type="dxa" w:w="70"/>
              <w:left w:type="dxa" w:w="90"/>
              <w:bottom w:type="dxa" w:w="70"/>
              <w:right w:type="dxa" w:w="90"/>
            </w:tcMar>
          </w:tcPr>
          <w:p>
            <w:r>
              <w:rPr>
                <w:b/>
                <w:bCs/>
                <w:color w:val="FFFFFF"/>
                <w:sz w:val="19"/>
                <w:szCs w:val="19"/>
              </w:rPr>
              <w:t xml:space="preserve">Event</w:t>
            </w:r>
          </w:p>
        </w:tc>
        <w:tc>
          <w:tcPr>
            <w:tcW w:type="dxa" w:w="5800"/>
            <w:shd w:fill="5C3E00" w:color="auto" w:val="clear"/>
            <w:tcMar>
              <w:top w:type="dxa" w:w="70"/>
              <w:left w:type="dxa" w:w="90"/>
              <w:bottom w:type="dxa" w:w="70"/>
              <w:right w:type="dxa" w:w="90"/>
            </w:tcMar>
          </w:tcPr>
          <w:p>
            <w:r>
              <w:rPr>
                <w:b/>
                <w:bCs/>
                <w:color w:val="FFFFFF"/>
                <w:sz w:val="19"/>
                <w:szCs w:val="19"/>
              </w:rPr>
              <w:t xml:space="preserve">Notes / Outcome</w:t>
            </w:r>
          </w:p>
        </w:tc>
      </w:tr>
      <w:tr>
        <w:tc>
          <w:tcPr>
            <w:tcW w:type="dxa" w:w="1500"/>
            <w:tcMar>
              <w:top w:type="dxa" w:w="70"/>
              <w:left w:type="dxa" w:w="90"/>
              <w:bottom w:type="dxa" w:w="70"/>
              <w:right w:type="dxa" w:w="90"/>
            </w:tcMar>
          </w:tcPr>
          <w:p>
            <w:r>
              <w:rPr>
                <w:b w:val="false"/>
                <w:bCs w:val="false"/>
                <w:color w:val="000000"/>
                <w:sz w:val="19"/>
                <w:szCs w:val="19"/>
              </w:rPr>
              <w:t xml:space="preserve">3 Jun 2019</w:t>
            </w:r>
          </w:p>
        </w:tc>
        <w:tc>
          <w:tcPr>
            <w:tcW w:type="dxa" w:w="2600"/>
            <w:tcMar>
              <w:top w:type="dxa" w:w="70"/>
              <w:left w:type="dxa" w:w="90"/>
              <w:bottom w:type="dxa" w:w="70"/>
              <w:right w:type="dxa" w:w="90"/>
            </w:tcMar>
          </w:tcPr>
          <w:p>
            <w:r>
              <w:rPr>
                <w:b w:val="false"/>
                <w:bCs w:val="false"/>
                <w:color w:val="000000"/>
                <w:sz w:val="19"/>
                <w:szCs w:val="19"/>
              </w:rPr>
              <w:t xml:space="preserve">Claimant's date of joining</w:t>
            </w:r>
          </w:p>
        </w:tc>
        <w:tc>
          <w:tcPr>
            <w:tcW w:type="dxa" w:w="5800"/>
            <w:tcMar>
              <w:top w:type="dxa" w:w="70"/>
              <w:left w:type="dxa" w:w="90"/>
              <w:bottom w:type="dxa" w:w="70"/>
              <w:right w:type="dxa" w:w="90"/>
            </w:tcMar>
          </w:tcPr>
          <w:p>
            <w:r>
              <w:rPr>
                <w:b w:val="false"/>
                <w:bCs w:val="false"/>
                <w:color w:val="000000"/>
                <w:sz w:val="19"/>
                <w:szCs w:val="19"/>
              </w:rPr>
              <w:t xml:space="preserve">Engaged as Senior QA Engineer, confirmed after probation</w:t>
            </w:r>
          </w:p>
        </w:tc>
      </w:tr>
      <w:tr>
        <w:tc>
          <w:tcPr>
            <w:tcW w:type="dxa" w:w="1500"/>
            <w:tcMar>
              <w:top w:type="dxa" w:w="70"/>
              <w:left w:type="dxa" w:w="90"/>
              <w:bottom w:type="dxa" w:w="70"/>
              <w:right w:type="dxa" w:w="90"/>
            </w:tcMar>
          </w:tcPr>
          <w:p>
            <w:r>
              <w:rPr>
                <w:b w:val="false"/>
                <w:bCs w:val="false"/>
                <w:color w:val="000000"/>
                <w:sz w:val="19"/>
                <w:szCs w:val="19"/>
              </w:rPr>
              <w:t xml:space="preserve">14 Mar 2023</w:t>
            </w:r>
          </w:p>
        </w:tc>
        <w:tc>
          <w:tcPr>
            <w:tcW w:type="dxa" w:w="2600"/>
            <w:tcMar>
              <w:top w:type="dxa" w:w="70"/>
              <w:left w:type="dxa" w:w="90"/>
              <w:bottom w:type="dxa" w:w="70"/>
              <w:right w:type="dxa" w:w="90"/>
            </w:tcMar>
          </w:tcPr>
          <w:p>
            <w:r>
              <w:rPr>
                <w:b w:val="false"/>
                <w:bCs w:val="false"/>
                <w:color w:val="000000"/>
                <w:sz w:val="19"/>
                <w:szCs w:val="19"/>
              </w:rPr>
              <w:t xml:space="preserve">Claimant raises internal complaint against reporting manager</w:t>
            </w:r>
          </w:p>
        </w:tc>
        <w:tc>
          <w:tcPr>
            <w:tcW w:type="dxa" w:w="5800"/>
            <w:tcMar>
              <w:top w:type="dxa" w:w="70"/>
              <w:left w:type="dxa" w:w="90"/>
              <w:bottom w:type="dxa" w:w="70"/>
              <w:right w:type="dxa" w:w="90"/>
            </w:tcMar>
          </w:tcPr>
          <w:p>
            <w:r>
              <w:rPr>
                <w:b w:val="false"/>
                <w:bCs w:val="false"/>
                <w:color w:val="000000"/>
                <w:sz w:val="19"/>
                <w:szCs w:val="19"/>
              </w:rPr>
              <w:t xml:space="preserve">Handled through internal grievance process; claimant alleges no resolution communicated</w:t>
            </w:r>
          </w:p>
        </w:tc>
      </w:tr>
      <w:tr>
        <w:tc>
          <w:tcPr>
            <w:tcW w:type="dxa" w:w="1500"/>
            <w:tcMar>
              <w:top w:type="dxa" w:w="70"/>
              <w:left w:type="dxa" w:w="90"/>
              <w:bottom w:type="dxa" w:w="70"/>
              <w:right w:type="dxa" w:w="90"/>
            </w:tcMar>
          </w:tcPr>
          <w:p>
            <w:r>
              <w:rPr>
                <w:b w:val="false"/>
                <w:bCs w:val="false"/>
                <w:color w:val="000000"/>
                <w:sz w:val="19"/>
                <w:szCs w:val="19"/>
              </w:rPr>
              <w:t xml:space="preserve">30 Sep 2023</w:t>
            </w:r>
          </w:p>
        </w:tc>
        <w:tc>
          <w:tcPr>
            <w:tcW w:type="dxa" w:w="2600"/>
            <w:tcMar>
              <w:top w:type="dxa" w:w="70"/>
              <w:left w:type="dxa" w:w="90"/>
              <w:bottom w:type="dxa" w:w="70"/>
              <w:right w:type="dxa" w:w="90"/>
            </w:tcMar>
          </w:tcPr>
          <w:p>
            <w:r>
              <w:rPr>
                <w:b w:val="false"/>
                <w:bCs w:val="false"/>
                <w:color w:val="000000"/>
                <w:sz w:val="19"/>
                <w:szCs w:val="19"/>
              </w:rPr>
              <w:t xml:space="preserve">Termination effected</w:t>
            </w:r>
          </w:p>
        </w:tc>
        <w:tc>
          <w:tcPr>
            <w:tcW w:type="dxa" w:w="5800"/>
            <w:tcMar>
              <w:top w:type="dxa" w:w="70"/>
              <w:left w:type="dxa" w:w="90"/>
              <w:bottom w:type="dxa" w:w="70"/>
              <w:right w:type="dxa" w:w="90"/>
            </w:tcMar>
          </w:tcPr>
          <w:p>
            <w:r>
              <w:rPr>
                <w:b w:val="false"/>
                <w:bCs w:val="false"/>
                <w:color w:val="000000"/>
                <w:sz w:val="19"/>
                <w:szCs w:val="19"/>
              </w:rPr>
              <w:t xml:space="preserve">22 employees affected in QA function-wide reduction; notice pay and retrenchment compensation tendered</w:t>
            </w:r>
          </w:p>
        </w:tc>
      </w:tr>
      <w:tr>
        <w:tc>
          <w:tcPr>
            <w:tcW w:type="dxa" w:w="1500"/>
            <w:tcMar>
              <w:top w:type="dxa" w:w="70"/>
              <w:left w:type="dxa" w:w="90"/>
              <w:bottom w:type="dxa" w:w="70"/>
              <w:right w:type="dxa" w:w="90"/>
            </w:tcMar>
          </w:tcPr>
          <w:p>
            <w:r>
              <w:rPr>
                <w:b w:val="false"/>
                <w:bCs w:val="false"/>
                <w:color w:val="000000"/>
                <w:sz w:val="19"/>
                <w:szCs w:val="19"/>
              </w:rPr>
              <w:t xml:space="preserve">18 Oct 2023</w:t>
            </w:r>
          </w:p>
        </w:tc>
        <w:tc>
          <w:tcPr>
            <w:tcW w:type="dxa" w:w="2600"/>
            <w:tcMar>
              <w:top w:type="dxa" w:w="70"/>
              <w:left w:type="dxa" w:w="90"/>
              <w:bottom w:type="dxa" w:w="70"/>
              <w:right w:type="dxa" w:w="90"/>
            </w:tcMar>
          </w:tcPr>
          <w:p>
            <w:r>
              <w:rPr>
                <w:b w:val="false"/>
                <w:bCs w:val="false"/>
                <w:color w:val="000000"/>
                <w:sz w:val="19"/>
                <w:szCs w:val="19"/>
              </w:rPr>
              <w:t xml:space="preserve">Claimant raises industrial dispute</w:t>
            </w:r>
          </w:p>
        </w:tc>
        <w:tc>
          <w:tcPr>
            <w:tcW w:type="dxa" w:w="5800"/>
            <w:tcMar>
              <w:top w:type="dxa" w:w="70"/>
              <w:left w:type="dxa" w:w="90"/>
              <w:bottom w:type="dxa" w:w="70"/>
              <w:right w:type="dxa" w:w="90"/>
            </w:tcMar>
          </w:tcPr>
          <w:p>
            <w:r>
              <w:rPr>
                <w:b w:val="false"/>
                <w:bCs w:val="false"/>
                <w:color w:val="000000"/>
                <w:sz w:val="19"/>
                <w:szCs w:val="19"/>
              </w:rPr>
              <w:t xml:space="preserve">Conciliation proceedings initiated before Assistant Labour Commissioner</w:t>
            </w:r>
          </w:p>
        </w:tc>
      </w:tr>
      <w:tr>
        <w:tc>
          <w:tcPr>
            <w:tcW w:type="dxa" w:w="1500"/>
            <w:tcMar>
              <w:top w:type="dxa" w:w="70"/>
              <w:left w:type="dxa" w:w="90"/>
              <w:bottom w:type="dxa" w:w="70"/>
              <w:right w:type="dxa" w:w="90"/>
            </w:tcMar>
          </w:tcPr>
          <w:p>
            <w:r>
              <w:rPr>
                <w:b w:val="false"/>
                <w:bCs w:val="false"/>
                <w:color w:val="000000"/>
                <w:sz w:val="19"/>
                <w:szCs w:val="19"/>
              </w:rPr>
              <w:t xml:space="preserve">22 Dec 2023</w:t>
            </w:r>
          </w:p>
        </w:tc>
        <w:tc>
          <w:tcPr>
            <w:tcW w:type="dxa" w:w="2600"/>
            <w:tcMar>
              <w:top w:type="dxa" w:w="70"/>
              <w:left w:type="dxa" w:w="90"/>
              <w:bottom w:type="dxa" w:w="70"/>
              <w:right w:type="dxa" w:w="90"/>
            </w:tcMar>
          </w:tcPr>
          <w:p>
            <w:r>
              <w:rPr>
                <w:b w:val="false"/>
                <w:bCs w:val="false"/>
                <w:color w:val="000000"/>
                <w:sz w:val="19"/>
                <w:szCs w:val="19"/>
              </w:rPr>
              <w:t xml:space="preserve">Conciliation fails</w:t>
            </w:r>
          </w:p>
        </w:tc>
        <w:tc>
          <w:tcPr>
            <w:tcW w:type="dxa" w:w="5800"/>
            <w:tcMar>
              <w:top w:type="dxa" w:w="70"/>
              <w:left w:type="dxa" w:w="90"/>
              <w:bottom w:type="dxa" w:w="70"/>
              <w:right w:type="dxa" w:w="90"/>
            </w:tcMar>
          </w:tcPr>
          <w:p>
            <w:r>
              <w:rPr>
                <w:b w:val="false"/>
                <w:bCs w:val="false"/>
                <w:color w:val="000000"/>
                <w:sz w:val="19"/>
                <w:szCs w:val="19"/>
              </w:rPr>
              <w:t xml:space="preserve">Failure report sent to appropriate government for reference</w:t>
            </w:r>
          </w:p>
        </w:tc>
      </w:tr>
      <w:tr>
        <w:tc>
          <w:tcPr>
            <w:tcW w:type="dxa" w:w="1500"/>
            <w:tcMar>
              <w:top w:type="dxa" w:w="70"/>
              <w:left w:type="dxa" w:w="90"/>
              <w:bottom w:type="dxa" w:w="70"/>
              <w:right w:type="dxa" w:w="90"/>
            </w:tcMar>
          </w:tcPr>
          <w:p>
            <w:r>
              <w:rPr>
                <w:b w:val="false"/>
                <w:bCs w:val="false"/>
                <w:color w:val="000000"/>
                <w:sz w:val="19"/>
                <w:szCs w:val="19"/>
              </w:rPr>
              <w:t xml:space="preserve">15 Feb 2024</w:t>
            </w:r>
          </w:p>
        </w:tc>
        <w:tc>
          <w:tcPr>
            <w:tcW w:type="dxa" w:w="2600"/>
            <w:tcMar>
              <w:top w:type="dxa" w:w="70"/>
              <w:left w:type="dxa" w:w="90"/>
              <w:bottom w:type="dxa" w:w="70"/>
              <w:right w:type="dxa" w:w="90"/>
            </w:tcMar>
          </w:tcPr>
          <w:p>
            <w:r>
              <w:rPr>
                <w:b w:val="false"/>
                <w:bCs w:val="false"/>
                <w:color w:val="000000"/>
                <w:sz w:val="19"/>
                <w:szCs w:val="19"/>
              </w:rPr>
              <w:t xml:space="preserve">Dispute referred to Labour Court</w:t>
            </w:r>
          </w:p>
        </w:tc>
        <w:tc>
          <w:tcPr>
            <w:tcW w:type="dxa" w:w="5800"/>
            <w:tcMar>
              <w:top w:type="dxa" w:w="70"/>
              <w:left w:type="dxa" w:w="90"/>
              <w:bottom w:type="dxa" w:w="70"/>
              <w:right w:type="dxa" w:w="90"/>
            </w:tcMar>
          </w:tcPr>
          <w:p>
            <w:r>
              <w:rPr>
                <w:b w:val="false"/>
                <w:bCs w:val="false"/>
                <w:color w:val="000000"/>
                <w:sz w:val="19"/>
                <w:szCs w:val="19"/>
              </w:rPr>
              <w:t xml:space="preserve">Registered as I.D. No. 34/2024</w:t>
            </w:r>
          </w:p>
        </w:tc>
      </w:tr>
      <w:tr>
        <w:tc>
          <w:tcPr>
            <w:tcW w:type="dxa" w:w="1500"/>
            <w:tcMar>
              <w:top w:type="dxa" w:w="70"/>
              <w:left w:type="dxa" w:w="90"/>
              <w:bottom w:type="dxa" w:w="70"/>
              <w:right w:type="dxa" w:w="90"/>
            </w:tcMar>
          </w:tcPr>
          <w:p>
            <w:r>
              <w:rPr>
                <w:b w:val="false"/>
                <w:bCs w:val="false"/>
                <w:color w:val="000000"/>
                <w:sz w:val="19"/>
                <w:szCs w:val="19"/>
              </w:rPr>
              <w:t xml:space="preserve">10 Apr 2024</w:t>
            </w:r>
          </w:p>
        </w:tc>
        <w:tc>
          <w:tcPr>
            <w:tcW w:type="dxa" w:w="2600"/>
            <w:tcMar>
              <w:top w:type="dxa" w:w="70"/>
              <w:left w:type="dxa" w:w="90"/>
              <w:bottom w:type="dxa" w:w="70"/>
              <w:right w:type="dxa" w:w="90"/>
            </w:tcMar>
          </w:tcPr>
          <w:p>
            <w:r>
              <w:rPr>
                <w:b w:val="false"/>
                <w:bCs w:val="false"/>
                <w:color w:val="000000"/>
                <w:sz w:val="19"/>
                <w:szCs w:val="19"/>
              </w:rPr>
              <w:t xml:space="preserve">Claimant's statement of claim filed</w:t>
            </w:r>
          </w:p>
        </w:tc>
        <w:tc>
          <w:tcPr>
            <w:tcW w:type="dxa" w:w="5800"/>
            <w:tcMar>
              <w:top w:type="dxa" w:w="70"/>
              <w:left w:type="dxa" w:w="90"/>
              <w:bottom w:type="dxa" w:w="70"/>
              <w:right w:type="dxa" w:w="90"/>
            </w:tcMar>
          </w:tcPr>
          <w:p>
            <w:r>
              <w:rPr>
                <w:b w:val="false"/>
                <w:bCs w:val="false"/>
                <w:color w:val="000000"/>
                <w:sz w:val="19"/>
                <w:szCs w:val="19"/>
              </w:rPr>
              <w:t xml:space="preserve">Alleges violation of Section 25G (seniority principle) and victimization</w:t>
            </w:r>
          </w:p>
        </w:tc>
      </w:tr>
      <w:tr>
        <w:tc>
          <w:tcPr>
            <w:tcW w:type="dxa" w:w="1500"/>
            <w:tcMar>
              <w:top w:type="dxa" w:w="70"/>
              <w:left w:type="dxa" w:w="90"/>
              <w:bottom w:type="dxa" w:w="70"/>
              <w:right w:type="dxa" w:w="90"/>
            </w:tcMar>
          </w:tcPr>
          <w:p>
            <w:r>
              <w:rPr>
                <w:b w:val="false"/>
                <w:bCs w:val="false"/>
                <w:color w:val="000000"/>
                <w:sz w:val="19"/>
                <w:szCs w:val="19"/>
              </w:rPr>
              <w:t xml:space="preserve">20 May 2024</w:t>
            </w:r>
          </w:p>
        </w:tc>
        <w:tc>
          <w:tcPr>
            <w:tcW w:type="dxa" w:w="2600"/>
            <w:tcMar>
              <w:top w:type="dxa" w:w="70"/>
              <w:left w:type="dxa" w:w="90"/>
              <w:bottom w:type="dxa" w:w="70"/>
              <w:right w:type="dxa" w:w="90"/>
            </w:tcMar>
          </w:tcPr>
          <w:p>
            <w:r>
              <w:rPr>
                <w:b w:val="false"/>
                <w:bCs w:val="false"/>
                <w:color w:val="000000"/>
                <w:sz w:val="19"/>
                <w:szCs w:val="19"/>
              </w:rPr>
              <w:t xml:space="preserve">Respondent's written statement filed</w:t>
            </w:r>
          </w:p>
        </w:tc>
        <w:tc>
          <w:tcPr>
            <w:tcW w:type="dxa" w:w="5800"/>
            <w:tcMar>
              <w:top w:type="dxa" w:w="70"/>
              <w:left w:type="dxa" w:w="90"/>
              <w:bottom w:type="dxa" w:w="70"/>
              <w:right w:type="dxa" w:w="90"/>
            </w:tcMar>
          </w:tcPr>
          <w:p>
            <w:r>
              <w:rPr>
                <w:b w:val="false"/>
                <w:bCs w:val="false"/>
                <w:color w:val="000000"/>
                <w:sz w:val="19"/>
                <w:szCs w:val="19"/>
              </w:rPr>
              <w:t xml:space="preserve">Denies victimization; asserts valid business reasons for retaining two junior employees with specialized certification</w:t>
            </w:r>
          </w:p>
        </w:tc>
      </w:tr>
      <w:tr>
        <w:tc>
          <w:tcPr>
            <w:tcW w:type="dxa" w:w="1500"/>
            <w:tcMar>
              <w:top w:type="dxa" w:w="70"/>
              <w:left w:type="dxa" w:w="90"/>
              <w:bottom w:type="dxa" w:w="70"/>
              <w:right w:type="dxa" w:w="90"/>
            </w:tcMar>
          </w:tcPr>
          <w:p>
            <w:r>
              <w:rPr>
                <w:b w:val="false"/>
                <w:bCs w:val="false"/>
                <w:color w:val="000000"/>
                <w:sz w:val="19"/>
                <w:szCs w:val="19"/>
              </w:rPr>
              <w:t xml:space="preserve">9 Aug 2024</w:t>
            </w:r>
          </w:p>
        </w:tc>
        <w:tc>
          <w:tcPr>
            <w:tcW w:type="dxa" w:w="2600"/>
            <w:tcMar>
              <w:top w:type="dxa" w:w="70"/>
              <w:left w:type="dxa" w:w="90"/>
              <w:bottom w:type="dxa" w:w="70"/>
              <w:right w:type="dxa" w:w="90"/>
            </w:tcMar>
          </w:tcPr>
          <w:p>
            <w:r>
              <w:rPr>
                <w:b w:val="false"/>
                <w:bCs w:val="false"/>
                <w:color w:val="000000"/>
                <w:sz w:val="19"/>
                <w:szCs w:val="19"/>
              </w:rPr>
              <w:t xml:space="preserve">Issues framed</w:t>
            </w:r>
          </w:p>
        </w:tc>
        <w:tc>
          <w:tcPr>
            <w:tcW w:type="dxa" w:w="5800"/>
            <w:tcMar>
              <w:top w:type="dxa" w:w="70"/>
              <w:left w:type="dxa" w:w="90"/>
              <w:bottom w:type="dxa" w:w="70"/>
              <w:right w:type="dxa" w:w="90"/>
            </w:tcMar>
          </w:tcPr>
          <w:p>
            <w:r>
              <w:rPr>
                <w:b w:val="false"/>
                <w:bCs w:val="false"/>
                <w:color w:val="000000"/>
                <w:sz w:val="19"/>
                <w:szCs w:val="19"/>
              </w:rPr>
              <w:t xml:space="preserve">Including validity of deviation from seniority principle and alleged link to internal complaint</w:t>
            </w:r>
          </w:p>
        </w:tc>
      </w:tr>
      <w:tr>
        <w:tc>
          <w:tcPr>
            <w:tcW w:type="dxa" w:w="1500"/>
            <w:tcMar>
              <w:top w:type="dxa" w:w="70"/>
              <w:left w:type="dxa" w:w="90"/>
              <w:bottom w:type="dxa" w:w="70"/>
              <w:right w:type="dxa" w:w="90"/>
            </w:tcMar>
          </w:tcPr>
          <w:p>
            <w:r>
              <w:rPr>
                <w:b w:val="false"/>
                <w:bCs w:val="false"/>
                <w:color w:val="000000"/>
                <w:sz w:val="19"/>
                <w:szCs w:val="19"/>
              </w:rPr>
              <w:t xml:space="preserve">11 Nov 2024</w:t>
            </w:r>
          </w:p>
        </w:tc>
        <w:tc>
          <w:tcPr>
            <w:tcW w:type="dxa" w:w="2600"/>
            <w:tcMar>
              <w:top w:type="dxa" w:w="70"/>
              <w:left w:type="dxa" w:w="90"/>
              <w:bottom w:type="dxa" w:w="70"/>
              <w:right w:type="dxa" w:w="90"/>
            </w:tcMar>
          </w:tcPr>
          <w:p>
            <w:r>
              <w:rPr>
                <w:b w:val="false"/>
                <w:bCs w:val="false"/>
                <w:color w:val="000000"/>
                <w:sz w:val="19"/>
                <w:szCs w:val="19"/>
              </w:rPr>
              <w:t xml:space="preserve">Claimant examined-in-chief</w:t>
            </w:r>
          </w:p>
        </w:tc>
        <w:tc>
          <w:tcPr>
            <w:tcW w:type="dxa" w:w="5800"/>
            <w:tcMar>
              <w:top w:type="dxa" w:w="70"/>
              <w:left w:type="dxa" w:w="90"/>
              <w:bottom w:type="dxa" w:w="70"/>
              <w:right w:type="dxa" w:w="90"/>
            </w:tcMar>
          </w:tcPr>
          <w:p>
            <w:r>
              <w:rPr>
                <w:b w:val="false"/>
                <w:bCs w:val="false"/>
                <w:color w:val="000000"/>
                <w:sz w:val="19"/>
                <w:szCs w:val="19"/>
              </w:rPr>
              <w:t xml:space="preserve">Deposed on service history, retention of junior colleagues, and internal complaint</w:t>
            </w:r>
          </w:p>
        </w:tc>
      </w:tr>
      <w:tr>
        <w:tc>
          <w:tcPr>
            <w:tcW w:type="dxa" w:w="1500"/>
            <w:tcMar>
              <w:top w:type="dxa" w:w="70"/>
              <w:left w:type="dxa" w:w="90"/>
              <w:bottom w:type="dxa" w:w="70"/>
              <w:right w:type="dxa" w:w="90"/>
            </w:tcMar>
          </w:tcPr>
          <w:p>
            <w:r>
              <w:rPr>
                <w:b w:val="false"/>
                <w:bCs w:val="false"/>
                <w:color w:val="000000"/>
                <w:sz w:val="19"/>
                <w:szCs w:val="19"/>
              </w:rPr>
              <w:t xml:space="preserve">6 Feb 2025</w:t>
            </w:r>
          </w:p>
        </w:tc>
        <w:tc>
          <w:tcPr>
            <w:tcW w:type="dxa" w:w="2600"/>
            <w:tcMar>
              <w:top w:type="dxa" w:w="70"/>
              <w:left w:type="dxa" w:w="90"/>
              <w:bottom w:type="dxa" w:w="70"/>
              <w:right w:type="dxa" w:w="90"/>
            </w:tcMar>
          </w:tcPr>
          <w:p>
            <w:r>
              <w:rPr>
                <w:b w:val="false"/>
                <w:bCs w:val="false"/>
                <w:color w:val="000000"/>
                <w:sz w:val="19"/>
                <w:szCs w:val="19"/>
              </w:rPr>
              <w:t xml:space="preserve">Claimant cross-examined</w:t>
            </w:r>
          </w:p>
        </w:tc>
        <w:tc>
          <w:tcPr>
            <w:tcW w:type="dxa" w:w="5800"/>
            <w:tcMar>
              <w:top w:type="dxa" w:w="70"/>
              <w:left w:type="dxa" w:w="90"/>
              <w:bottom w:type="dxa" w:w="70"/>
              <w:right w:type="dxa" w:w="90"/>
            </w:tcMar>
          </w:tcPr>
          <w:p>
            <w:r>
              <w:rPr>
                <w:b w:val="false"/>
                <w:bCs w:val="false"/>
                <w:color w:val="000000"/>
                <w:sz w:val="19"/>
                <w:szCs w:val="19"/>
              </w:rPr>
              <w:t xml:space="preserve">Questioned on timeline between complaint and termination; matter part-heard</w:t>
            </w:r>
          </w:p>
        </w:tc>
      </w:tr>
    </w:tbl>
    <w:p>
      <w:pPr>
        <w:pStyle w:val="Heading1"/>
        <w:spacing w:after="120" w:before="240"/>
      </w:pPr>
      <w:r>
        <w:t xml:space="preserve">4. Documents on Record</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4800"/>
      </w:tblGrid>
      <w:tr>
        <w:tc>
          <w:tcPr>
            <w:tcW w:type="dxa" w:w="1400"/>
            <w:shd w:fill="5C3E00" w:color="auto" w:val="clear"/>
            <w:tcMar>
              <w:top w:type="dxa" w:w="70"/>
              <w:left w:type="dxa" w:w="90"/>
              <w:bottom w:type="dxa" w:w="70"/>
              <w:right w:type="dxa" w:w="90"/>
            </w:tcMar>
          </w:tcPr>
          <w:p>
            <w:r>
              <w:rPr>
                <w:b/>
                <w:bCs/>
                <w:color w:val="FFFFFF"/>
                <w:sz w:val="19"/>
                <w:szCs w:val="19"/>
              </w:rPr>
              <w:t xml:space="preserve">Exhibit No.</w:t>
            </w:r>
          </w:p>
        </w:tc>
        <w:tc>
          <w:tcPr>
            <w:tcW w:type="dxa" w:w="3600"/>
            <w:shd w:fill="5C3E00" w:color="auto" w:val="clear"/>
            <w:tcMar>
              <w:top w:type="dxa" w:w="70"/>
              <w:left w:type="dxa" w:w="90"/>
              <w:bottom w:type="dxa" w:w="70"/>
              <w:right w:type="dxa" w:w="90"/>
            </w:tcMar>
          </w:tcPr>
          <w:p>
            <w:r>
              <w:rPr>
                <w:b/>
                <w:bCs/>
                <w:color w:val="FFFFFF"/>
                <w:sz w:val="19"/>
                <w:szCs w:val="19"/>
              </w:rPr>
              <w:t xml:space="preserve">Description</w:t>
            </w:r>
          </w:p>
        </w:tc>
        <w:tc>
          <w:tcPr>
            <w:tcW w:type="dxa" w:w="4800"/>
            <w:shd w:fill="5C3E00" w:color="auto" w:val="clear"/>
            <w:tcMar>
              <w:top w:type="dxa" w:w="70"/>
              <w:left w:type="dxa" w:w="90"/>
              <w:bottom w:type="dxa" w:w="70"/>
              <w:right w:type="dxa" w:w="90"/>
            </w:tcMar>
          </w:tcPr>
          <w:p>
            <w:r>
              <w:rPr>
                <w:b/>
                <w:bCs/>
                <w:color w:val="FFFFFF"/>
                <w:sz w:val="19"/>
                <w:szCs w:val="19"/>
              </w:rPr>
              <w:t xml:space="preserve">Relevance</w:t>
            </w:r>
          </w:p>
        </w:tc>
      </w:tr>
      <w:tr>
        <w:tc>
          <w:tcPr>
            <w:tcW w:type="dxa" w:w="1400"/>
            <w:tcMar>
              <w:top w:type="dxa" w:w="70"/>
              <w:left w:type="dxa" w:w="90"/>
              <w:bottom w:type="dxa" w:w="70"/>
              <w:right w:type="dxa" w:w="90"/>
            </w:tcMar>
          </w:tcPr>
          <w:p>
            <w:r>
              <w:rPr>
                <w:b w:val="false"/>
                <w:bCs w:val="false"/>
                <w:color w:val="000000"/>
                <w:sz w:val="19"/>
                <w:szCs w:val="19"/>
              </w:rPr>
              <w:t xml:space="preserve">Ex. W1</w:t>
            </w:r>
          </w:p>
        </w:tc>
        <w:tc>
          <w:tcPr>
            <w:tcW w:type="dxa" w:w="3600"/>
            <w:tcMar>
              <w:top w:type="dxa" w:w="70"/>
              <w:left w:type="dxa" w:w="90"/>
              <w:bottom w:type="dxa" w:w="70"/>
              <w:right w:type="dxa" w:w="90"/>
            </w:tcMar>
          </w:tcPr>
          <w:p>
            <w:r>
              <w:rPr>
                <w:b w:val="false"/>
                <w:bCs w:val="false"/>
                <w:color w:val="000000"/>
                <w:sz w:val="19"/>
                <w:szCs w:val="19"/>
              </w:rPr>
              <w:t xml:space="preserve">Appointment letter dated 3 Jun 2019</w:t>
            </w:r>
          </w:p>
        </w:tc>
        <w:tc>
          <w:tcPr>
            <w:tcW w:type="dxa" w:w="4800"/>
            <w:tcMar>
              <w:top w:type="dxa" w:w="70"/>
              <w:left w:type="dxa" w:w="90"/>
              <w:bottom w:type="dxa" w:w="70"/>
              <w:right w:type="dxa" w:w="90"/>
            </w:tcMar>
          </w:tcPr>
          <w:p>
            <w:r>
              <w:rPr>
                <w:b w:val="false"/>
                <w:bCs w:val="false"/>
                <w:color w:val="000000"/>
                <w:sz w:val="19"/>
                <w:szCs w:val="19"/>
              </w:rPr>
              <w:t xml:space="preserve">Establishes date of joining and designation</w:t>
            </w:r>
          </w:p>
        </w:tc>
      </w:tr>
      <w:tr>
        <w:tc>
          <w:tcPr>
            <w:tcW w:type="dxa" w:w="1400"/>
            <w:tcMar>
              <w:top w:type="dxa" w:w="70"/>
              <w:left w:type="dxa" w:w="90"/>
              <w:bottom w:type="dxa" w:w="70"/>
              <w:right w:type="dxa" w:w="90"/>
            </w:tcMar>
          </w:tcPr>
          <w:p>
            <w:r>
              <w:rPr>
                <w:b w:val="false"/>
                <w:bCs w:val="false"/>
                <w:color w:val="000000"/>
                <w:sz w:val="19"/>
                <w:szCs w:val="19"/>
              </w:rPr>
              <w:t xml:space="preserve">Ex. W2</w:t>
            </w:r>
          </w:p>
        </w:tc>
        <w:tc>
          <w:tcPr>
            <w:tcW w:type="dxa" w:w="3600"/>
            <w:tcMar>
              <w:top w:type="dxa" w:w="70"/>
              <w:left w:type="dxa" w:w="90"/>
              <w:bottom w:type="dxa" w:w="70"/>
              <w:right w:type="dxa" w:w="90"/>
            </w:tcMar>
          </w:tcPr>
          <w:p>
            <w:r>
              <w:rPr>
                <w:b w:val="false"/>
                <w:bCs w:val="false"/>
                <w:color w:val="000000"/>
                <w:sz w:val="19"/>
                <w:szCs w:val="19"/>
              </w:rPr>
              <w:t xml:space="preserve">Internal complaint email dated 14 Mar 2023</w:t>
            </w:r>
          </w:p>
        </w:tc>
        <w:tc>
          <w:tcPr>
            <w:tcW w:type="dxa" w:w="4800"/>
            <w:tcMar>
              <w:top w:type="dxa" w:w="70"/>
              <w:left w:type="dxa" w:w="90"/>
              <w:bottom w:type="dxa" w:w="70"/>
              <w:right w:type="dxa" w:w="90"/>
            </w:tcMar>
          </w:tcPr>
          <w:p>
            <w:r>
              <w:rPr>
                <w:b w:val="false"/>
                <w:bCs w:val="false"/>
                <w:color w:val="000000"/>
                <w:sz w:val="19"/>
                <w:szCs w:val="19"/>
              </w:rPr>
              <w:t xml:space="preserve">Basis for claimant's victimization argument</w:t>
            </w:r>
          </w:p>
        </w:tc>
      </w:tr>
      <w:tr>
        <w:tc>
          <w:tcPr>
            <w:tcW w:type="dxa" w:w="1400"/>
            <w:tcMar>
              <w:top w:type="dxa" w:w="70"/>
              <w:left w:type="dxa" w:w="90"/>
              <w:bottom w:type="dxa" w:w="70"/>
              <w:right w:type="dxa" w:w="90"/>
            </w:tcMar>
          </w:tcPr>
          <w:p>
            <w:r>
              <w:rPr>
                <w:b w:val="false"/>
                <w:bCs w:val="false"/>
                <w:color w:val="000000"/>
                <w:sz w:val="19"/>
                <w:szCs w:val="19"/>
              </w:rPr>
              <w:t xml:space="preserve">Ex. W3</w:t>
            </w:r>
          </w:p>
        </w:tc>
        <w:tc>
          <w:tcPr>
            <w:tcW w:type="dxa" w:w="3600"/>
            <w:tcMar>
              <w:top w:type="dxa" w:w="70"/>
              <w:left w:type="dxa" w:w="90"/>
              <w:bottom w:type="dxa" w:w="70"/>
              <w:right w:type="dxa" w:w="90"/>
            </w:tcMar>
          </w:tcPr>
          <w:p>
            <w:r>
              <w:rPr>
                <w:b w:val="false"/>
                <w:bCs w:val="false"/>
                <w:color w:val="000000"/>
                <w:sz w:val="19"/>
                <w:szCs w:val="19"/>
              </w:rPr>
              <w:t xml:space="preserve">Termination letter dated 30 Sep 2023 with compensation calculation</w:t>
            </w:r>
          </w:p>
        </w:tc>
        <w:tc>
          <w:tcPr>
            <w:tcW w:type="dxa" w:w="4800"/>
            <w:tcMar>
              <w:top w:type="dxa" w:w="70"/>
              <w:left w:type="dxa" w:w="90"/>
              <w:bottom w:type="dxa" w:w="70"/>
              <w:right w:type="dxa" w:w="90"/>
            </w:tcMar>
          </w:tcPr>
          <w:p>
            <w:r>
              <w:rPr>
                <w:b w:val="false"/>
                <w:bCs w:val="false"/>
                <w:color w:val="000000"/>
                <w:sz w:val="19"/>
                <w:szCs w:val="19"/>
              </w:rPr>
              <w:t xml:space="preserve">Confirms notice pay and retrenchment compensation tendered</w:t>
            </w:r>
          </w:p>
        </w:tc>
      </w:tr>
      <w:tr>
        <w:tc>
          <w:tcPr>
            <w:tcW w:type="dxa" w:w="1400"/>
            <w:tcMar>
              <w:top w:type="dxa" w:w="70"/>
              <w:left w:type="dxa" w:w="90"/>
              <w:bottom w:type="dxa" w:w="70"/>
              <w:right w:type="dxa" w:w="90"/>
            </w:tcMar>
          </w:tcPr>
          <w:p>
            <w:r>
              <w:rPr>
                <w:b w:val="false"/>
                <w:bCs w:val="false"/>
                <w:color w:val="000000"/>
                <w:sz w:val="19"/>
                <w:szCs w:val="19"/>
              </w:rPr>
              <w:t xml:space="preserve">Ex. M1</w:t>
            </w:r>
          </w:p>
        </w:tc>
        <w:tc>
          <w:tcPr>
            <w:tcW w:type="dxa" w:w="3600"/>
            <w:tcMar>
              <w:top w:type="dxa" w:w="70"/>
              <w:left w:type="dxa" w:w="90"/>
              <w:bottom w:type="dxa" w:w="70"/>
              <w:right w:type="dxa" w:w="90"/>
            </w:tcMar>
          </w:tcPr>
          <w:p>
            <w:r>
              <w:rPr>
                <w:b w:val="false"/>
                <w:bCs w:val="false"/>
                <w:color w:val="000000"/>
                <w:sz w:val="19"/>
                <w:szCs w:val="19"/>
              </w:rPr>
              <w:t xml:space="preserve">QA team headcount and seniority list, Sep 2023</w:t>
            </w:r>
          </w:p>
        </w:tc>
        <w:tc>
          <w:tcPr>
            <w:tcW w:type="dxa" w:w="4800"/>
            <w:tcMar>
              <w:top w:type="dxa" w:w="70"/>
              <w:left w:type="dxa" w:w="90"/>
              <w:bottom w:type="dxa" w:w="70"/>
              <w:right w:type="dxa" w:w="90"/>
            </w:tcMar>
          </w:tcPr>
          <w:p>
            <w:r>
              <w:rPr>
                <w:b w:val="false"/>
                <w:bCs w:val="false"/>
                <w:color w:val="000000"/>
                <w:sz w:val="19"/>
                <w:szCs w:val="19"/>
              </w:rPr>
              <w:t xml:space="preserve">Respondent's evidence on relative seniority and specialized skill sets retained</w:t>
            </w:r>
          </w:p>
        </w:tc>
      </w:tr>
      <w:tr>
        <w:tc>
          <w:tcPr>
            <w:tcW w:type="dxa" w:w="1400"/>
            <w:tcMar>
              <w:top w:type="dxa" w:w="70"/>
              <w:left w:type="dxa" w:w="90"/>
              <w:bottom w:type="dxa" w:w="70"/>
              <w:right w:type="dxa" w:w="90"/>
            </w:tcMar>
          </w:tcPr>
          <w:p>
            <w:r>
              <w:rPr>
                <w:b w:val="false"/>
                <w:bCs w:val="false"/>
                <w:color w:val="000000"/>
                <w:sz w:val="19"/>
                <w:szCs w:val="19"/>
              </w:rPr>
              <w:t xml:space="preserve">Ex. M2</w:t>
            </w:r>
          </w:p>
        </w:tc>
        <w:tc>
          <w:tcPr>
            <w:tcW w:type="dxa" w:w="3600"/>
            <w:tcMar>
              <w:top w:type="dxa" w:w="70"/>
              <w:left w:type="dxa" w:w="90"/>
              <w:bottom w:type="dxa" w:w="70"/>
              <w:right w:type="dxa" w:w="90"/>
            </w:tcMar>
          </w:tcPr>
          <w:p>
            <w:r>
              <w:rPr>
                <w:b w:val="false"/>
                <w:bCs w:val="false"/>
                <w:color w:val="000000"/>
                <w:sz w:val="19"/>
                <w:szCs w:val="19"/>
              </w:rPr>
              <w:t xml:space="preserve">Client contract termination notice (redacted), Jul 2023</w:t>
            </w:r>
          </w:p>
        </w:tc>
        <w:tc>
          <w:tcPr>
            <w:tcW w:type="dxa" w:w="4800"/>
            <w:tcMar>
              <w:top w:type="dxa" w:w="70"/>
              <w:left w:type="dxa" w:w="90"/>
              <w:bottom w:type="dxa" w:w="70"/>
              <w:right w:type="dxa" w:w="90"/>
            </w:tcMar>
          </w:tcPr>
          <w:p>
            <w:r>
              <w:rPr>
                <w:b w:val="false"/>
                <w:bCs w:val="false"/>
                <w:color w:val="000000"/>
                <w:sz w:val="19"/>
                <w:szCs w:val="19"/>
              </w:rPr>
              <w:t xml:space="preserve">Supports respondent's business rationale for workforce reduction</w:t>
            </w:r>
          </w:p>
        </w:tc>
      </w:tr>
      <w:tr>
        <w:tc>
          <w:tcPr>
            <w:tcW w:type="dxa" w:w="1400"/>
            <w:tcMar>
              <w:top w:type="dxa" w:w="70"/>
              <w:left w:type="dxa" w:w="90"/>
              <w:bottom w:type="dxa" w:w="70"/>
              <w:right w:type="dxa" w:w="90"/>
            </w:tcMar>
          </w:tcPr>
          <w:p>
            <w:r>
              <w:rPr>
                <w:b w:val="false"/>
                <w:bCs w:val="false"/>
                <w:color w:val="000000"/>
                <w:sz w:val="19"/>
                <w:szCs w:val="19"/>
              </w:rPr>
              <w:t xml:space="preserve">Ex. M3</w:t>
            </w:r>
          </w:p>
        </w:tc>
        <w:tc>
          <w:tcPr>
            <w:tcW w:type="dxa" w:w="3600"/>
            <w:tcMar>
              <w:top w:type="dxa" w:w="70"/>
              <w:left w:type="dxa" w:w="90"/>
              <w:bottom w:type="dxa" w:w="70"/>
              <w:right w:type="dxa" w:w="90"/>
            </w:tcMar>
          </w:tcPr>
          <w:p>
            <w:r>
              <w:rPr>
                <w:b w:val="false"/>
                <w:bCs w:val="false"/>
                <w:color w:val="000000"/>
                <w:sz w:val="19"/>
                <w:szCs w:val="19"/>
              </w:rPr>
              <w:t xml:space="preserve">Internal grievance closure note dated 2 May 2023</w:t>
            </w:r>
          </w:p>
        </w:tc>
        <w:tc>
          <w:tcPr>
            <w:tcW w:type="dxa" w:w="4800"/>
            <w:tcMar>
              <w:top w:type="dxa" w:w="70"/>
              <w:left w:type="dxa" w:w="90"/>
              <w:bottom w:type="dxa" w:w="70"/>
              <w:right w:type="dxa" w:w="90"/>
            </w:tcMar>
          </w:tcPr>
          <w:p>
            <w:r>
              <w:rPr>
                <w:b w:val="false"/>
                <w:bCs w:val="false"/>
                <w:color w:val="000000"/>
                <w:sz w:val="19"/>
                <w:szCs w:val="19"/>
              </w:rPr>
              <w:t xml:space="preserve">Respondent's evidence that the complaint was addressed independently of termination</w:t>
            </w:r>
          </w:p>
        </w:tc>
      </w:tr>
    </w:tbl>
    <w:p>
      <w:pPr>
        <w:pStyle w:val="Heading1"/>
        <w:spacing w:after="120" w:before="240"/>
      </w:pPr>
      <w:r>
        <w:t xml:space="preserve">5. Key Legal Issues</w:t>
      </w:r>
    </w:p>
    <w:p>
      <w:pPr>
        <w:pStyle w:val="ListParagraph"/>
        <w:numPr>
          <w:ilvl w:val="0"/>
          <w:numId w:val="2"/>
        </w:numPr>
        <w:spacing w:after="80"/>
      </w:pPr>
      <w:r>
        <w:t xml:space="preserve">Whether the termination constitutes 'retrenchment' within the meaning of Section 2(oo) of the Industrial Disputes Act, 1947, and whether Section 25F conditions were duly complied with</w:t>
      </w:r>
    </w:p>
    <w:p>
      <w:pPr>
        <w:pStyle w:val="ListParagraph"/>
        <w:numPr>
          <w:ilvl w:val="0"/>
          <w:numId w:val="2"/>
        </w:numPr>
        <w:spacing w:after="80"/>
      </w:pPr>
      <w:r>
        <w:t xml:space="preserve">Whether deviation from the 'last-in-first-out' principle under Section 25G was justified by the specialized certification rationale advanced by the respondent</w:t>
      </w:r>
    </w:p>
    <w:p>
      <w:pPr>
        <w:pStyle w:val="ListParagraph"/>
        <w:numPr>
          <w:ilvl w:val="0"/>
          <w:numId w:val="2"/>
        </w:numPr>
        <w:spacing w:after="80"/>
      </w:pPr>
      <w:r>
        <w:t xml:space="preserve">Whether the termination was, in substance, victimization connected to the claimant's internal complaint of March 2023</w:t>
      </w:r>
    </w:p>
    <w:p>
      <w:pPr>
        <w:pStyle w:val="ListParagraph"/>
        <w:numPr>
          <w:ilvl w:val="0"/>
          <w:numId w:val="2"/>
        </w:numPr>
        <w:spacing w:after="80"/>
      </w:pPr>
      <w:r>
        <w:t xml:space="preserve">If termination is found invalid, whether reinstatement with back wages or monetary compensation in lieu is the appropriate relief</w:t>
      </w:r>
    </w:p>
    <w:p>
      <w:pPr>
        <w:pStyle w:val="Heading1"/>
        <w:spacing w:after="120" w:before="240"/>
      </w:pPr>
      <w:r>
        <w:t xml:space="preserve">6. Current Status</w:t>
      </w:r>
    </w:p>
    <w:p>
      <w:pPr>
        <w:spacing w:after="160"/>
      </w:pPr>
      <w:r>
        <w:t xml:space="preserve">The claimant's cross-examination is part-heard, with continued questioning expected on the temporal proximity between his internal complaint and selection for retrenchment. Respondent's evidence, including testimony from the QA department head, has not yet commenced.</w:t>
      </w:r>
    </w:p>
    <w:p>
      <w:pPr>
        <w:pStyle w:val="Heading1"/>
        <w:spacing w:after="120" w:before="240"/>
      </w:pPr>
      <w:r>
        <w:t xml:space="preserve">7. Next Steps</w:t>
      </w:r>
    </w:p>
    <w:p>
      <w:pPr>
        <w:pStyle w:val="ListParagraph"/>
        <w:numPr>
          <w:ilvl w:val="0"/>
          <w:numId w:val="2"/>
        </w:numPr>
        <w:spacing w:after="80"/>
      </w:pPr>
      <w:r>
        <w:t xml:space="preserve">Next hearing: 25 April 2025 — continuation of claimant's cross-examination</w:t>
      </w:r>
    </w:p>
    <w:p>
      <w:pPr>
        <w:pStyle w:val="ListParagraph"/>
        <w:numPr>
          <w:ilvl w:val="0"/>
          <w:numId w:val="2"/>
        </w:numPr>
        <w:spacing w:after="80"/>
      </w:pPr>
      <w:r>
        <w:t xml:space="preserve">Prepare QA department head as respondent's witness on specialized certification rationale (Ex. M1)</w:t>
      </w:r>
    </w:p>
    <w:p>
      <w:pPr>
        <w:pStyle w:val="ListParagraph"/>
        <w:numPr>
          <w:ilvl w:val="0"/>
          <w:numId w:val="2"/>
        </w:numPr>
        <w:spacing w:after="80"/>
      </w:pPr>
      <w:r>
        <w:t xml:space="preserve">Compile documentary trail showing grievance closure predates termination decision, to rebut victimization allegation</w:t>
      </w:r>
    </w:p>
    <w:p>
      <w:pPr>
        <w:pStyle w:val="ListParagraph"/>
        <w:numPr>
          <w:ilvl w:val="0"/>
          <w:numId w:val="2"/>
        </w:numPr>
        <w:spacing w:after="80"/>
      </w:pPr>
      <w:r>
        <w:t xml:space="preserve">Reassess settlement range in consultation with client HR team ahead of respondent's evidence stage</w:t>
      </w:r>
    </w:p>
    <w:p>
      <w:pPr>
        <w:pStyle w:val="Heading1"/>
        <w:spacing w:after="120" w:before="240"/>
      </w:pPr>
      <w:r>
        <w:t xml:space="preserve">8. Internal Notes (Privileged &amp; Confidential)</w:t>
      </w:r>
    </w:p>
    <w:p>
      <w:pPr>
        <w:spacing w:after="160"/>
      </w:pPr>
      <w:r>
        <w:t xml:space="preserve">Client HR has confirmed internally that the grievance was closed on 2 May 2023 with no adverse finding against the claimant, and maintains the retrenchment selection was independent of it. Team should be prepared for the claimant's counsel to press hard on the roughly four-month gap between the complaint and termination during further cross-examination and in final arguments.</w:t>
      </w:r>
    </w:p>
    <w:p>
      <w:pPr>
        <w:pStyle w:val="Heading1"/>
        <w:spacing w:after="120" w:before="240"/>
      </w:pPr>
      <w:r>
        <w:t xml:space="preserve">9. Relevant Legal Provisions</w:t>
      </w:r>
    </w:p>
    <w:p>
      <w:pPr>
        <w:pStyle w:val="ListParagraph"/>
        <w:numPr>
          <w:ilvl w:val="0"/>
          <w:numId w:val="2"/>
        </w:numPr>
        <w:spacing w:after="80"/>
      </w:pPr>
      <w:r>
        <w:t xml:space="preserve">Section 2(oo), Industrial Disputes Act, 1947 — Definition of 'retrenchment'</w:t>
      </w:r>
    </w:p>
    <w:p>
      <w:pPr>
        <w:pStyle w:val="ListParagraph"/>
        <w:numPr>
          <w:ilvl w:val="0"/>
          <w:numId w:val="2"/>
        </w:numPr>
        <w:spacing w:after="80"/>
      </w:pPr>
      <w:r>
        <w:t xml:space="preserve">Section 25F, Industrial Disputes Act, 1947 — Conditions precedent to retrenchment, including notice and compensation</w:t>
      </w:r>
    </w:p>
    <w:p>
      <w:pPr>
        <w:pStyle w:val="ListParagraph"/>
        <w:numPr>
          <w:ilvl w:val="0"/>
          <w:numId w:val="2"/>
        </w:numPr>
        <w:spacing w:after="80"/>
      </w:pPr>
      <w:r>
        <w:t xml:space="preserve">Section 25G, Industrial Disputes Act, 1947 — Procedure for retrenchment, including the 'last-in-first-out' principle absent reasons to the contrary</w:t>
      </w:r>
    </w:p>
    <w:p>
      <w:pPr>
        <w:pStyle w:val="ListParagraph"/>
        <w:numPr>
          <w:ilvl w:val="0"/>
          <w:numId w:val="2"/>
        </w:numPr>
        <w:spacing w:after="80"/>
      </w:pPr>
      <w:r>
        <w:t xml:space="preserve">Section 25N, Industrial Disputes Act, 1947 — Additional conditions applicable where the establishment falls within its scope (not applicable here given headcount)</w:t>
      </w:r>
    </w:p>
    <w:p>
      <w:pPr>
        <w:pStyle w:val="Heading1"/>
        <w:spacing w:after="120" w:before="240"/>
      </w:pPr>
      <w:r>
        <w:t xml:space="preserve">10. Precedents Relied Upon</w:t>
      </w:r>
    </w:p>
    <w:p>
      <w:pPr>
        <w:spacing w:after="160"/>
      </w:pPr>
      <w:r>
        <w:t xml:space="preserve">The following categories of precedent are being relied upon; specific citations to be finalized by the handling advocate ahead of final arguments:</w:t>
      </w:r>
    </w:p>
    <w:p>
      <w:pPr>
        <w:pStyle w:val="ListParagraph"/>
        <w:numPr>
          <w:ilvl w:val="0"/>
          <w:numId w:val="2"/>
        </w:numPr>
        <w:spacing w:after="80"/>
      </w:pPr>
      <w:r>
        <w:t xml:space="preserve">Authorities on permissible deviation from the seniority principle under Section 25G where genuine and demonstrable business reasons, such as specialized skill retention, are shown</w:t>
      </w:r>
    </w:p>
    <w:p>
      <w:pPr>
        <w:pStyle w:val="ListParagraph"/>
        <w:numPr>
          <w:ilvl w:val="0"/>
          <w:numId w:val="2"/>
        </w:numPr>
        <w:spacing w:after="80"/>
      </w:pPr>
      <w:r>
        <w:t xml:space="preserve">Authorities distinguishing bona fide retrenchment for economic reasons from disguised or colorable termination amounting to victimization</w:t>
      </w:r>
    </w:p>
    <w:p>
      <w:pPr>
        <w:pStyle w:val="ListParagraph"/>
        <w:numPr>
          <w:ilvl w:val="0"/>
          <w:numId w:val="2"/>
        </w:numPr>
        <w:spacing w:after="80"/>
      </w:pPr>
      <w:r>
        <w:t xml:space="preserve">Authorities on the evidentiary burden on a workman alleging victimization to show a causal link, as opposed to mere temporal proximity, between a protected act and termination</w:t>
      </w:r>
    </w:p>
    <w:p>
      <w:pPr>
        <w:pStyle w:val="Heading1"/>
        <w:spacing w:after="120" w:before="240"/>
      </w:pPr>
      <w:r>
        <w:t xml:space="preserve">12. Risk Assessment</w:t>
      </w:r>
    </w:p>
    <w:p>
      <w:pPr>
        <w:spacing w:after="160"/>
      </w:pPr>
      <w:r>
        <w:t xml:space="preserve">The respondent's documentary compliance with Section 25F (notice and compensation) is not seriously disputed. The principal litigation risk is the roughly four-month gap between the claimant's internal complaint and his selection for retrenchment, combined with the retention of two junior colleagues, which the claimant will argue together suggest victimization rather than a neutral business decision. The specialized certification rationale (Ex. M1) and the independently documented grievance closure (Ex. M3) are the respondent's strongest counters to this inference.</w:t>
      </w:r>
    </w:p>
    <w:p>
      <w:pPr>
        <w:pStyle w:val="Heading1"/>
        <w:spacing w:after="120" w:before="240"/>
      </w:pPr>
      <w:r>
        <w:t xml:space="preserve">13. Witness List</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4800"/>
      </w:tblGrid>
      <w:tr>
        <w:tc>
          <w:tcPr>
            <w:tcW w:type="dxa" w:w="1400"/>
            <w:shd w:fill="5C3E00" w:color="auto" w:val="clear"/>
            <w:tcMar>
              <w:top w:type="dxa" w:w="70"/>
              <w:left w:type="dxa" w:w="90"/>
              <w:bottom w:type="dxa" w:w="70"/>
              <w:right w:type="dxa" w:w="90"/>
            </w:tcMar>
          </w:tcPr>
          <w:p>
            <w:r>
              <w:rPr>
                <w:b/>
                <w:bCs/>
                <w:color w:val="FFFFFF"/>
                <w:sz w:val="19"/>
                <w:szCs w:val="19"/>
              </w:rPr>
              <w:t xml:space="preserve">Witness</w:t>
            </w:r>
          </w:p>
        </w:tc>
        <w:tc>
          <w:tcPr>
            <w:tcW w:type="dxa" w:w="3600"/>
            <w:shd w:fill="5C3E00" w:color="auto" w:val="clear"/>
            <w:tcMar>
              <w:top w:type="dxa" w:w="70"/>
              <w:left w:type="dxa" w:w="90"/>
              <w:bottom w:type="dxa" w:w="70"/>
              <w:right w:type="dxa" w:w="90"/>
            </w:tcMar>
          </w:tcPr>
          <w:p>
            <w:r>
              <w:rPr>
                <w:b/>
                <w:bCs/>
                <w:color w:val="FFFFFF"/>
                <w:sz w:val="19"/>
                <w:szCs w:val="19"/>
              </w:rPr>
              <w:t xml:space="preserve">Role</w:t>
            </w:r>
          </w:p>
        </w:tc>
        <w:tc>
          <w:tcPr>
            <w:tcW w:type="dxa" w:w="4800"/>
            <w:shd w:fill="5C3E00" w:color="auto" w:val="clear"/>
            <w:tcMar>
              <w:top w:type="dxa" w:w="70"/>
              <w:left w:type="dxa" w:w="90"/>
              <w:bottom w:type="dxa" w:w="70"/>
              <w:right w:type="dxa" w:w="90"/>
            </w:tcMar>
          </w:tcPr>
          <w:p>
            <w:r>
              <w:rPr>
                <w:b/>
                <w:bCs/>
                <w:color w:val="FFFFFF"/>
                <w:sz w:val="19"/>
                <w:szCs w:val="19"/>
              </w:rPr>
              <w:t xml:space="preserve">Status</w:t>
            </w:r>
          </w:p>
        </w:tc>
      </w:tr>
      <w:tr>
        <w:tc>
          <w:tcPr>
            <w:tcW w:type="dxa" w:w="1400"/>
            <w:tcMar>
              <w:top w:type="dxa" w:w="70"/>
              <w:left w:type="dxa" w:w="90"/>
              <w:bottom w:type="dxa" w:w="70"/>
              <w:right w:type="dxa" w:w="90"/>
            </w:tcMar>
          </w:tcPr>
          <w:p>
            <w:r>
              <w:rPr>
                <w:b w:val="false"/>
                <w:bCs w:val="false"/>
                <w:color w:val="000000"/>
                <w:sz w:val="19"/>
                <w:szCs w:val="19"/>
              </w:rPr>
              <w:t xml:space="preserve">Claimant — Mr. Anil Kumar</w:t>
            </w:r>
          </w:p>
        </w:tc>
        <w:tc>
          <w:tcPr>
            <w:tcW w:type="dxa" w:w="3600"/>
            <w:tcMar>
              <w:top w:type="dxa" w:w="70"/>
              <w:left w:type="dxa" w:w="90"/>
              <w:bottom w:type="dxa" w:w="70"/>
              <w:right w:type="dxa" w:w="90"/>
            </w:tcMar>
          </w:tcPr>
          <w:p>
            <w:r>
              <w:rPr>
                <w:b w:val="false"/>
                <w:bCs w:val="false"/>
                <w:color w:val="000000"/>
                <w:sz w:val="19"/>
                <w:szCs w:val="19"/>
              </w:rPr>
              <w:t xml:space="preserve">Testifies to service history, complaint, and termination circumstances</w:t>
            </w:r>
          </w:p>
        </w:tc>
        <w:tc>
          <w:tcPr>
            <w:tcW w:type="dxa" w:w="4800"/>
            <w:tcMar>
              <w:top w:type="dxa" w:w="70"/>
              <w:left w:type="dxa" w:w="90"/>
              <w:bottom w:type="dxa" w:w="70"/>
              <w:right w:type="dxa" w:w="90"/>
            </w:tcMar>
          </w:tcPr>
          <w:p>
            <w:r>
              <w:rPr>
                <w:b w:val="false"/>
                <w:bCs w:val="false"/>
                <w:color w:val="000000"/>
                <w:sz w:val="19"/>
                <w:szCs w:val="19"/>
              </w:rPr>
              <w:t xml:space="preserve">Examined-in-chief completed; cross-examination part-heard</w:t>
            </w:r>
          </w:p>
        </w:tc>
      </w:tr>
      <w:tr>
        <w:tc>
          <w:tcPr>
            <w:tcW w:type="dxa" w:w="1400"/>
            <w:tcMar>
              <w:top w:type="dxa" w:w="70"/>
              <w:left w:type="dxa" w:w="90"/>
              <w:bottom w:type="dxa" w:w="70"/>
              <w:right w:type="dxa" w:w="90"/>
            </w:tcMar>
          </w:tcPr>
          <w:p>
            <w:r>
              <w:rPr>
                <w:b w:val="false"/>
                <w:bCs w:val="false"/>
                <w:color w:val="000000"/>
                <w:sz w:val="19"/>
                <w:szCs w:val="19"/>
              </w:rPr>
              <w:t xml:space="preserve">MW-1 (anticipated) — QA Department Head</w:t>
            </w:r>
          </w:p>
        </w:tc>
        <w:tc>
          <w:tcPr>
            <w:tcW w:type="dxa" w:w="3600"/>
            <w:tcMar>
              <w:top w:type="dxa" w:w="70"/>
              <w:left w:type="dxa" w:w="90"/>
              <w:bottom w:type="dxa" w:w="70"/>
              <w:right w:type="dxa" w:w="90"/>
            </w:tcMar>
          </w:tcPr>
          <w:p>
            <w:r>
              <w:rPr>
                <w:b w:val="false"/>
                <w:bCs w:val="false"/>
                <w:color w:val="000000"/>
                <w:sz w:val="19"/>
                <w:szCs w:val="19"/>
              </w:rPr>
              <w:t xml:space="preserve">To testify on specialized certification rationale (Ex. M1)</w:t>
            </w:r>
          </w:p>
        </w:tc>
        <w:tc>
          <w:tcPr>
            <w:tcW w:type="dxa" w:w="4800"/>
            <w:tcMar>
              <w:top w:type="dxa" w:w="70"/>
              <w:left w:type="dxa" w:w="90"/>
              <w:bottom w:type="dxa" w:w="70"/>
              <w:right w:type="dxa" w:w="90"/>
            </w:tcMar>
          </w:tcPr>
          <w:p>
            <w:r>
              <w:rPr>
                <w:b w:val="false"/>
                <w:bCs w:val="false"/>
                <w:color w:val="000000"/>
                <w:sz w:val="19"/>
                <w:szCs w:val="19"/>
              </w:rPr>
              <w:t xml:space="preserve">Not yet examined; being prepared for respondent's evidence stage</w:t>
            </w:r>
          </w:p>
        </w:tc>
      </w:tr>
      <w:tr>
        <w:tc>
          <w:tcPr>
            <w:tcW w:type="dxa" w:w="1400"/>
            <w:tcMar>
              <w:top w:type="dxa" w:w="70"/>
              <w:left w:type="dxa" w:w="90"/>
              <w:bottom w:type="dxa" w:w="70"/>
              <w:right w:type="dxa" w:w="90"/>
            </w:tcMar>
          </w:tcPr>
          <w:p>
            <w:r>
              <w:rPr>
                <w:b w:val="false"/>
                <w:bCs w:val="false"/>
                <w:color w:val="000000"/>
                <w:sz w:val="19"/>
                <w:szCs w:val="19"/>
              </w:rPr>
              <w:t xml:space="preserve">MW-2 (anticipated) — HR Business Partner</w:t>
            </w:r>
          </w:p>
        </w:tc>
        <w:tc>
          <w:tcPr>
            <w:tcW w:type="dxa" w:w="3600"/>
            <w:tcMar>
              <w:top w:type="dxa" w:w="70"/>
              <w:left w:type="dxa" w:w="90"/>
              <w:bottom w:type="dxa" w:w="70"/>
              <w:right w:type="dxa" w:w="90"/>
            </w:tcMar>
          </w:tcPr>
          <w:p>
            <w:r>
              <w:rPr>
                <w:b w:val="false"/>
                <w:bCs w:val="false"/>
                <w:color w:val="000000"/>
                <w:sz w:val="19"/>
                <w:szCs w:val="19"/>
              </w:rPr>
              <w:t xml:space="preserve">To testify on grievance handling and closure (Ex. M3)</w:t>
            </w:r>
          </w:p>
        </w:tc>
        <w:tc>
          <w:tcPr>
            <w:tcW w:type="dxa" w:w="4800"/>
            <w:tcMar>
              <w:top w:type="dxa" w:w="70"/>
              <w:left w:type="dxa" w:w="90"/>
              <w:bottom w:type="dxa" w:w="70"/>
              <w:right w:type="dxa" w:w="90"/>
            </w:tcMar>
          </w:tcPr>
          <w:p>
            <w:r>
              <w:rPr>
                <w:b w:val="false"/>
                <w:bCs w:val="false"/>
                <w:color w:val="000000"/>
                <w:sz w:val="19"/>
                <w:szCs w:val="19"/>
              </w:rPr>
              <w:t xml:space="preserve">Not yet examined</w:t>
            </w:r>
          </w:p>
        </w:tc>
      </w:tr>
    </w:tbl>
    <w:p>
      <w:pPr>
        <w:spacing w:after="200"/>
      </w:pPr>
      <w:r>
        <w:rPr>
          <w:i/>
          <w:iCs/>
          <w:color w:val="666666"/>
          <w:sz w:val="20"/>
          <w:szCs w:val="20"/>
        </w:rPr>
        <w:t xml:space="preserve">End of document. Internal reference: MER-EMP-2024-034 (synthetic training corpus).</w:t>
      </w:r>
    </w:p>
    <w:sectPr>
      <w:headerReference w:type="default" r:id="rId7"/>
      <w:footerReference w:type="default" r:id="rId8"/>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color w:val="888888"/>
        <w:sz w:val="16"/>
        <w:szCs w:val="16"/>
      </w:rPr>
      <w:t xml:space="preserve">Meridian &amp; Rao Legal Associates, Hyderabad — Internal Case File — I.D. No. 34/2024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2026-08-23T13:52:33.690Z</dcterms:created>
  <dcterms:modified xsi:type="dcterms:W3CDTF">2026-08-23T13:52:33.691Z</dcterms:modified>
</cp:coreProperties>
</file>

<file path=docProps/custom.xml><?xml version="1.0" encoding="utf-8"?>
<Properties xmlns="http://schemas.openxmlformats.org/officeDocument/2006/custom-properties" xmlns:vt="http://schemas.openxmlformats.org/officeDocument/2006/docPropsVTypes"/>
</file>