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6B2E2E"/>
          <w:sz w:val="40"/>
          <w:szCs w:val="40"/>
        </w:rPr>
        <w:t xml:space="preserve">Antihypertensive Agents</w:t>
      </w:r>
    </w:p>
    <w:p>
      <w:pPr>
        <w:spacing w:after="200"/>
      </w:pPr>
      <w:r>
        <w:rPr>
          <w:i/>
          <w:iCs/>
          <w:color w:val="444444"/>
          <w:sz w:val="24"/>
          <w:szCs w:val="24"/>
        </w:rPr>
        <w:t xml:space="preserve">Formulary Monograph: Classes, Dosing, and Contraindications</w:t>
      </w:r>
    </w:p>
    <w:p>
      <w:pPr>
        <w:spacing w:after="200"/>
      </w:pPr>
      <w:r>
        <w:rPr>
          <w:i/>
          <w:iCs/>
          <w:color w:val="666666"/>
          <w:sz w:val="20"/>
          <w:szCs w:val="20"/>
        </w:rPr>
        <w:t xml:space="preserve">Illustrative / synthetic formulary document created for training and demonstration purposes (e.g., testing retrieval-augmented generation systems). Not a substitute for an approved drug reference; always consult current, authoritative prescribing information before clinical use.</w:t>
      </w:r>
    </w:p>
    <w:p>
      <w:pPr>
        <w:pStyle w:val="Heading1"/>
        <w:spacing w:after="120" w:before="240"/>
      </w:pPr>
      <w:r>
        <w:t xml:space="preserve">1. Purpose</w:t>
      </w:r>
    </w:p>
    <w:p>
      <w:pPr>
        <w:spacing w:after="160"/>
      </w:pPr>
      <w:r>
        <w:t xml:space="preserve">This monograph summarizes the major classes of antihypertensive medications available on the institutional formulary, including standard adult dosing, key contraindications, monitoring requirements, and clinically significant interactions. It is intended as a quick-reference resource for prescribers and pharmacists.</w:t>
      </w:r>
    </w:p>
    <w:p>
      <w:pPr>
        <w:pStyle w:val="Heading1"/>
        <w:spacing w:after="120" w:before="240"/>
      </w:pPr>
      <w:r>
        <w:t xml:space="preserve">2. ACE Inhibitors</w:t>
      </w:r>
    </w:p>
    <w:p>
      <w:pPr>
        <w:spacing w:after="160"/>
      </w:pPr>
      <w:r>
        <w:t xml:space="preserve">Mechanism: Inhibit angiotensin-converting enzyme, reducing angiotensin II formation and aldosterone release, resulting in vasodilation and reduced sodium/water retention.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200"/>
        <w:gridCol w:w="2300"/>
        <w:gridCol w:w="1400"/>
      </w:tblGrid>
      <w:tr>
        <w:tc>
          <w:tcPr>
            <w:tcW w:type="dxa" w:w="1900"/>
            <w:shd w:fill="6B2E2E" w:color="auto" w:val="clear"/>
            <w:tcMar>
              <w:top w:type="dxa" w:w="70"/>
              <w:left w:type="dxa" w:w="90"/>
              <w:bottom w:type="dxa" w:w="70"/>
              <w:right w:type="dxa" w:w="90"/>
            </w:tcMar>
          </w:tcPr>
          <w:p>
            <w:r>
              <w:rPr>
                <w:b/>
                <w:bCs/>
                <w:color w:val="FFFFFF"/>
                <w:sz w:val="18"/>
                <w:szCs w:val="18"/>
              </w:rPr>
              <w:t xml:space="preserve">Agent</w:t>
            </w:r>
          </w:p>
        </w:tc>
        <w:tc>
          <w:tcPr>
            <w:tcW w:type="dxa" w:w="2400"/>
            <w:shd w:fill="6B2E2E" w:color="auto" w:val="clear"/>
            <w:tcMar>
              <w:top w:type="dxa" w:w="70"/>
              <w:left w:type="dxa" w:w="90"/>
              <w:bottom w:type="dxa" w:w="70"/>
              <w:right w:type="dxa" w:w="90"/>
            </w:tcMar>
          </w:tcPr>
          <w:p>
            <w:r>
              <w:rPr>
                <w:b/>
                <w:bCs/>
                <w:color w:val="FFFFFF"/>
                <w:sz w:val="18"/>
                <w:szCs w:val="18"/>
              </w:rPr>
              <w:t xml:space="preserve">Starting Dose</w:t>
            </w:r>
          </w:p>
        </w:tc>
        <w:tc>
          <w:tcPr>
            <w:tcW w:type="dxa" w:w="2200"/>
            <w:shd w:fill="6B2E2E" w:color="auto" w:val="clear"/>
            <w:tcMar>
              <w:top w:type="dxa" w:w="70"/>
              <w:left w:type="dxa" w:w="90"/>
              <w:bottom w:type="dxa" w:w="70"/>
              <w:right w:type="dxa" w:w="90"/>
            </w:tcMar>
          </w:tcPr>
          <w:p>
            <w:r>
              <w:rPr>
                <w:b/>
                <w:bCs/>
                <w:color w:val="FFFFFF"/>
                <w:sz w:val="18"/>
                <w:szCs w:val="18"/>
              </w:rPr>
              <w:t xml:space="preserve">Usual Range</w:t>
            </w:r>
          </w:p>
        </w:tc>
        <w:tc>
          <w:tcPr>
            <w:tcW w:type="dxa" w:w="2300"/>
            <w:shd w:fill="6B2E2E" w:color="auto" w:val="clear"/>
            <w:tcMar>
              <w:top w:type="dxa" w:w="70"/>
              <w:left w:type="dxa" w:w="90"/>
              <w:bottom w:type="dxa" w:w="70"/>
              <w:right w:type="dxa" w:w="90"/>
            </w:tcMar>
          </w:tcPr>
          <w:p>
            <w:r>
              <w:rPr>
                <w:b/>
                <w:bCs/>
                <w:color w:val="FFFFFF"/>
                <w:sz w:val="18"/>
                <w:szCs w:val="18"/>
              </w:rPr>
              <w:t xml:space="preserve">Max Dose</w:t>
            </w:r>
          </w:p>
        </w:tc>
        <w:tc>
          <w:tcPr>
            <w:tcW w:type="dxa" w:w="1400"/>
            <w:shd w:fill="6B2E2E" w:color="auto" w:val="clear"/>
            <w:tcMar>
              <w:top w:type="dxa" w:w="70"/>
              <w:left w:type="dxa" w:w="90"/>
              <w:bottom w:type="dxa" w:w="70"/>
              <w:right w:type="dxa" w:w="90"/>
            </w:tcMar>
          </w:tcPr>
          <w:p>
            <w:r>
              <w:rPr>
                <w:b/>
                <w:bCs/>
                <w:color w:val="FFFFFF"/>
                <w:sz w:val="18"/>
                <w:szCs w:val="18"/>
              </w:rPr>
              <w:t xml:space="preserve">Frequency</w:t>
            </w:r>
          </w:p>
        </w:tc>
      </w:tr>
      <w:tr>
        <w:tc>
          <w:tcPr>
            <w:tcW w:type="dxa" w:w="1900"/>
            <w:tcMar>
              <w:top w:type="dxa" w:w="70"/>
              <w:left w:type="dxa" w:w="90"/>
              <w:bottom w:type="dxa" w:w="70"/>
              <w:right w:type="dxa" w:w="90"/>
            </w:tcMar>
          </w:tcPr>
          <w:p>
            <w:r>
              <w:rPr>
                <w:b w:val="false"/>
                <w:bCs w:val="false"/>
                <w:color w:val="000000"/>
                <w:sz w:val="18"/>
                <w:szCs w:val="18"/>
              </w:rPr>
              <w:t xml:space="preserve">Lisinopril</w:t>
            </w:r>
          </w:p>
        </w:tc>
        <w:tc>
          <w:tcPr>
            <w:tcW w:type="dxa" w:w="2400"/>
            <w:tcMar>
              <w:top w:type="dxa" w:w="70"/>
              <w:left w:type="dxa" w:w="90"/>
              <w:bottom w:type="dxa" w:w="70"/>
              <w:right w:type="dxa" w:w="90"/>
            </w:tcMar>
          </w:tcPr>
          <w:p>
            <w:r>
              <w:rPr>
                <w:b w:val="false"/>
                <w:bCs w:val="false"/>
                <w:color w:val="000000"/>
                <w:sz w:val="18"/>
                <w:szCs w:val="18"/>
              </w:rPr>
              <w:t xml:space="preserve">10 mg once daily</w:t>
            </w:r>
          </w:p>
        </w:tc>
        <w:tc>
          <w:tcPr>
            <w:tcW w:type="dxa" w:w="2200"/>
            <w:tcMar>
              <w:top w:type="dxa" w:w="70"/>
              <w:left w:type="dxa" w:w="90"/>
              <w:bottom w:type="dxa" w:w="70"/>
              <w:right w:type="dxa" w:w="90"/>
            </w:tcMar>
          </w:tcPr>
          <w:p>
            <w:r>
              <w:rPr>
                <w:b w:val="false"/>
                <w:bCs w:val="false"/>
                <w:color w:val="000000"/>
                <w:sz w:val="18"/>
                <w:szCs w:val="18"/>
              </w:rPr>
              <w:t xml:space="preserve">10–40 mg/day</w:t>
            </w:r>
          </w:p>
        </w:tc>
        <w:tc>
          <w:tcPr>
            <w:tcW w:type="dxa" w:w="2300"/>
            <w:tcMar>
              <w:top w:type="dxa" w:w="70"/>
              <w:left w:type="dxa" w:w="90"/>
              <w:bottom w:type="dxa" w:w="70"/>
              <w:right w:type="dxa" w:w="90"/>
            </w:tcMar>
          </w:tcPr>
          <w:p>
            <w:r>
              <w:rPr>
                <w:b w:val="false"/>
                <w:bCs w:val="false"/>
                <w:color w:val="000000"/>
                <w:sz w:val="18"/>
                <w:szCs w:val="18"/>
              </w:rPr>
              <w:t xml:space="preserve">80 mg/day</w:t>
            </w:r>
          </w:p>
        </w:tc>
        <w:tc>
          <w:tcPr>
            <w:tcW w:type="dxa" w:w="1400"/>
            <w:tcMar>
              <w:top w:type="dxa" w:w="70"/>
              <w:left w:type="dxa" w:w="90"/>
              <w:bottom w:type="dxa" w:w="70"/>
              <w:right w:type="dxa" w:w="90"/>
            </w:tcMar>
          </w:tcPr>
          <w:p>
            <w:r>
              <w:rPr>
                <w:b w:val="false"/>
                <w:bCs w:val="false"/>
                <w:color w:val="000000"/>
                <w:sz w:val="18"/>
                <w:szCs w:val="18"/>
              </w:rPr>
              <w:t xml:space="preserve">Once daily</w:t>
            </w:r>
          </w:p>
        </w:tc>
      </w:tr>
      <w:tr>
        <w:tc>
          <w:tcPr>
            <w:tcW w:type="dxa" w:w="1900"/>
            <w:tcMar>
              <w:top w:type="dxa" w:w="70"/>
              <w:left w:type="dxa" w:w="90"/>
              <w:bottom w:type="dxa" w:w="70"/>
              <w:right w:type="dxa" w:w="90"/>
            </w:tcMar>
          </w:tcPr>
          <w:p>
            <w:r>
              <w:rPr>
                <w:b w:val="false"/>
                <w:bCs w:val="false"/>
                <w:color w:val="000000"/>
                <w:sz w:val="18"/>
                <w:szCs w:val="18"/>
              </w:rPr>
              <w:t xml:space="preserve">Enalapril</w:t>
            </w:r>
          </w:p>
        </w:tc>
        <w:tc>
          <w:tcPr>
            <w:tcW w:type="dxa" w:w="2400"/>
            <w:tcMar>
              <w:top w:type="dxa" w:w="70"/>
              <w:left w:type="dxa" w:w="90"/>
              <w:bottom w:type="dxa" w:w="70"/>
              <w:right w:type="dxa" w:w="90"/>
            </w:tcMar>
          </w:tcPr>
          <w:p>
            <w:r>
              <w:rPr>
                <w:b w:val="false"/>
                <w:bCs w:val="false"/>
                <w:color w:val="000000"/>
                <w:sz w:val="18"/>
                <w:szCs w:val="18"/>
              </w:rPr>
              <w:t xml:space="preserve">5 mg once daily</w:t>
            </w:r>
          </w:p>
        </w:tc>
        <w:tc>
          <w:tcPr>
            <w:tcW w:type="dxa" w:w="2200"/>
            <w:tcMar>
              <w:top w:type="dxa" w:w="70"/>
              <w:left w:type="dxa" w:w="90"/>
              <w:bottom w:type="dxa" w:w="70"/>
              <w:right w:type="dxa" w:w="90"/>
            </w:tcMar>
          </w:tcPr>
          <w:p>
            <w:r>
              <w:rPr>
                <w:b w:val="false"/>
                <w:bCs w:val="false"/>
                <w:color w:val="000000"/>
                <w:sz w:val="18"/>
                <w:szCs w:val="18"/>
              </w:rPr>
              <w:t xml:space="preserve">10–40 mg/day</w:t>
            </w:r>
          </w:p>
        </w:tc>
        <w:tc>
          <w:tcPr>
            <w:tcW w:type="dxa" w:w="2300"/>
            <w:tcMar>
              <w:top w:type="dxa" w:w="70"/>
              <w:left w:type="dxa" w:w="90"/>
              <w:bottom w:type="dxa" w:w="70"/>
              <w:right w:type="dxa" w:w="90"/>
            </w:tcMar>
          </w:tcPr>
          <w:p>
            <w:r>
              <w:rPr>
                <w:b w:val="false"/>
                <w:bCs w:val="false"/>
                <w:color w:val="000000"/>
                <w:sz w:val="18"/>
                <w:szCs w:val="18"/>
              </w:rPr>
              <w:t xml:space="preserve">40 mg/day</w:t>
            </w:r>
          </w:p>
        </w:tc>
        <w:tc>
          <w:tcPr>
            <w:tcW w:type="dxa" w:w="1400"/>
            <w:tcMar>
              <w:top w:type="dxa" w:w="70"/>
              <w:left w:type="dxa" w:w="90"/>
              <w:bottom w:type="dxa" w:w="70"/>
              <w:right w:type="dxa" w:w="90"/>
            </w:tcMar>
          </w:tcPr>
          <w:p>
            <w:r>
              <w:rPr>
                <w:b w:val="false"/>
                <w:bCs w:val="false"/>
                <w:color w:val="000000"/>
                <w:sz w:val="18"/>
                <w:szCs w:val="18"/>
              </w:rPr>
              <w:t xml:space="preserve">Once or twice daily</w:t>
            </w:r>
          </w:p>
        </w:tc>
      </w:tr>
      <w:tr>
        <w:tc>
          <w:tcPr>
            <w:tcW w:type="dxa" w:w="1900"/>
            <w:tcMar>
              <w:top w:type="dxa" w:w="70"/>
              <w:left w:type="dxa" w:w="90"/>
              <w:bottom w:type="dxa" w:w="70"/>
              <w:right w:type="dxa" w:w="90"/>
            </w:tcMar>
          </w:tcPr>
          <w:p>
            <w:r>
              <w:rPr>
                <w:b w:val="false"/>
                <w:bCs w:val="false"/>
                <w:color w:val="000000"/>
                <w:sz w:val="18"/>
                <w:szCs w:val="18"/>
              </w:rPr>
              <w:t xml:space="preserve">Ramipril</w:t>
            </w:r>
          </w:p>
        </w:tc>
        <w:tc>
          <w:tcPr>
            <w:tcW w:type="dxa" w:w="2400"/>
            <w:tcMar>
              <w:top w:type="dxa" w:w="70"/>
              <w:left w:type="dxa" w:w="90"/>
              <w:bottom w:type="dxa" w:w="70"/>
              <w:right w:type="dxa" w:w="90"/>
            </w:tcMar>
          </w:tcPr>
          <w:p>
            <w:r>
              <w:rPr>
                <w:b w:val="false"/>
                <w:bCs w:val="false"/>
                <w:color w:val="000000"/>
                <w:sz w:val="18"/>
                <w:szCs w:val="18"/>
              </w:rPr>
              <w:t xml:space="preserve">2.5 mg once daily</w:t>
            </w:r>
          </w:p>
        </w:tc>
        <w:tc>
          <w:tcPr>
            <w:tcW w:type="dxa" w:w="2200"/>
            <w:tcMar>
              <w:top w:type="dxa" w:w="70"/>
              <w:left w:type="dxa" w:w="90"/>
              <w:bottom w:type="dxa" w:w="70"/>
              <w:right w:type="dxa" w:w="90"/>
            </w:tcMar>
          </w:tcPr>
          <w:p>
            <w:r>
              <w:rPr>
                <w:b w:val="false"/>
                <w:bCs w:val="false"/>
                <w:color w:val="000000"/>
                <w:sz w:val="18"/>
                <w:szCs w:val="18"/>
              </w:rPr>
              <w:t xml:space="preserve">2.5–10 mg/day</w:t>
            </w:r>
          </w:p>
        </w:tc>
        <w:tc>
          <w:tcPr>
            <w:tcW w:type="dxa" w:w="2300"/>
            <w:tcMar>
              <w:top w:type="dxa" w:w="70"/>
              <w:left w:type="dxa" w:w="90"/>
              <w:bottom w:type="dxa" w:w="70"/>
              <w:right w:type="dxa" w:w="90"/>
            </w:tcMar>
          </w:tcPr>
          <w:p>
            <w:r>
              <w:rPr>
                <w:b w:val="false"/>
                <w:bCs w:val="false"/>
                <w:color w:val="000000"/>
                <w:sz w:val="18"/>
                <w:szCs w:val="18"/>
              </w:rPr>
              <w:t xml:space="preserve">20 mg/day</w:t>
            </w:r>
          </w:p>
        </w:tc>
        <w:tc>
          <w:tcPr>
            <w:tcW w:type="dxa" w:w="1400"/>
            <w:tcMar>
              <w:top w:type="dxa" w:w="70"/>
              <w:left w:type="dxa" w:w="90"/>
              <w:bottom w:type="dxa" w:w="70"/>
              <w:right w:type="dxa" w:w="90"/>
            </w:tcMar>
          </w:tcPr>
          <w:p>
            <w:r>
              <w:rPr>
                <w:b w:val="false"/>
                <w:bCs w:val="false"/>
                <w:color w:val="000000"/>
                <w:sz w:val="18"/>
                <w:szCs w:val="18"/>
              </w:rPr>
              <w:t xml:space="preserve">Once daily</w:t>
            </w:r>
          </w:p>
        </w:tc>
      </w:tr>
    </w:tbl>
    <w:p>
      <w:pPr>
        <w:spacing w:after="160"/>
      </w:pPr>
      <w:r>
        <w:t xml:space="preserve"/>
      </w:r>
    </w:p>
    <w:p>
      <w:pPr>
        <w:spacing w:after="160"/>
      </w:pPr>
      <w:r>
        <w:t xml:space="preserve">Key contraindications: pregnancy (all trimesters), bilateral renal artery stenosis, history of angioedema with ACE inhibitor use, concurrent use with aliskiren in patients with diabetes.</w:t>
      </w:r>
    </w:p>
    <w:p>
      <w:pPr>
        <w:spacing w:after="160"/>
      </w:pPr>
      <w:r>
        <w:t xml:space="preserve">Monitoring: serum creatinine/eGFR and potassium at baseline, 1–2 weeks after initiation or dose change, then periodically. A rise in creatinine of up to 30% from baseline may be acceptable; larger rises warrant reassessment.</w:t>
      </w:r>
    </w:p>
    <w:p>
      <w:pPr>
        <w:spacing w:after="160"/>
      </w:pPr>
      <w:r>
        <w:t xml:space="preserve">Notable interactions: potassium-sparing diuretics and potassium supplements (hyperkalemia risk); NSAIDs (reduced antihypertensive effect, renal risk); lithium (increased lithium levels).</w:t>
      </w:r>
    </w:p>
    <w:p>
      <w:pPr>
        <w:pStyle w:val="Heading1"/>
        <w:spacing w:after="120" w:before="240"/>
      </w:pPr>
      <w:r>
        <w:t xml:space="preserve">3. Angiotensin Receptor Blockers (ARBs)</w:t>
      </w:r>
    </w:p>
    <w:p>
      <w:pPr>
        <w:spacing w:after="160"/>
      </w:pPr>
      <w:r>
        <w:t xml:space="preserve">Mechanism: Block the AT1 receptor, preventing the vasoconstrictive and aldosterone-stimulating effects of angiotensin II. Generally used as an alternative for patients intolerant of ACE inhibitors due to cough.</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200"/>
        <w:gridCol w:w="2300"/>
        <w:gridCol w:w="1400"/>
      </w:tblGrid>
      <w:tr>
        <w:tc>
          <w:tcPr>
            <w:tcW w:type="dxa" w:w="1900"/>
            <w:shd w:fill="6B2E2E" w:color="auto" w:val="clear"/>
            <w:tcMar>
              <w:top w:type="dxa" w:w="70"/>
              <w:left w:type="dxa" w:w="90"/>
              <w:bottom w:type="dxa" w:w="70"/>
              <w:right w:type="dxa" w:w="90"/>
            </w:tcMar>
          </w:tcPr>
          <w:p>
            <w:r>
              <w:rPr>
                <w:b/>
                <w:bCs/>
                <w:color w:val="FFFFFF"/>
                <w:sz w:val="18"/>
                <w:szCs w:val="18"/>
              </w:rPr>
              <w:t xml:space="preserve">Agent</w:t>
            </w:r>
          </w:p>
        </w:tc>
        <w:tc>
          <w:tcPr>
            <w:tcW w:type="dxa" w:w="2400"/>
            <w:shd w:fill="6B2E2E" w:color="auto" w:val="clear"/>
            <w:tcMar>
              <w:top w:type="dxa" w:w="70"/>
              <w:left w:type="dxa" w:w="90"/>
              <w:bottom w:type="dxa" w:w="70"/>
              <w:right w:type="dxa" w:w="90"/>
            </w:tcMar>
          </w:tcPr>
          <w:p>
            <w:r>
              <w:rPr>
                <w:b/>
                <w:bCs/>
                <w:color w:val="FFFFFF"/>
                <w:sz w:val="18"/>
                <w:szCs w:val="18"/>
              </w:rPr>
              <w:t xml:space="preserve">Starting Dose</w:t>
            </w:r>
          </w:p>
        </w:tc>
        <w:tc>
          <w:tcPr>
            <w:tcW w:type="dxa" w:w="2200"/>
            <w:shd w:fill="6B2E2E" w:color="auto" w:val="clear"/>
            <w:tcMar>
              <w:top w:type="dxa" w:w="70"/>
              <w:left w:type="dxa" w:w="90"/>
              <w:bottom w:type="dxa" w:w="70"/>
              <w:right w:type="dxa" w:w="90"/>
            </w:tcMar>
          </w:tcPr>
          <w:p>
            <w:r>
              <w:rPr>
                <w:b/>
                <w:bCs/>
                <w:color w:val="FFFFFF"/>
                <w:sz w:val="18"/>
                <w:szCs w:val="18"/>
              </w:rPr>
              <w:t xml:space="preserve">Usual Range</w:t>
            </w:r>
          </w:p>
        </w:tc>
        <w:tc>
          <w:tcPr>
            <w:tcW w:type="dxa" w:w="2300"/>
            <w:shd w:fill="6B2E2E" w:color="auto" w:val="clear"/>
            <w:tcMar>
              <w:top w:type="dxa" w:w="70"/>
              <w:left w:type="dxa" w:w="90"/>
              <w:bottom w:type="dxa" w:w="70"/>
              <w:right w:type="dxa" w:w="90"/>
            </w:tcMar>
          </w:tcPr>
          <w:p>
            <w:r>
              <w:rPr>
                <w:b/>
                <w:bCs/>
                <w:color w:val="FFFFFF"/>
                <w:sz w:val="18"/>
                <w:szCs w:val="18"/>
              </w:rPr>
              <w:t xml:space="preserve">Max Dose</w:t>
            </w:r>
          </w:p>
        </w:tc>
        <w:tc>
          <w:tcPr>
            <w:tcW w:type="dxa" w:w="1400"/>
            <w:shd w:fill="6B2E2E" w:color="auto" w:val="clear"/>
            <w:tcMar>
              <w:top w:type="dxa" w:w="70"/>
              <w:left w:type="dxa" w:w="90"/>
              <w:bottom w:type="dxa" w:w="70"/>
              <w:right w:type="dxa" w:w="90"/>
            </w:tcMar>
          </w:tcPr>
          <w:p>
            <w:r>
              <w:rPr>
                <w:b/>
                <w:bCs/>
                <w:color w:val="FFFFFF"/>
                <w:sz w:val="18"/>
                <w:szCs w:val="18"/>
              </w:rPr>
              <w:t xml:space="preserve">Frequency</w:t>
            </w:r>
          </w:p>
        </w:tc>
      </w:tr>
      <w:tr>
        <w:tc>
          <w:tcPr>
            <w:tcW w:type="dxa" w:w="1900"/>
            <w:tcMar>
              <w:top w:type="dxa" w:w="70"/>
              <w:left w:type="dxa" w:w="90"/>
              <w:bottom w:type="dxa" w:w="70"/>
              <w:right w:type="dxa" w:w="90"/>
            </w:tcMar>
          </w:tcPr>
          <w:p>
            <w:r>
              <w:rPr>
                <w:b w:val="false"/>
                <w:bCs w:val="false"/>
                <w:color w:val="000000"/>
                <w:sz w:val="18"/>
                <w:szCs w:val="18"/>
              </w:rPr>
              <w:t xml:space="preserve">Losartan</w:t>
            </w:r>
          </w:p>
        </w:tc>
        <w:tc>
          <w:tcPr>
            <w:tcW w:type="dxa" w:w="2400"/>
            <w:tcMar>
              <w:top w:type="dxa" w:w="70"/>
              <w:left w:type="dxa" w:w="90"/>
              <w:bottom w:type="dxa" w:w="70"/>
              <w:right w:type="dxa" w:w="90"/>
            </w:tcMar>
          </w:tcPr>
          <w:p>
            <w:r>
              <w:rPr>
                <w:b w:val="false"/>
                <w:bCs w:val="false"/>
                <w:color w:val="000000"/>
                <w:sz w:val="18"/>
                <w:szCs w:val="18"/>
              </w:rPr>
              <w:t xml:space="preserve">50 mg once daily</w:t>
            </w:r>
          </w:p>
        </w:tc>
        <w:tc>
          <w:tcPr>
            <w:tcW w:type="dxa" w:w="2200"/>
            <w:tcMar>
              <w:top w:type="dxa" w:w="70"/>
              <w:left w:type="dxa" w:w="90"/>
              <w:bottom w:type="dxa" w:w="70"/>
              <w:right w:type="dxa" w:w="90"/>
            </w:tcMar>
          </w:tcPr>
          <w:p>
            <w:r>
              <w:rPr>
                <w:b w:val="false"/>
                <w:bCs w:val="false"/>
                <w:color w:val="000000"/>
                <w:sz w:val="18"/>
                <w:szCs w:val="18"/>
              </w:rPr>
              <w:t xml:space="preserve">50–100 mg/day</w:t>
            </w:r>
          </w:p>
        </w:tc>
        <w:tc>
          <w:tcPr>
            <w:tcW w:type="dxa" w:w="2300"/>
            <w:tcMar>
              <w:top w:type="dxa" w:w="70"/>
              <w:left w:type="dxa" w:w="90"/>
              <w:bottom w:type="dxa" w:w="70"/>
              <w:right w:type="dxa" w:w="90"/>
            </w:tcMar>
          </w:tcPr>
          <w:p>
            <w:r>
              <w:rPr>
                <w:b w:val="false"/>
                <w:bCs w:val="false"/>
                <w:color w:val="000000"/>
                <w:sz w:val="18"/>
                <w:szCs w:val="18"/>
              </w:rPr>
              <w:t xml:space="preserve">100 mg/day</w:t>
            </w:r>
          </w:p>
        </w:tc>
        <w:tc>
          <w:tcPr>
            <w:tcW w:type="dxa" w:w="1400"/>
            <w:tcMar>
              <w:top w:type="dxa" w:w="70"/>
              <w:left w:type="dxa" w:w="90"/>
              <w:bottom w:type="dxa" w:w="70"/>
              <w:right w:type="dxa" w:w="90"/>
            </w:tcMar>
          </w:tcPr>
          <w:p>
            <w:r>
              <w:rPr>
                <w:b w:val="false"/>
                <w:bCs w:val="false"/>
                <w:color w:val="000000"/>
                <w:sz w:val="18"/>
                <w:szCs w:val="18"/>
              </w:rPr>
              <w:t xml:space="preserve">Once or twice daily</w:t>
            </w:r>
          </w:p>
        </w:tc>
      </w:tr>
      <w:tr>
        <w:tc>
          <w:tcPr>
            <w:tcW w:type="dxa" w:w="1900"/>
            <w:tcMar>
              <w:top w:type="dxa" w:w="70"/>
              <w:left w:type="dxa" w:w="90"/>
              <w:bottom w:type="dxa" w:w="70"/>
              <w:right w:type="dxa" w:w="90"/>
            </w:tcMar>
          </w:tcPr>
          <w:p>
            <w:r>
              <w:rPr>
                <w:b w:val="false"/>
                <w:bCs w:val="false"/>
                <w:color w:val="000000"/>
                <w:sz w:val="18"/>
                <w:szCs w:val="18"/>
              </w:rPr>
              <w:t xml:space="preserve">Valsartan</w:t>
            </w:r>
          </w:p>
        </w:tc>
        <w:tc>
          <w:tcPr>
            <w:tcW w:type="dxa" w:w="2400"/>
            <w:tcMar>
              <w:top w:type="dxa" w:w="70"/>
              <w:left w:type="dxa" w:w="90"/>
              <w:bottom w:type="dxa" w:w="70"/>
              <w:right w:type="dxa" w:w="90"/>
            </w:tcMar>
          </w:tcPr>
          <w:p>
            <w:r>
              <w:rPr>
                <w:b w:val="false"/>
                <w:bCs w:val="false"/>
                <w:color w:val="000000"/>
                <w:sz w:val="18"/>
                <w:szCs w:val="18"/>
              </w:rPr>
              <w:t xml:space="preserve">80 mg once daily</w:t>
            </w:r>
          </w:p>
        </w:tc>
        <w:tc>
          <w:tcPr>
            <w:tcW w:type="dxa" w:w="2200"/>
            <w:tcMar>
              <w:top w:type="dxa" w:w="70"/>
              <w:left w:type="dxa" w:w="90"/>
              <w:bottom w:type="dxa" w:w="70"/>
              <w:right w:type="dxa" w:w="90"/>
            </w:tcMar>
          </w:tcPr>
          <w:p>
            <w:r>
              <w:rPr>
                <w:b w:val="false"/>
                <w:bCs w:val="false"/>
                <w:color w:val="000000"/>
                <w:sz w:val="18"/>
                <w:szCs w:val="18"/>
              </w:rPr>
              <w:t xml:space="preserve">80–320 mg/day</w:t>
            </w:r>
          </w:p>
        </w:tc>
        <w:tc>
          <w:tcPr>
            <w:tcW w:type="dxa" w:w="2300"/>
            <w:tcMar>
              <w:top w:type="dxa" w:w="70"/>
              <w:left w:type="dxa" w:w="90"/>
              <w:bottom w:type="dxa" w:w="70"/>
              <w:right w:type="dxa" w:w="90"/>
            </w:tcMar>
          </w:tcPr>
          <w:p>
            <w:r>
              <w:rPr>
                <w:b w:val="false"/>
                <w:bCs w:val="false"/>
                <w:color w:val="000000"/>
                <w:sz w:val="18"/>
                <w:szCs w:val="18"/>
              </w:rPr>
              <w:t xml:space="preserve">320 mg/day</w:t>
            </w:r>
          </w:p>
        </w:tc>
        <w:tc>
          <w:tcPr>
            <w:tcW w:type="dxa" w:w="1400"/>
            <w:tcMar>
              <w:top w:type="dxa" w:w="70"/>
              <w:left w:type="dxa" w:w="90"/>
              <w:bottom w:type="dxa" w:w="70"/>
              <w:right w:type="dxa" w:w="90"/>
            </w:tcMar>
          </w:tcPr>
          <w:p>
            <w:r>
              <w:rPr>
                <w:b w:val="false"/>
                <w:bCs w:val="false"/>
                <w:color w:val="000000"/>
                <w:sz w:val="18"/>
                <w:szCs w:val="18"/>
              </w:rPr>
              <w:t xml:space="preserve">Once daily</w:t>
            </w:r>
          </w:p>
        </w:tc>
      </w:tr>
      <w:tr>
        <w:tc>
          <w:tcPr>
            <w:tcW w:type="dxa" w:w="1900"/>
            <w:tcMar>
              <w:top w:type="dxa" w:w="70"/>
              <w:left w:type="dxa" w:w="90"/>
              <w:bottom w:type="dxa" w:w="70"/>
              <w:right w:type="dxa" w:w="90"/>
            </w:tcMar>
          </w:tcPr>
          <w:p>
            <w:r>
              <w:rPr>
                <w:b w:val="false"/>
                <w:bCs w:val="false"/>
                <w:color w:val="000000"/>
                <w:sz w:val="18"/>
                <w:szCs w:val="18"/>
              </w:rPr>
              <w:t xml:space="preserve">Telmisartan</w:t>
            </w:r>
          </w:p>
        </w:tc>
        <w:tc>
          <w:tcPr>
            <w:tcW w:type="dxa" w:w="2400"/>
            <w:tcMar>
              <w:top w:type="dxa" w:w="70"/>
              <w:left w:type="dxa" w:w="90"/>
              <w:bottom w:type="dxa" w:w="70"/>
              <w:right w:type="dxa" w:w="90"/>
            </w:tcMar>
          </w:tcPr>
          <w:p>
            <w:r>
              <w:rPr>
                <w:b w:val="false"/>
                <w:bCs w:val="false"/>
                <w:color w:val="000000"/>
                <w:sz w:val="18"/>
                <w:szCs w:val="18"/>
              </w:rPr>
              <w:t xml:space="preserve">40 mg once daily</w:t>
            </w:r>
          </w:p>
        </w:tc>
        <w:tc>
          <w:tcPr>
            <w:tcW w:type="dxa" w:w="2200"/>
            <w:tcMar>
              <w:top w:type="dxa" w:w="70"/>
              <w:left w:type="dxa" w:w="90"/>
              <w:bottom w:type="dxa" w:w="70"/>
              <w:right w:type="dxa" w:w="90"/>
            </w:tcMar>
          </w:tcPr>
          <w:p>
            <w:r>
              <w:rPr>
                <w:b w:val="false"/>
                <w:bCs w:val="false"/>
                <w:color w:val="000000"/>
                <w:sz w:val="18"/>
                <w:szCs w:val="18"/>
              </w:rPr>
              <w:t xml:space="preserve">40–80 mg/day</w:t>
            </w:r>
          </w:p>
        </w:tc>
        <w:tc>
          <w:tcPr>
            <w:tcW w:type="dxa" w:w="2300"/>
            <w:tcMar>
              <w:top w:type="dxa" w:w="70"/>
              <w:left w:type="dxa" w:w="90"/>
              <w:bottom w:type="dxa" w:w="70"/>
              <w:right w:type="dxa" w:w="90"/>
            </w:tcMar>
          </w:tcPr>
          <w:p>
            <w:r>
              <w:rPr>
                <w:b w:val="false"/>
                <w:bCs w:val="false"/>
                <w:color w:val="000000"/>
                <w:sz w:val="18"/>
                <w:szCs w:val="18"/>
              </w:rPr>
              <w:t xml:space="preserve">80 mg/day</w:t>
            </w:r>
          </w:p>
        </w:tc>
        <w:tc>
          <w:tcPr>
            <w:tcW w:type="dxa" w:w="1400"/>
            <w:tcMar>
              <w:top w:type="dxa" w:w="70"/>
              <w:left w:type="dxa" w:w="90"/>
              <w:bottom w:type="dxa" w:w="70"/>
              <w:right w:type="dxa" w:w="90"/>
            </w:tcMar>
          </w:tcPr>
          <w:p>
            <w:r>
              <w:rPr>
                <w:b w:val="false"/>
                <w:bCs w:val="false"/>
                <w:color w:val="000000"/>
                <w:sz w:val="18"/>
                <w:szCs w:val="18"/>
              </w:rPr>
              <w:t xml:space="preserve">Once daily</w:t>
            </w:r>
          </w:p>
        </w:tc>
      </w:tr>
    </w:tbl>
    <w:p>
      <w:pPr>
        <w:spacing w:after="160"/>
      </w:pPr>
      <w:r>
        <w:t xml:space="preserve"/>
      </w:r>
    </w:p>
    <w:p>
      <w:pPr>
        <w:spacing w:after="160"/>
      </w:pPr>
      <w:r>
        <w:t xml:space="preserve">Contraindications and monitoring largely mirror ACE inhibitors (pregnancy, bilateral renal artery stenosis, renal function/potassium monitoring), though cough and angioedema are far less common with ARBs.</w:t>
      </w:r>
    </w:p>
    <w:p>
      <w:pPr>
        <w:pStyle w:val="Heading1"/>
        <w:spacing w:after="120" w:before="240"/>
      </w:pPr>
      <w:r>
        <w:t xml:space="preserve">4. Calcium Channel Blockers</w:t>
      </w:r>
    </w:p>
    <w:p>
      <w:pPr>
        <w:spacing w:after="160"/>
      </w:pPr>
      <w:r>
        <w:t xml:space="preserve">Mechanism: Inhibit calcium influx into vascular smooth muscle (dihydropyridines) or cardiac/vascular tissue (non-dihydropyridines), producing vasodilation and, for non-dihydropyridines, reduced heart rate and contractility.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200"/>
        <w:gridCol w:w="2300"/>
        <w:gridCol w:w="1400"/>
      </w:tblGrid>
      <w:tr>
        <w:tc>
          <w:tcPr>
            <w:tcW w:type="dxa" w:w="1900"/>
            <w:shd w:fill="6B2E2E" w:color="auto" w:val="clear"/>
            <w:tcMar>
              <w:top w:type="dxa" w:w="70"/>
              <w:left w:type="dxa" w:w="90"/>
              <w:bottom w:type="dxa" w:w="70"/>
              <w:right w:type="dxa" w:w="90"/>
            </w:tcMar>
          </w:tcPr>
          <w:p>
            <w:r>
              <w:rPr>
                <w:b/>
                <w:bCs/>
                <w:color w:val="FFFFFF"/>
                <w:sz w:val="18"/>
                <w:szCs w:val="18"/>
              </w:rPr>
              <w:t xml:space="preserve">Agent</w:t>
            </w:r>
          </w:p>
        </w:tc>
        <w:tc>
          <w:tcPr>
            <w:tcW w:type="dxa" w:w="2400"/>
            <w:shd w:fill="6B2E2E" w:color="auto" w:val="clear"/>
            <w:tcMar>
              <w:top w:type="dxa" w:w="70"/>
              <w:left w:type="dxa" w:w="90"/>
              <w:bottom w:type="dxa" w:w="70"/>
              <w:right w:type="dxa" w:w="90"/>
            </w:tcMar>
          </w:tcPr>
          <w:p>
            <w:r>
              <w:rPr>
                <w:b/>
                <w:bCs/>
                <w:color w:val="FFFFFF"/>
                <w:sz w:val="18"/>
                <w:szCs w:val="18"/>
              </w:rPr>
              <w:t xml:space="preserve">Class</w:t>
            </w:r>
          </w:p>
        </w:tc>
        <w:tc>
          <w:tcPr>
            <w:tcW w:type="dxa" w:w="2200"/>
            <w:shd w:fill="6B2E2E" w:color="auto" w:val="clear"/>
            <w:tcMar>
              <w:top w:type="dxa" w:w="70"/>
              <w:left w:type="dxa" w:w="90"/>
              <w:bottom w:type="dxa" w:w="70"/>
              <w:right w:type="dxa" w:w="90"/>
            </w:tcMar>
          </w:tcPr>
          <w:p>
            <w:r>
              <w:rPr>
                <w:b/>
                <w:bCs/>
                <w:color w:val="FFFFFF"/>
                <w:sz w:val="18"/>
                <w:szCs w:val="18"/>
              </w:rPr>
              <w:t xml:space="preserve">Starting Dose</w:t>
            </w:r>
          </w:p>
        </w:tc>
        <w:tc>
          <w:tcPr>
            <w:tcW w:type="dxa" w:w="2300"/>
            <w:shd w:fill="6B2E2E" w:color="auto" w:val="clear"/>
            <w:tcMar>
              <w:top w:type="dxa" w:w="70"/>
              <w:left w:type="dxa" w:w="90"/>
              <w:bottom w:type="dxa" w:w="70"/>
              <w:right w:type="dxa" w:w="90"/>
            </w:tcMar>
          </w:tcPr>
          <w:p>
            <w:r>
              <w:rPr>
                <w:b/>
                <w:bCs/>
                <w:color w:val="FFFFFF"/>
                <w:sz w:val="18"/>
                <w:szCs w:val="18"/>
              </w:rPr>
              <w:t xml:space="preserve">Usual Range</w:t>
            </w:r>
          </w:p>
        </w:tc>
        <w:tc>
          <w:tcPr>
            <w:tcW w:type="dxa" w:w="1400"/>
            <w:shd w:fill="6B2E2E" w:color="auto" w:val="clear"/>
            <w:tcMar>
              <w:top w:type="dxa" w:w="70"/>
              <w:left w:type="dxa" w:w="90"/>
              <w:bottom w:type="dxa" w:w="70"/>
              <w:right w:type="dxa" w:w="90"/>
            </w:tcMar>
          </w:tcPr>
          <w:p>
            <w:r>
              <w:rPr>
                <w:b/>
                <w:bCs/>
                <w:color w:val="FFFFFF"/>
                <w:sz w:val="18"/>
                <w:szCs w:val="18"/>
              </w:rPr>
              <w:t xml:space="preserve">Key Caution</w:t>
            </w:r>
          </w:p>
        </w:tc>
      </w:tr>
      <w:tr>
        <w:tc>
          <w:tcPr>
            <w:tcW w:type="dxa" w:w="1900"/>
            <w:tcMar>
              <w:top w:type="dxa" w:w="70"/>
              <w:left w:type="dxa" w:w="90"/>
              <w:bottom w:type="dxa" w:w="70"/>
              <w:right w:type="dxa" w:w="90"/>
            </w:tcMar>
          </w:tcPr>
          <w:p>
            <w:r>
              <w:rPr>
                <w:b w:val="false"/>
                <w:bCs w:val="false"/>
                <w:color w:val="000000"/>
                <w:sz w:val="18"/>
                <w:szCs w:val="18"/>
              </w:rPr>
              <w:t xml:space="preserve">Amlodipine</w:t>
            </w:r>
          </w:p>
        </w:tc>
        <w:tc>
          <w:tcPr>
            <w:tcW w:type="dxa" w:w="2400"/>
            <w:tcMar>
              <w:top w:type="dxa" w:w="70"/>
              <w:left w:type="dxa" w:w="90"/>
              <w:bottom w:type="dxa" w:w="70"/>
              <w:right w:type="dxa" w:w="90"/>
            </w:tcMar>
          </w:tcPr>
          <w:p>
            <w:r>
              <w:rPr>
                <w:b w:val="false"/>
                <w:bCs w:val="false"/>
                <w:color w:val="000000"/>
                <w:sz w:val="18"/>
                <w:szCs w:val="18"/>
              </w:rPr>
              <w:t xml:space="preserve">Dihydropyridine</w:t>
            </w:r>
          </w:p>
        </w:tc>
        <w:tc>
          <w:tcPr>
            <w:tcW w:type="dxa" w:w="2200"/>
            <w:tcMar>
              <w:top w:type="dxa" w:w="70"/>
              <w:left w:type="dxa" w:w="90"/>
              <w:bottom w:type="dxa" w:w="70"/>
              <w:right w:type="dxa" w:w="90"/>
            </w:tcMar>
          </w:tcPr>
          <w:p>
            <w:r>
              <w:rPr>
                <w:b w:val="false"/>
                <w:bCs w:val="false"/>
                <w:color w:val="000000"/>
                <w:sz w:val="18"/>
                <w:szCs w:val="18"/>
              </w:rPr>
              <w:t xml:space="preserve">5 mg once daily</w:t>
            </w:r>
          </w:p>
        </w:tc>
        <w:tc>
          <w:tcPr>
            <w:tcW w:type="dxa" w:w="2300"/>
            <w:tcMar>
              <w:top w:type="dxa" w:w="70"/>
              <w:left w:type="dxa" w:w="90"/>
              <w:bottom w:type="dxa" w:w="70"/>
              <w:right w:type="dxa" w:w="90"/>
            </w:tcMar>
          </w:tcPr>
          <w:p>
            <w:r>
              <w:rPr>
                <w:b w:val="false"/>
                <w:bCs w:val="false"/>
                <w:color w:val="000000"/>
                <w:sz w:val="18"/>
                <w:szCs w:val="18"/>
              </w:rPr>
              <w:t xml:space="preserve">2.5–10 mg/day</w:t>
            </w:r>
          </w:p>
        </w:tc>
        <w:tc>
          <w:tcPr>
            <w:tcW w:type="dxa" w:w="1400"/>
            <w:tcMar>
              <w:top w:type="dxa" w:w="70"/>
              <w:left w:type="dxa" w:w="90"/>
              <w:bottom w:type="dxa" w:w="70"/>
              <w:right w:type="dxa" w:w="90"/>
            </w:tcMar>
          </w:tcPr>
          <w:p>
            <w:r>
              <w:rPr>
                <w:b w:val="false"/>
                <w:bCs w:val="false"/>
                <w:color w:val="000000"/>
                <w:sz w:val="18"/>
                <w:szCs w:val="18"/>
              </w:rPr>
              <w:t xml:space="preserve">Peripheral edema</w:t>
            </w:r>
          </w:p>
        </w:tc>
      </w:tr>
      <w:tr>
        <w:tc>
          <w:tcPr>
            <w:tcW w:type="dxa" w:w="1900"/>
            <w:tcMar>
              <w:top w:type="dxa" w:w="70"/>
              <w:left w:type="dxa" w:w="90"/>
              <w:bottom w:type="dxa" w:w="70"/>
              <w:right w:type="dxa" w:w="90"/>
            </w:tcMar>
          </w:tcPr>
          <w:p>
            <w:r>
              <w:rPr>
                <w:b w:val="false"/>
                <w:bCs w:val="false"/>
                <w:color w:val="000000"/>
                <w:sz w:val="18"/>
                <w:szCs w:val="18"/>
              </w:rPr>
              <w:t xml:space="preserve">Nifedipine ER</w:t>
            </w:r>
          </w:p>
        </w:tc>
        <w:tc>
          <w:tcPr>
            <w:tcW w:type="dxa" w:w="2400"/>
            <w:tcMar>
              <w:top w:type="dxa" w:w="70"/>
              <w:left w:type="dxa" w:w="90"/>
              <w:bottom w:type="dxa" w:w="70"/>
              <w:right w:type="dxa" w:w="90"/>
            </w:tcMar>
          </w:tcPr>
          <w:p>
            <w:r>
              <w:rPr>
                <w:b w:val="false"/>
                <w:bCs w:val="false"/>
                <w:color w:val="000000"/>
                <w:sz w:val="18"/>
                <w:szCs w:val="18"/>
              </w:rPr>
              <w:t xml:space="preserve">Dihydropyridine</w:t>
            </w:r>
          </w:p>
        </w:tc>
        <w:tc>
          <w:tcPr>
            <w:tcW w:type="dxa" w:w="2200"/>
            <w:tcMar>
              <w:top w:type="dxa" w:w="70"/>
              <w:left w:type="dxa" w:w="90"/>
              <w:bottom w:type="dxa" w:w="70"/>
              <w:right w:type="dxa" w:w="90"/>
            </w:tcMar>
          </w:tcPr>
          <w:p>
            <w:r>
              <w:rPr>
                <w:b w:val="false"/>
                <w:bCs w:val="false"/>
                <w:color w:val="000000"/>
                <w:sz w:val="18"/>
                <w:szCs w:val="18"/>
              </w:rPr>
              <w:t xml:space="preserve">30 mg once daily</w:t>
            </w:r>
          </w:p>
        </w:tc>
        <w:tc>
          <w:tcPr>
            <w:tcW w:type="dxa" w:w="2300"/>
            <w:tcMar>
              <w:top w:type="dxa" w:w="70"/>
              <w:left w:type="dxa" w:w="90"/>
              <w:bottom w:type="dxa" w:w="70"/>
              <w:right w:type="dxa" w:w="90"/>
            </w:tcMar>
          </w:tcPr>
          <w:p>
            <w:r>
              <w:rPr>
                <w:b w:val="false"/>
                <w:bCs w:val="false"/>
                <w:color w:val="000000"/>
                <w:sz w:val="18"/>
                <w:szCs w:val="18"/>
              </w:rPr>
              <w:t xml:space="preserve">30–90 mg/day</w:t>
            </w:r>
          </w:p>
        </w:tc>
        <w:tc>
          <w:tcPr>
            <w:tcW w:type="dxa" w:w="1400"/>
            <w:tcMar>
              <w:top w:type="dxa" w:w="70"/>
              <w:left w:type="dxa" w:w="90"/>
              <w:bottom w:type="dxa" w:w="70"/>
              <w:right w:type="dxa" w:w="90"/>
            </w:tcMar>
          </w:tcPr>
          <w:p>
            <w:r>
              <w:rPr>
                <w:b w:val="false"/>
                <w:bCs w:val="false"/>
                <w:color w:val="000000"/>
                <w:sz w:val="18"/>
                <w:szCs w:val="18"/>
              </w:rPr>
              <w:t xml:space="preserve">Avoid immediate-release form</w:t>
            </w:r>
          </w:p>
        </w:tc>
      </w:tr>
      <w:tr>
        <w:tc>
          <w:tcPr>
            <w:tcW w:type="dxa" w:w="1900"/>
            <w:tcMar>
              <w:top w:type="dxa" w:w="70"/>
              <w:left w:type="dxa" w:w="90"/>
              <w:bottom w:type="dxa" w:w="70"/>
              <w:right w:type="dxa" w:w="90"/>
            </w:tcMar>
          </w:tcPr>
          <w:p>
            <w:r>
              <w:rPr>
                <w:b w:val="false"/>
                <w:bCs w:val="false"/>
                <w:color w:val="000000"/>
                <w:sz w:val="18"/>
                <w:szCs w:val="18"/>
              </w:rPr>
              <w:t xml:space="preserve">Diltiazem ER</w:t>
            </w:r>
          </w:p>
        </w:tc>
        <w:tc>
          <w:tcPr>
            <w:tcW w:type="dxa" w:w="2400"/>
            <w:tcMar>
              <w:top w:type="dxa" w:w="70"/>
              <w:left w:type="dxa" w:w="90"/>
              <w:bottom w:type="dxa" w:w="70"/>
              <w:right w:type="dxa" w:w="90"/>
            </w:tcMar>
          </w:tcPr>
          <w:p>
            <w:r>
              <w:rPr>
                <w:b w:val="false"/>
                <w:bCs w:val="false"/>
                <w:color w:val="000000"/>
                <w:sz w:val="18"/>
                <w:szCs w:val="18"/>
              </w:rPr>
              <w:t xml:space="preserve">Non-dihydropyridine</w:t>
            </w:r>
          </w:p>
        </w:tc>
        <w:tc>
          <w:tcPr>
            <w:tcW w:type="dxa" w:w="2200"/>
            <w:tcMar>
              <w:top w:type="dxa" w:w="70"/>
              <w:left w:type="dxa" w:w="90"/>
              <w:bottom w:type="dxa" w:w="70"/>
              <w:right w:type="dxa" w:w="90"/>
            </w:tcMar>
          </w:tcPr>
          <w:p>
            <w:r>
              <w:rPr>
                <w:b w:val="false"/>
                <w:bCs w:val="false"/>
                <w:color w:val="000000"/>
                <w:sz w:val="18"/>
                <w:szCs w:val="18"/>
              </w:rPr>
              <w:t xml:space="preserve">120 mg once daily</w:t>
            </w:r>
          </w:p>
        </w:tc>
        <w:tc>
          <w:tcPr>
            <w:tcW w:type="dxa" w:w="2300"/>
            <w:tcMar>
              <w:top w:type="dxa" w:w="70"/>
              <w:left w:type="dxa" w:w="90"/>
              <w:bottom w:type="dxa" w:w="70"/>
              <w:right w:type="dxa" w:w="90"/>
            </w:tcMar>
          </w:tcPr>
          <w:p>
            <w:r>
              <w:rPr>
                <w:b w:val="false"/>
                <w:bCs w:val="false"/>
                <w:color w:val="000000"/>
                <w:sz w:val="18"/>
                <w:szCs w:val="18"/>
              </w:rPr>
              <w:t xml:space="preserve">120–360 mg/day</w:t>
            </w:r>
          </w:p>
        </w:tc>
        <w:tc>
          <w:tcPr>
            <w:tcW w:type="dxa" w:w="1400"/>
            <w:tcMar>
              <w:top w:type="dxa" w:w="70"/>
              <w:left w:type="dxa" w:w="90"/>
              <w:bottom w:type="dxa" w:w="70"/>
              <w:right w:type="dxa" w:w="90"/>
            </w:tcMar>
          </w:tcPr>
          <w:p>
            <w:r>
              <w:rPr>
                <w:b w:val="false"/>
                <w:bCs w:val="false"/>
                <w:color w:val="000000"/>
                <w:sz w:val="18"/>
                <w:szCs w:val="18"/>
              </w:rPr>
              <w:t xml:space="preserve">Avoid with beta-blockers in heart block</w:t>
            </w:r>
          </w:p>
        </w:tc>
      </w:tr>
      <w:tr>
        <w:tc>
          <w:tcPr>
            <w:tcW w:type="dxa" w:w="1900"/>
            <w:tcMar>
              <w:top w:type="dxa" w:w="70"/>
              <w:left w:type="dxa" w:w="90"/>
              <w:bottom w:type="dxa" w:w="70"/>
              <w:right w:type="dxa" w:w="90"/>
            </w:tcMar>
          </w:tcPr>
          <w:p>
            <w:r>
              <w:rPr>
                <w:b w:val="false"/>
                <w:bCs w:val="false"/>
                <w:color w:val="000000"/>
                <w:sz w:val="18"/>
                <w:szCs w:val="18"/>
              </w:rPr>
              <w:t xml:space="preserve">Verapamil ER</w:t>
            </w:r>
          </w:p>
        </w:tc>
        <w:tc>
          <w:tcPr>
            <w:tcW w:type="dxa" w:w="2400"/>
            <w:tcMar>
              <w:top w:type="dxa" w:w="70"/>
              <w:left w:type="dxa" w:w="90"/>
              <w:bottom w:type="dxa" w:w="70"/>
              <w:right w:type="dxa" w:w="90"/>
            </w:tcMar>
          </w:tcPr>
          <w:p>
            <w:r>
              <w:rPr>
                <w:b w:val="false"/>
                <w:bCs w:val="false"/>
                <w:color w:val="000000"/>
                <w:sz w:val="18"/>
                <w:szCs w:val="18"/>
              </w:rPr>
              <w:t xml:space="preserve">Non-dihydropyridine</w:t>
            </w:r>
          </w:p>
        </w:tc>
        <w:tc>
          <w:tcPr>
            <w:tcW w:type="dxa" w:w="2200"/>
            <w:tcMar>
              <w:top w:type="dxa" w:w="70"/>
              <w:left w:type="dxa" w:w="90"/>
              <w:bottom w:type="dxa" w:w="70"/>
              <w:right w:type="dxa" w:w="90"/>
            </w:tcMar>
          </w:tcPr>
          <w:p>
            <w:r>
              <w:rPr>
                <w:b w:val="false"/>
                <w:bCs w:val="false"/>
                <w:color w:val="000000"/>
                <w:sz w:val="18"/>
                <w:szCs w:val="18"/>
              </w:rPr>
              <w:t xml:space="preserve">120 mg once daily</w:t>
            </w:r>
          </w:p>
        </w:tc>
        <w:tc>
          <w:tcPr>
            <w:tcW w:type="dxa" w:w="2300"/>
            <w:tcMar>
              <w:top w:type="dxa" w:w="70"/>
              <w:left w:type="dxa" w:w="90"/>
              <w:bottom w:type="dxa" w:w="70"/>
              <w:right w:type="dxa" w:w="90"/>
            </w:tcMar>
          </w:tcPr>
          <w:p>
            <w:r>
              <w:rPr>
                <w:b w:val="false"/>
                <w:bCs w:val="false"/>
                <w:color w:val="000000"/>
                <w:sz w:val="18"/>
                <w:szCs w:val="18"/>
              </w:rPr>
              <w:t xml:space="preserve">120–480 mg/day</w:t>
            </w:r>
          </w:p>
        </w:tc>
        <w:tc>
          <w:tcPr>
            <w:tcW w:type="dxa" w:w="1400"/>
            <w:tcMar>
              <w:top w:type="dxa" w:w="70"/>
              <w:left w:type="dxa" w:w="90"/>
              <w:bottom w:type="dxa" w:w="70"/>
              <w:right w:type="dxa" w:w="90"/>
            </w:tcMar>
          </w:tcPr>
          <w:p>
            <w:r>
              <w:rPr>
                <w:b w:val="false"/>
                <w:bCs w:val="false"/>
                <w:color w:val="000000"/>
                <w:sz w:val="18"/>
                <w:szCs w:val="18"/>
              </w:rPr>
              <w:t xml:space="preserve">Constipation; strong CYP3A4 inhibitor</w:t>
            </w:r>
          </w:p>
        </w:tc>
      </w:tr>
    </w:tbl>
    <w:p>
      <w:pPr>
        <w:pStyle w:val="Heading1"/>
        <w:spacing w:after="120" w:before="240"/>
      </w:pPr>
      <w:r>
        <w:t xml:space="preserve">5. Thiazide and Thiazide-Like Diuretics</w:t>
      </w:r>
    </w:p>
    <w:p>
      <w:pPr>
        <w:spacing w:after="160"/>
      </w:pPr>
      <w:r>
        <w:t xml:space="preserve">Mechanism: Inhibit sodium reabsorption at the distal convoluted tubule, promoting natriuresis and volume reduction; long-term antihypertensive effect is also mediated by vasodilation.</w:t>
      </w:r>
    </w:p>
    <w:p>
      <w:pPr>
        <w:pStyle w:val="ListParagraph"/>
        <w:numPr>
          <w:ilvl w:val="0"/>
          <w:numId w:val="2"/>
        </w:numPr>
        <w:spacing w:after="80"/>
      </w:pPr>
      <w:r>
        <w:t xml:space="preserve">Hydrochlorothiazide: 12.5–25 mg once daily (max 50 mg/day)</w:t>
      </w:r>
    </w:p>
    <w:p>
      <w:pPr>
        <w:pStyle w:val="ListParagraph"/>
        <w:numPr>
          <w:ilvl w:val="0"/>
          <w:numId w:val="2"/>
        </w:numPr>
        <w:spacing w:after="80"/>
      </w:pPr>
      <w:r>
        <w:t xml:space="preserve">Chlorthalidone: 12.5–25 mg once daily (max 25 mg/day); longer half-life, often preferred for outcomes data</w:t>
      </w:r>
    </w:p>
    <w:p>
      <w:pPr>
        <w:pStyle w:val="ListParagraph"/>
        <w:numPr>
          <w:ilvl w:val="0"/>
          <w:numId w:val="2"/>
        </w:numPr>
        <w:spacing w:after="80"/>
      </w:pPr>
      <w:r>
        <w:t xml:space="preserve">Indapamide: 1.25–2.5 mg once daily</w:t>
      </w:r>
    </w:p>
    <w:p>
      <w:pPr>
        <w:spacing w:after="160"/>
      </w:pPr>
      <w:r>
        <w:t xml:space="preserve">Monitoring: serum sodium, potassium, and uric acid at baseline and periodically. Use with caution in patients with gout (may precipitate flares) or significant hyponatremia.</w:t>
      </w:r>
    </w:p>
    <w:p>
      <w:pPr>
        <w:pStyle w:val="Heading1"/>
        <w:spacing w:after="120" w:before="240"/>
      </w:pPr>
      <w:r>
        <w:t xml:space="preserve">6. Beta-Blockers</w:t>
      </w:r>
    </w:p>
    <w:p>
      <w:pPr>
        <w:spacing w:after="160"/>
      </w:pPr>
      <w:r>
        <w:t xml:space="preserve">Mechanism: Block beta-adrenergic receptors, reducing heart rate, contractility, and renin release. Not first-line for uncomplicated hypertension but preferred when compelling indications exist (e.g., post-myocardial infarction, heart failure with reduced ejection fraction, certain arrhythmias).</w:t>
      </w:r>
    </w:p>
    <w:p>
      <w:pPr>
        <w:pStyle w:val="ListParagraph"/>
        <w:numPr>
          <w:ilvl w:val="0"/>
          <w:numId w:val="2"/>
        </w:numPr>
        <w:spacing w:after="80"/>
      </w:pPr>
      <w:r>
        <w:t xml:space="preserve">Metoprolol succinate (extended-release): 25–200 mg once daily</w:t>
      </w:r>
    </w:p>
    <w:p>
      <w:pPr>
        <w:pStyle w:val="ListParagraph"/>
        <w:numPr>
          <w:ilvl w:val="0"/>
          <w:numId w:val="2"/>
        </w:numPr>
        <w:spacing w:after="80"/>
      </w:pPr>
      <w:r>
        <w:t xml:space="preserve">Bisoprolol: 2.5–10 mg once daily</w:t>
      </w:r>
    </w:p>
    <w:p>
      <w:pPr>
        <w:pStyle w:val="ListParagraph"/>
        <w:numPr>
          <w:ilvl w:val="0"/>
          <w:numId w:val="2"/>
        </w:numPr>
        <w:spacing w:after="80"/>
      </w:pPr>
      <w:r>
        <w:t xml:space="preserve">Carvedilol: 3.125–25 mg twice daily (titrate slowly in heart failure)</w:t>
      </w:r>
    </w:p>
    <w:p>
      <w:pPr>
        <w:spacing w:after="160"/>
      </w:pPr>
      <w:r>
        <w:t xml:space="preserve">Key cautions: avoid abrupt discontinuation (risk of rebound hypertension/tachycardia); use cautiously in reactive airway disease and decompensated heart failure; may mask hypoglycemia symptoms in diabetes.</w:t>
      </w:r>
    </w:p>
    <w:p>
      <w:pPr>
        <w:pStyle w:val="Heading1"/>
        <w:spacing w:after="120" w:before="240"/>
      </w:pPr>
      <w:r>
        <w:t xml:space="preserve">7. Comparative Contraindication Summary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6900"/>
      </w:tblGrid>
      <w:tr>
        <w:tc>
          <w:tcPr>
            <w:tcW w:type="dxa" w:w="3200"/>
            <w:shd w:fill="6B2E2E" w:color="auto" w:val="clear"/>
            <w:tcMar>
              <w:top w:type="dxa" w:w="70"/>
              <w:left w:type="dxa" w:w="90"/>
              <w:bottom w:type="dxa" w:w="70"/>
              <w:right w:type="dxa" w:w="90"/>
            </w:tcMar>
          </w:tcPr>
          <w:p>
            <w:r>
              <w:rPr>
                <w:b/>
                <w:bCs/>
                <w:color w:val="FFFFFF"/>
                <w:sz w:val="18"/>
                <w:szCs w:val="18"/>
              </w:rPr>
              <w:t xml:space="preserve">Class</w:t>
            </w:r>
          </w:p>
        </w:tc>
        <w:tc>
          <w:tcPr>
            <w:tcW w:type="dxa" w:w="6900"/>
            <w:shd w:fill="6B2E2E" w:color="auto" w:val="clear"/>
            <w:tcMar>
              <w:top w:type="dxa" w:w="70"/>
              <w:left w:type="dxa" w:w="90"/>
              <w:bottom w:type="dxa" w:w="70"/>
              <w:right w:type="dxa" w:w="90"/>
            </w:tcMar>
          </w:tcPr>
          <w:p>
            <w:r>
              <w:rPr>
                <w:b/>
                <w:bCs/>
                <w:color w:val="FFFFFF"/>
                <w:sz w:val="18"/>
                <w:szCs w:val="18"/>
              </w:rPr>
              <w:t xml:space="preserve">Key Absolute/Relative Contraindications</w:t>
            </w:r>
          </w:p>
        </w:tc>
      </w:tr>
      <w:tr>
        <w:tc>
          <w:tcPr>
            <w:tcW w:type="dxa" w:w="3200"/>
            <w:tcMar>
              <w:top w:type="dxa" w:w="70"/>
              <w:left w:type="dxa" w:w="90"/>
              <w:bottom w:type="dxa" w:w="70"/>
              <w:right w:type="dxa" w:w="90"/>
            </w:tcMar>
          </w:tcPr>
          <w:p>
            <w:r>
              <w:rPr>
                <w:b w:val="false"/>
                <w:bCs w:val="false"/>
                <w:color w:val="000000"/>
                <w:sz w:val="18"/>
                <w:szCs w:val="18"/>
              </w:rPr>
              <w:t xml:space="preserve">ACE Inhibitors</w:t>
            </w:r>
          </w:p>
        </w:tc>
        <w:tc>
          <w:tcPr>
            <w:tcW w:type="dxa" w:w="6900"/>
            <w:tcMar>
              <w:top w:type="dxa" w:w="70"/>
              <w:left w:type="dxa" w:w="90"/>
              <w:bottom w:type="dxa" w:w="70"/>
              <w:right w:type="dxa" w:w="90"/>
            </w:tcMar>
          </w:tcPr>
          <w:p>
            <w:r>
              <w:rPr>
                <w:b w:val="false"/>
                <w:bCs w:val="false"/>
                <w:color w:val="000000"/>
                <w:sz w:val="18"/>
                <w:szCs w:val="18"/>
              </w:rPr>
              <w:t xml:space="preserve">Pregnancy, bilateral renal artery stenosis, prior angioedema</w:t>
            </w:r>
          </w:p>
        </w:tc>
      </w:tr>
      <w:tr>
        <w:tc>
          <w:tcPr>
            <w:tcW w:type="dxa" w:w="3200"/>
            <w:tcMar>
              <w:top w:type="dxa" w:w="70"/>
              <w:left w:type="dxa" w:w="90"/>
              <w:bottom w:type="dxa" w:w="70"/>
              <w:right w:type="dxa" w:w="90"/>
            </w:tcMar>
          </w:tcPr>
          <w:p>
            <w:r>
              <w:rPr>
                <w:b w:val="false"/>
                <w:bCs w:val="false"/>
                <w:color w:val="000000"/>
                <w:sz w:val="18"/>
                <w:szCs w:val="18"/>
              </w:rPr>
              <w:t xml:space="preserve">ARBs</w:t>
            </w:r>
          </w:p>
        </w:tc>
        <w:tc>
          <w:tcPr>
            <w:tcW w:type="dxa" w:w="6900"/>
            <w:tcMar>
              <w:top w:type="dxa" w:w="70"/>
              <w:left w:type="dxa" w:w="90"/>
              <w:bottom w:type="dxa" w:w="70"/>
              <w:right w:type="dxa" w:w="90"/>
            </w:tcMar>
          </w:tcPr>
          <w:p>
            <w:r>
              <w:rPr>
                <w:b w:val="false"/>
                <w:bCs w:val="false"/>
                <w:color w:val="000000"/>
                <w:sz w:val="18"/>
                <w:szCs w:val="18"/>
              </w:rPr>
              <w:t xml:space="preserve">Pregnancy, bilateral renal artery stenosis</w:t>
            </w:r>
          </w:p>
        </w:tc>
      </w:tr>
      <w:tr>
        <w:tc>
          <w:tcPr>
            <w:tcW w:type="dxa" w:w="3200"/>
            <w:tcMar>
              <w:top w:type="dxa" w:w="70"/>
              <w:left w:type="dxa" w:w="90"/>
              <w:bottom w:type="dxa" w:w="70"/>
              <w:right w:type="dxa" w:w="90"/>
            </w:tcMar>
          </w:tcPr>
          <w:p>
            <w:r>
              <w:rPr>
                <w:b w:val="false"/>
                <w:bCs w:val="false"/>
                <w:color w:val="000000"/>
                <w:sz w:val="18"/>
                <w:szCs w:val="18"/>
              </w:rPr>
              <w:t xml:space="preserve">Dihydropyridine CCBs</w:t>
            </w:r>
          </w:p>
        </w:tc>
        <w:tc>
          <w:tcPr>
            <w:tcW w:type="dxa" w:w="6900"/>
            <w:tcMar>
              <w:top w:type="dxa" w:w="70"/>
              <w:left w:type="dxa" w:w="90"/>
              <w:bottom w:type="dxa" w:w="70"/>
              <w:right w:type="dxa" w:w="90"/>
            </w:tcMar>
          </w:tcPr>
          <w:p>
            <w:r>
              <w:rPr>
                <w:b w:val="false"/>
                <w:bCs w:val="false"/>
                <w:color w:val="000000"/>
                <w:sz w:val="18"/>
                <w:szCs w:val="18"/>
              </w:rPr>
              <w:t xml:space="preserve">Severe aortic stenosis (relative), significant peripheral edema</w:t>
            </w:r>
          </w:p>
        </w:tc>
      </w:tr>
      <w:tr>
        <w:tc>
          <w:tcPr>
            <w:tcW w:type="dxa" w:w="3200"/>
            <w:tcMar>
              <w:top w:type="dxa" w:w="70"/>
              <w:left w:type="dxa" w:w="90"/>
              <w:bottom w:type="dxa" w:w="70"/>
              <w:right w:type="dxa" w:w="90"/>
            </w:tcMar>
          </w:tcPr>
          <w:p>
            <w:r>
              <w:rPr>
                <w:b w:val="false"/>
                <w:bCs w:val="false"/>
                <w:color w:val="000000"/>
                <w:sz w:val="18"/>
                <w:szCs w:val="18"/>
              </w:rPr>
              <w:t xml:space="preserve">Non-DHP CCBs</w:t>
            </w:r>
          </w:p>
        </w:tc>
        <w:tc>
          <w:tcPr>
            <w:tcW w:type="dxa" w:w="6900"/>
            <w:tcMar>
              <w:top w:type="dxa" w:w="70"/>
              <w:left w:type="dxa" w:w="90"/>
              <w:bottom w:type="dxa" w:w="70"/>
              <w:right w:type="dxa" w:w="90"/>
            </w:tcMar>
          </w:tcPr>
          <w:p>
            <w:r>
              <w:rPr>
                <w:b w:val="false"/>
                <w:bCs w:val="false"/>
                <w:color w:val="000000"/>
                <w:sz w:val="18"/>
                <w:szCs w:val="18"/>
              </w:rPr>
              <w:t xml:space="preserve">Heart failure with reduced ejection fraction, second/third-degree AV block, concurrent beta-blocker with conduction disease</w:t>
            </w:r>
          </w:p>
        </w:tc>
      </w:tr>
      <w:tr>
        <w:tc>
          <w:tcPr>
            <w:tcW w:type="dxa" w:w="3200"/>
            <w:tcMar>
              <w:top w:type="dxa" w:w="70"/>
              <w:left w:type="dxa" w:w="90"/>
              <w:bottom w:type="dxa" w:w="70"/>
              <w:right w:type="dxa" w:w="90"/>
            </w:tcMar>
          </w:tcPr>
          <w:p>
            <w:r>
              <w:rPr>
                <w:b w:val="false"/>
                <w:bCs w:val="false"/>
                <w:color w:val="000000"/>
                <w:sz w:val="18"/>
                <w:szCs w:val="18"/>
              </w:rPr>
              <w:t xml:space="preserve">Thiazides</w:t>
            </w:r>
          </w:p>
        </w:tc>
        <w:tc>
          <w:tcPr>
            <w:tcW w:type="dxa" w:w="6900"/>
            <w:tcMar>
              <w:top w:type="dxa" w:w="70"/>
              <w:left w:type="dxa" w:w="90"/>
              <w:bottom w:type="dxa" w:w="70"/>
              <w:right w:type="dxa" w:w="90"/>
            </w:tcMar>
          </w:tcPr>
          <w:p>
            <w:r>
              <w:rPr>
                <w:b w:val="false"/>
                <w:bCs w:val="false"/>
                <w:color w:val="000000"/>
                <w:sz w:val="18"/>
                <w:szCs w:val="18"/>
              </w:rPr>
              <w:t xml:space="preserve">Severe hyponatremia, symptomatic gout, sulfa allergy (relative)</w:t>
            </w:r>
          </w:p>
        </w:tc>
      </w:tr>
      <w:tr>
        <w:tc>
          <w:tcPr>
            <w:tcW w:type="dxa" w:w="3200"/>
            <w:tcMar>
              <w:top w:type="dxa" w:w="70"/>
              <w:left w:type="dxa" w:w="90"/>
              <w:bottom w:type="dxa" w:w="70"/>
              <w:right w:type="dxa" w:w="90"/>
            </w:tcMar>
          </w:tcPr>
          <w:p>
            <w:r>
              <w:rPr>
                <w:b w:val="false"/>
                <w:bCs w:val="false"/>
                <w:color w:val="000000"/>
                <w:sz w:val="18"/>
                <w:szCs w:val="18"/>
              </w:rPr>
              <w:t xml:space="preserve">Beta-Blockers</w:t>
            </w:r>
          </w:p>
        </w:tc>
        <w:tc>
          <w:tcPr>
            <w:tcW w:type="dxa" w:w="6900"/>
            <w:tcMar>
              <w:top w:type="dxa" w:w="70"/>
              <w:left w:type="dxa" w:w="90"/>
              <w:bottom w:type="dxa" w:w="70"/>
              <w:right w:type="dxa" w:w="90"/>
            </w:tcMar>
          </w:tcPr>
          <w:p>
            <w:r>
              <w:rPr>
                <w:b w:val="false"/>
                <w:bCs w:val="false"/>
                <w:color w:val="000000"/>
                <w:sz w:val="18"/>
                <w:szCs w:val="18"/>
              </w:rPr>
              <w:t xml:space="preserve">Severe bradycardia, decompensated heart failure, severe reactive airway disease</w:t>
            </w:r>
          </w:p>
        </w:tc>
      </w:tr>
    </w:tbl>
    <w:p>
      <w:pPr>
        <w:pStyle w:val="Heading1"/>
        <w:spacing w:after="120" w:before="240"/>
      </w:pPr>
      <w:r>
        <w:t xml:space="preserve">8. Additional Agent Classes</w:t>
      </w:r>
    </w:p>
    <w:p>
      <w:pPr>
        <w:spacing w:after="160"/>
      </w:pPr>
      <w:r>
        <w:rPr>
          <w:b/>
          <w:bCs/>
        </w:rPr>
        <w:t xml:space="preserve">8.1 Aldosterone Antagonists (Mineralocorticoid Receptor Antagonists)</w:t>
      </w:r>
    </w:p>
    <w:p>
      <w:pPr>
        <w:spacing w:after="160"/>
      </w:pPr>
      <w:r>
        <w:t xml:space="preserve">Spironolactone (12.5–50 mg once daily) and eplerenone (25–100 mg/day) are commonly used as fourth-line add-on agents in resistant hypertension. Both carry a meaningful risk of hyperkalemia, particularly when combined with an ACE inhibitor or ARB, and require periodic potassium and renal function monitoring. Spironolactone may also cause gynecomastia and menstrual irregularities due to off-target hormonal effects.</w:t>
      </w:r>
    </w:p>
    <w:p>
      <w:pPr>
        <w:spacing w:after="160"/>
      </w:pPr>
      <w:r>
        <w:rPr>
          <w:b/>
          <w:bCs/>
        </w:rPr>
        <w:t xml:space="preserve">8.2 Alpha-1 Blockers</w:t>
      </w:r>
    </w:p>
    <w:p>
      <w:pPr>
        <w:spacing w:after="160"/>
      </w:pPr>
      <w:r>
        <w:t xml:space="preserve">Doxazosin (1–8 mg once daily) and terazosin (1–20 mg once daily) are generally reserved for patients with coexisting benign prostatic hyperplasia. First-dose hypotension and orthostatic symptoms are notable risks, and doses should be initiated at bedtime with slow titration.</w:t>
      </w:r>
    </w:p>
    <w:p>
      <w:pPr>
        <w:spacing w:after="160"/>
      </w:pPr>
      <w:r>
        <w:rPr>
          <w:b/>
          <w:bCs/>
        </w:rPr>
        <w:t xml:space="preserve">8.3 Direct Vasodilators</w:t>
      </w:r>
    </w:p>
    <w:p>
      <w:pPr>
        <w:spacing w:after="160"/>
      </w:pPr>
      <w:r>
        <w:t xml:space="preserve">Hydralazine (10–100 mg, two to four times daily) and minoxidil (2.5–100 mg/day) are potent vasodilators typically reserved for resistant hypertension, generally used in combination with a beta-blocker (to blunt reflex tachycardia) and a diuretic (to counter fluid retention). Hydralazine carries a risk of drug-induced lupus at higher doses; minoxidil commonly causes hypertrichosis.</w:t>
      </w:r>
    </w:p>
    <w:p>
      <w:pPr>
        <w:spacing w:after="160"/>
      </w:pPr>
      <w:r>
        <w:rPr>
          <w:b/>
          <w:bCs/>
        </w:rPr>
        <w:t xml:space="preserve">8.4 Central Alpha-2 Agonists</w:t>
      </w:r>
    </w:p>
    <w:p>
      <w:pPr>
        <w:spacing w:after="160"/>
      </w:pPr>
      <w:r>
        <w:t xml:space="preserve">Clonidine (0.1–0.8 mg/day, oral or transdermal patch) acts centrally to reduce sympathetic outflow. Abrupt discontinuation can cause severe rebound hypertension, so tapering is required when stopping therapy.</w:t>
      </w:r>
    </w:p>
    <w:p>
      <w:pPr>
        <w:pStyle w:val="Heading1"/>
        <w:spacing w:after="120" w:before="240"/>
      </w:pPr>
      <w:r>
        <w:t xml:space="preserve">9. Hypertensive Urgency and Emergency — Formulary Considerations</w:t>
      </w:r>
    </w:p>
    <w:p>
      <w:pPr>
        <w:spacing w:after="160"/>
      </w:pPr>
      <w:r>
        <w:t xml:space="preserve">This monograph addresses chronic outpatient management. Severe, acute blood pressure elevation with signs of end-organ damage (hypertensive emergency) requires intravenous agents and inpatient/critical care management, which fall outside the scope of this document. Oral agents listed above are not appropriate for rapid blood pressure reduction in an emergency setting.</w:t>
      </w:r>
    </w:p>
    <w:p>
      <w:pPr>
        <w:pStyle w:val="Heading1"/>
        <w:spacing w:after="120" w:before="240"/>
      </w:pPr>
      <w:r>
        <w:t xml:space="preserve">10. Adherence and Formulation Considerations</w:t>
      </w:r>
    </w:p>
    <w:p>
      <w:pPr>
        <w:pStyle w:val="ListParagraph"/>
        <w:numPr>
          <w:ilvl w:val="0"/>
          <w:numId w:val="2"/>
        </w:numPr>
        <w:spacing w:after="80"/>
      </w:pPr>
      <w:r>
        <w:t xml:space="preserve">Fixed-dose combination products (e.g., ACE inhibitor/thiazide, ARB/CCB) can reduce pill burden and improve adherence, and should be considered once individual component doses are established</w:t>
      </w:r>
    </w:p>
    <w:p>
      <w:pPr>
        <w:pStyle w:val="ListParagraph"/>
        <w:numPr>
          <w:ilvl w:val="0"/>
          <w:numId w:val="2"/>
        </w:numPr>
        <w:spacing w:after="80"/>
      </w:pPr>
      <w:r>
        <w:t xml:space="preserve">Extended-release formulations are generally preferred over immediate-release equivalents where available, to support once-daily dosing and smoother blood pressure control</w:t>
      </w:r>
    </w:p>
    <w:p>
      <w:pPr>
        <w:pStyle w:val="ListParagraph"/>
        <w:numPr>
          <w:ilvl w:val="0"/>
          <w:numId w:val="2"/>
        </w:numPr>
        <w:spacing w:after="80"/>
      </w:pPr>
      <w:r>
        <w:t xml:space="preserve">Generic formulations are available for most agents listed in this monograph and should be used preferentially where clinically equivalent, to support affordability and long-term adherence</w:t>
      </w:r>
    </w:p>
    <w:p>
      <w:pPr>
        <w:pStyle w:val="ListParagraph"/>
        <w:numPr>
          <w:ilvl w:val="0"/>
          <w:numId w:val="2"/>
        </w:numPr>
        <w:spacing w:after="80"/>
      </w:pPr>
      <w:r>
        <w:t xml:space="preserve">Patients transitioning between formulations of the same agent (e.g., immediate-release to extended-release) should have blood pressure reassessed within 1–2 weeks</w:t>
      </w:r>
    </w:p>
    <w:p>
      <w:pPr>
        <w:pStyle w:val="Heading1"/>
        <w:spacing w:after="120" w:before="240"/>
      </w:pPr>
      <w:r>
        <w:t xml:space="preserve">11. General Prescribing Notes</w:t>
      </w:r>
    </w:p>
    <w:p>
      <w:pPr>
        <w:pStyle w:val="ListParagraph"/>
        <w:numPr>
          <w:ilvl w:val="0"/>
          <w:numId w:val="2"/>
        </w:numPr>
        <w:spacing w:after="80"/>
      </w:pPr>
      <w:r>
        <w:t xml:space="preserve">Combination therapy (e.g., ACE inhibitor/ARB + CCB, or ACE inhibitor/ARB + thiazide) is often required to reach blood pressure targets and may allow lower doses of each agent.</w:t>
      </w:r>
    </w:p>
    <w:p>
      <w:pPr>
        <w:pStyle w:val="ListParagraph"/>
        <w:numPr>
          <w:ilvl w:val="0"/>
          <w:numId w:val="2"/>
        </w:numPr>
        <w:spacing w:after="80"/>
      </w:pPr>
      <w:r>
        <w:t xml:space="preserve">Do not combine an ACE inhibitor with an ARB due to increased risk of hyperkalemia and renal impairment without added benefit.</w:t>
      </w:r>
    </w:p>
    <w:p>
      <w:pPr>
        <w:pStyle w:val="ListParagraph"/>
        <w:numPr>
          <w:ilvl w:val="0"/>
          <w:numId w:val="2"/>
        </w:numPr>
        <w:spacing w:after="80"/>
      </w:pPr>
      <w:r>
        <w:t xml:space="preserve">Reassess renal function and electrolytes within 1–2 weeks of any dose increase in a renin-angiotensin system blocker or diuretic.</w:t>
      </w:r>
    </w:p>
    <w:p>
      <w:pPr>
        <w:pStyle w:val="ListParagraph"/>
        <w:numPr>
          <w:ilvl w:val="0"/>
          <w:numId w:val="2"/>
        </w:numPr>
        <w:spacing w:after="80"/>
      </w:pPr>
      <w:r>
        <w:t xml:space="preserve">Consider medication cost, once-daily dosing, and pill burden to support long-term adherence.</w:t>
      </w:r>
    </w:p>
    <w:p>
      <w:pPr>
        <w:pStyle w:val="Heading1"/>
        <w:spacing w:after="120" w:before="240"/>
      </w:pPr>
      <w:r>
        <w:t xml:space="preserve">12. Interaction Screening Summary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4000"/>
      </w:tblGrid>
      <w:tr>
        <w:tc>
          <w:tcPr>
            <w:tcW w:type="dxa" w:w="2400"/>
            <w:shd w:fill="6B2E2E" w:color="auto" w:val="clear"/>
            <w:tcMar>
              <w:top w:type="dxa" w:w="70"/>
              <w:left w:type="dxa" w:w="90"/>
              <w:bottom w:type="dxa" w:w="70"/>
              <w:right w:type="dxa" w:w="90"/>
            </w:tcMar>
          </w:tcPr>
          <w:p>
            <w:r>
              <w:rPr>
                <w:b/>
                <w:bCs/>
                <w:color w:val="FFFFFF"/>
                <w:sz w:val="18"/>
                <w:szCs w:val="18"/>
              </w:rPr>
              <w:t xml:space="preserve">Combination</w:t>
            </w:r>
          </w:p>
        </w:tc>
        <w:tc>
          <w:tcPr>
            <w:tcW w:type="dxa" w:w="3900"/>
            <w:shd w:fill="6B2E2E" w:color="auto" w:val="clear"/>
            <w:tcMar>
              <w:top w:type="dxa" w:w="70"/>
              <w:left w:type="dxa" w:w="90"/>
              <w:bottom w:type="dxa" w:w="70"/>
              <w:right w:type="dxa" w:w="90"/>
            </w:tcMar>
          </w:tcPr>
          <w:p>
            <w:r>
              <w:rPr>
                <w:b/>
                <w:bCs/>
                <w:color w:val="FFFFFF"/>
                <w:sz w:val="18"/>
                <w:szCs w:val="18"/>
              </w:rPr>
              <w:t xml:space="preserve">Effect</w:t>
            </w:r>
          </w:p>
        </w:tc>
        <w:tc>
          <w:tcPr>
            <w:tcW w:type="dxa" w:w="4000"/>
            <w:shd w:fill="6B2E2E" w:color="auto" w:val="clear"/>
            <w:tcMar>
              <w:top w:type="dxa" w:w="70"/>
              <w:left w:type="dxa" w:w="90"/>
              <w:bottom w:type="dxa" w:w="70"/>
              <w:right w:type="dxa" w:w="90"/>
            </w:tcMar>
          </w:tcPr>
          <w:p>
            <w:r>
              <w:rPr>
                <w:b/>
                <w:bCs/>
                <w:color w:val="FFFFFF"/>
                <w:sz w:val="18"/>
                <w:szCs w:val="18"/>
              </w:rPr>
              <w:t xml:space="preserve">Recommendation</w:t>
            </w:r>
          </w:p>
        </w:tc>
      </w:tr>
      <w:tr>
        <w:tc>
          <w:tcPr>
            <w:tcW w:type="dxa" w:w="2400"/>
            <w:tcMar>
              <w:top w:type="dxa" w:w="70"/>
              <w:left w:type="dxa" w:w="90"/>
              <w:bottom w:type="dxa" w:w="70"/>
              <w:right w:type="dxa" w:w="90"/>
            </w:tcMar>
          </w:tcPr>
          <w:p>
            <w:r>
              <w:rPr>
                <w:b w:val="false"/>
                <w:bCs w:val="false"/>
                <w:color w:val="000000"/>
                <w:sz w:val="18"/>
                <w:szCs w:val="18"/>
              </w:rPr>
              <w:t xml:space="preserve">ACE-I/ARB + Potassium-sparing diuretic</w:t>
            </w:r>
          </w:p>
        </w:tc>
        <w:tc>
          <w:tcPr>
            <w:tcW w:type="dxa" w:w="3900"/>
            <w:tcMar>
              <w:top w:type="dxa" w:w="70"/>
              <w:left w:type="dxa" w:w="90"/>
              <w:bottom w:type="dxa" w:w="70"/>
              <w:right w:type="dxa" w:w="90"/>
            </w:tcMar>
          </w:tcPr>
          <w:p>
            <w:r>
              <w:rPr>
                <w:b w:val="false"/>
                <w:bCs w:val="false"/>
                <w:color w:val="000000"/>
                <w:sz w:val="18"/>
                <w:szCs w:val="18"/>
              </w:rPr>
              <w:t xml:space="preserve">Additive hyperkalemia risk</w:t>
            </w:r>
          </w:p>
        </w:tc>
        <w:tc>
          <w:tcPr>
            <w:tcW w:type="dxa" w:w="4000"/>
            <w:tcMar>
              <w:top w:type="dxa" w:w="70"/>
              <w:left w:type="dxa" w:w="90"/>
              <w:bottom w:type="dxa" w:w="70"/>
              <w:right w:type="dxa" w:w="90"/>
            </w:tcMar>
          </w:tcPr>
          <w:p>
            <w:r>
              <w:rPr>
                <w:b w:val="false"/>
                <w:bCs w:val="false"/>
                <w:color w:val="000000"/>
                <w:sz w:val="18"/>
                <w:szCs w:val="18"/>
              </w:rPr>
              <w:t xml:space="preserve">Monitor potassium closely; avoid in renal impairment</w:t>
            </w:r>
          </w:p>
        </w:tc>
      </w:tr>
      <w:tr>
        <w:tc>
          <w:tcPr>
            <w:tcW w:type="dxa" w:w="2400"/>
            <w:tcMar>
              <w:top w:type="dxa" w:w="70"/>
              <w:left w:type="dxa" w:w="90"/>
              <w:bottom w:type="dxa" w:w="70"/>
              <w:right w:type="dxa" w:w="90"/>
            </w:tcMar>
          </w:tcPr>
          <w:p>
            <w:r>
              <w:rPr>
                <w:b w:val="false"/>
                <w:bCs w:val="false"/>
                <w:color w:val="000000"/>
                <w:sz w:val="18"/>
                <w:szCs w:val="18"/>
              </w:rPr>
              <w:t xml:space="preserve">Non-DHP CCB + Beta-blocker</w:t>
            </w:r>
          </w:p>
        </w:tc>
        <w:tc>
          <w:tcPr>
            <w:tcW w:type="dxa" w:w="3900"/>
            <w:tcMar>
              <w:top w:type="dxa" w:w="70"/>
              <w:left w:type="dxa" w:w="90"/>
              <w:bottom w:type="dxa" w:w="70"/>
              <w:right w:type="dxa" w:w="90"/>
            </w:tcMar>
          </w:tcPr>
          <w:p>
            <w:r>
              <w:rPr>
                <w:b w:val="false"/>
                <w:bCs w:val="false"/>
                <w:color w:val="000000"/>
                <w:sz w:val="18"/>
                <w:szCs w:val="18"/>
              </w:rPr>
              <w:t xml:space="preserve">Additive negative chronotropic/inotropic effect</w:t>
            </w:r>
          </w:p>
        </w:tc>
        <w:tc>
          <w:tcPr>
            <w:tcW w:type="dxa" w:w="4000"/>
            <w:tcMar>
              <w:top w:type="dxa" w:w="70"/>
              <w:left w:type="dxa" w:w="90"/>
              <w:bottom w:type="dxa" w:w="70"/>
              <w:right w:type="dxa" w:w="90"/>
            </w:tcMar>
          </w:tcPr>
          <w:p>
            <w:r>
              <w:rPr>
                <w:b w:val="false"/>
                <w:bCs w:val="false"/>
                <w:color w:val="000000"/>
                <w:sz w:val="18"/>
                <w:szCs w:val="18"/>
              </w:rPr>
              <w:t xml:space="preserve">Avoid combination in conduction disease or reduced ejection fraction</w:t>
            </w:r>
          </w:p>
        </w:tc>
      </w:tr>
      <w:tr>
        <w:tc>
          <w:tcPr>
            <w:tcW w:type="dxa" w:w="2400"/>
            <w:tcMar>
              <w:top w:type="dxa" w:w="70"/>
              <w:left w:type="dxa" w:w="90"/>
              <w:bottom w:type="dxa" w:w="70"/>
              <w:right w:type="dxa" w:w="90"/>
            </w:tcMar>
          </w:tcPr>
          <w:p>
            <w:r>
              <w:rPr>
                <w:b w:val="false"/>
                <w:bCs w:val="false"/>
                <w:color w:val="000000"/>
                <w:sz w:val="18"/>
                <w:szCs w:val="18"/>
              </w:rPr>
              <w:t xml:space="preserve">Thiazide + Lithium</w:t>
            </w:r>
          </w:p>
        </w:tc>
        <w:tc>
          <w:tcPr>
            <w:tcW w:type="dxa" w:w="3900"/>
            <w:tcMar>
              <w:top w:type="dxa" w:w="70"/>
              <w:left w:type="dxa" w:w="90"/>
              <w:bottom w:type="dxa" w:w="70"/>
              <w:right w:type="dxa" w:w="90"/>
            </w:tcMar>
          </w:tcPr>
          <w:p>
            <w:r>
              <w:rPr>
                <w:b w:val="false"/>
                <w:bCs w:val="false"/>
                <w:color w:val="000000"/>
                <w:sz w:val="18"/>
                <w:szCs w:val="18"/>
              </w:rPr>
              <w:t xml:space="preserve">Reduced lithium clearance, risk of toxicity</w:t>
            </w:r>
          </w:p>
        </w:tc>
        <w:tc>
          <w:tcPr>
            <w:tcW w:type="dxa" w:w="4000"/>
            <w:tcMar>
              <w:top w:type="dxa" w:w="70"/>
              <w:left w:type="dxa" w:w="90"/>
              <w:bottom w:type="dxa" w:w="70"/>
              <w:right w:type="dxa" w:w="90"/>
            </w:tcMar>
          </w:tcPr>
          <w:p>
            <w:r>
              <w:rPr>
                <w:b w:val="false"/>
                <w:bCs w:val="false"/>
                <w:color w:val="000000"/>
                <w:sz w:val="18"/>
                <w:szCs w:val="18"/>
              </w:rPr>
              <w:t xml:space="preserve">Monitor lithium levels closely if combination is unavoidable</w:t>
            </w:r>
          </w:p>
        </w:tc>
      </w:tr>
      <w:tr>
        <w:tc>
          <w:tcPr>
            <w:tcW w:type="dxa" w:w="2400"/>
            <w:tcMar>
              <w:top w:type="dxa" w:w="70"/>
              <w:left w:type="dxa" w:w="90"/>
              <w:bottom w:type="dxa" w:w="70"/>
              <w:right w:type="dxa" w:w="90"/>
            </w:tcMar>
          </w:tcPr>
          <w:p>
            <w:r>
              <w:rPr>
                <w:b w:val="false"/>
                <w:bCs w:val="false"/>
                <w:color w:val="000000"/>
                <w:sz w:val="18"/>
                <w:szCs w:val="18"/>
              </w:rPr>
              <w:t xml:space="preserve">ACE-I/ARB + NSAIDs</w:t>
            </w:r>
          </w:p>
        </w:tc>
        <w:tc>
          <w:tcPr>
            <w:tcW w:type="dxa" w:w="3900"/>
            <w:tcMar>
              <w:top w:type="dxa" w:w="70"/>
              <w:left w:type="dxa" w:w="90"/>
              <w:bottom w:type="dxa" w:w="70"/>
              <w:right w:type="dxa" w:w="90"/>
            </w:tcMar>
          </w:tcPr>
          <w:p>
            <w:r>
              <w:rPr>
                <w:b w:val="false"/>
                <w:bCs w:val="false"/>
                <w:color w:val="000000"/>
                <w:sz w:val="18"/>
                <w:szCs w:val="18"/>
              </w:rPr>
              <w:t xml:space="preserve">Reduced antihypertensive effect, renal impairment risk</w:t>
            </w:r>
          </w:p>
        </w:tc>
        <w:tc>
          <w:tcPr>
            <w:tcW w:type="dxa" w:w="4000"/>
            <w:tcMar>
              <w:top w:type="dxa" w:w="70"/>
              <w:left w:type="dxa" w:w="90"/>
              <w:bottom w:type="dxa" w:w="70"/>
              <w:right w:type="dxa" w:w="90"/>
            </w:tcMar>
          </w:tcPr>
          <w:p>
            <w:r>
              <w:rPr>
                <w:b w:val="false"/>
                <w:bCs w:val="false"/>
                <w:color w:val="000000"/>
                <w:sz w:val="18"/>
                <w:szCs w:val="18"/>
              </w:rPr>
              <w:t xml:space="preserve">Use lowest effective NSAID dose for shortest duration; monitor renal function</w:t>
            </w:r>
          </w:p>
        </w:tc>
      </w:tr>
    </w:tbl>
    <w:p>
      <w:pPr>
        <w:spacing w:after="160"/>
      </w:pPr>
      <w:r>
        <w:t xml:space="preserve"/>
      </w:r>
    </w:p>
    <w:p>
      <w:pPr>
        <w:pStyle w:val="Heading1"/>
        <w:spacing w:after="120" w:before="240"/>
      </w:pPr>
      <w:r>
        <w:t xml:space="preserve">13. Patient Counselling Points</w:t>
      </w:r>
    </w:p>
    <w:p>
      <w:pPr>
        <w:pStyle w:val="ListParagraph"/>
        <w:numPr>
          <w:ilvl w:val="0"/>
          <w:numId w:val="2"/>
        </w:numPr>
        <w:spacing w:after="80"/>
      </w:pPr>
      <w:r>
        <w:t xml:space="preserve">Take antihypertensive medications at a consistent time each day, and do not stop or skip doses even when blood pressure readings look normal</w:t>
      </w:r>
    </w:p>
    <w:p>
      <w:pPr>
        <w:pStyle w:val="ListParagraph"/>
        <w:numPr>
          <w:ilvl w:val="0"/>
          <w:numId w:val="2"/>
        </w:numPr>
        <w:spacing w:after="80"/>
      </w:pPr>
      <w:r>
        <w:t xml:space="preserve">Report symptoms such as persistent dry cough (ACE inhibitors), swelling of the ankles (dihydropyridine CCBs), or unusual muscle weakness (diuretics) to a healthcare provider</w:t>
      </w:r>
    </w:p>
    <w:p>
      <w:pPr>
        <w:pStyle w:val="ListParagraph"/>
        <w:numPr>
          <w:ilvl w:val="0"/>
          <w:numId w:val="2"/>
        </w:numPr>
        <w:spacing w:after="80"/>
      </w:pPr>
      <w:r>
        <w:t xml:space="preserve">Avoid abruptly stopping beta-blockers or centrally-acting agents such as clonidine without medical guidance, due to rebound effects</w:t>
      </w:r>
    </w:p>
    <w:p>
      <w:pPr>
        <w:pStyle w:val="ListParagraph"/>
        <w:numPr>
          <w:ilvl w:val="0"/>
          <w:numId w:val="2"/>
        </w:numPr>
        <w:spacing w:after="80"/>
      </w:pPr>
      <w:r>
        <w:t xml:space="preserve">Keep scheduled blood tests for kidney function and electrolytes, particularly after starting or increasing a renin-angiotensin system blocker or diuretic</w:t>
      </w:r>
    </w:p>
    <w:p>
      <w:pPr>
        <w:spacing w:after="200"/>
      </w:pPr>
      <w:r>
        <w:rPr>
          <w:i/>
          <w:iCs/>
          <w:color w:val="666666"/>
          <w:sz w:val="20"/>
          <w:szCs w:val="20"/>
        </w:rPr>
        <w:t xml:space="preserve">End of document. Document ID: MED-FORM-002 (synthetic training corpus).</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6"/>
        <w:szCs w:val="16"/>
      </w:rPr>
      <w:t xml:space="preserve">Formulary Monograph — Antihypertensive Agents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2026-08-23T13:42:24.889Z</dcterms:created>
  <dcterms:modified xsi:type="dcterms:W3CDTF">2026-08-23T13:42:24.889Z</dcterms:modified>
</cp:coreProperties>
</file>

<file path=docProps/custom.xml><?xml version="1.0" encoding="utf-8"?>
<Properties xmlns="http://schemas.openxmlformats.org/officeDocument/2006/custom-properties" xmlns:vt="http://schemas.openxmlformats.org/officeDocument/2006/docPropsVTypes"/>
</file>