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C3E"/>
          <w:sz w:val="40"/>
          <w:szCs w:val="40"/>
        </w:rPr>
        <w:t xml:space="preserve">Standard Operating Procedure</w:t>
      </w:r>
    </w:p>
    <w:p>
      <w:pPr>
        <w:spacing w:after="200"/>
      </w:pPr>
      <w:r>
        <w:rPr>
          <w:i/>
          <w:iCs/>
          <w:color w:val="444444"/>
          <w:sz w:val="24"/>
          <w:szCs w:val="24"/>
        </w:rPr>
        <w:t xml:space="preserve">Prevention of Central Line-Associated Bloodstream Infections (CLABSI)</w:t>
      </w:r>
    </w:p>
    <w:p>
      <w:pPr>
        <w:spacing w:after="200"/>
      </w:pPr>
      <w:r>
        <w:rPr>
          <w:i/>
          <w:iCs/>
          <w:color w:val="666666"/>
          <w:sz w:val="20"/>
          <w:szCs w:val="20"/>
        </w:rPr>
        <w:t xml:space="preserve">Illustrative / synthetic SOP created for training and demonstration purposes (e.g., testing retrieval-augmented generation systems). Does not represent the actual policy of any institution and must not be used to guide real clinical practice.</w:t>
      </w:r>
    </w:p>
    <w:p>
      <w:pPr>
        <w:pStyle w:val="Heading1"/>
        <w:spacing w:after="120" w:before="240"/>
      </w:pPr>
      <w:r>
        <w:t xml:space="preserve">1. Purpose</w:t>
      </w:r>
    </w:p>
    <w:p>
      <w:pPr>
        <w:spacing w:after="160"/>
      </w:pPr>
      <w:r>
        <w:t xml:space="preserve">This Standard Operating Procedure (SOP) defines the required steps for insertion, maintenance, and monitoring of central venous catheters (CVCs) to minimize the risk of Central Line-Associated Bloodstream Infection (CLABSI) across inpatient units.</w:t>
      </w:r>
    </w:p>
    <w:p>
      <w:pPr>
        <w:pStyle w:val="Heading1"/>
        <w:spacing w:after="120" w:before="240"/>
      </w:pPr>
      <w:r>
        <w:t xml:space="preserve">2. Scope</w:t>
      </w:r>
    </w:p>
    <w:p>
      <w:pPr>
        <w:spacing w:after="160"/>
      </w:pPr>
      <w:r>
        <w:t xml:space="preserve">Applies to all clinical staff involved in the insertion, care, and removal of central venous catheters, including internal jugular, subclavian, femoral, and peripherally inserted central catheter (PICC) lines, in adult inpatient units and intensive care units.</w:t>
      </w:r>
    </w:p>
    <w:p>
      <w:pPr>
        <w:pStyle w:val="Heading1"/>
        <w:spacing w:after="120" w:before="240"/>
      </w:pPr>
      <w:r>
        <w:t xml:space="preserve">3. Roles and Responsibilities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2E5C3E" w:color="auto" w:val="clear"/>
            <w:tcMar>
              <w:top w:type="dxa" w:w="80"/>
              <w:left w:type="dxa" w:w="100"/>
              <w:bottom w:type="dxa" w:w="80"/>
              <w:right w:type="dxa" w:w="100"/>
            </w:tcMar>
          </w:tcPr>
          <w:p>
            <w:r>
              <w:rPr>
                <w:b/>
                <w:bCs/>
                <w:color w:val="FFFFFF"/>
                <w:sz w:val="20"/>
                <w:szCs w:val="20"/>
              </w:rPr>
              <w:t xml:space="preserve">Role</w:t>
            </w:r>
          </w:p>
        </w:tc>
        <w:tc>
          <w:tcPr>
            <w:tcW w:type="dxa" w:w="3200"/>
            <w:shd w:fill="2E5C3E" w:color="auto" w:val="clear"/>
            <w:tcMar>
              <w:top w:type="dxa" w:w="80"/>
              <w:left w:type="dxa" w:w="100"/>
              <w:bottom w:type="dxa" w:w="80"/>
              <w:right w:type="dxa" w:w="100"/>
            </w:tcMar>
          </w:tcPr>
          <w:p>
            <w:r>
              <w:rPr>
                <w:b/>
                <w:bCs/>
                <w:color w:val="FFFFFF"/>
                <w:sz w:val="20"/>
                <w:szCs w:val="20"/>
              </w:rPr>
              <w:t xml:space="preserve">Responsibility</w:t>
            </w:r>
          </w:p>
        </w:tc>
        <w:tc>
          <w:tcPr>
            <w:tcW w:type="dxa" w:w="3600"/>
            <w:shd w:fill="2E5C3E" w:color="auto" w:val="clear"/>
            <w:tcMar>
              <w:top w:type="dxa" w:w="80"/>
              <w:left w:type="dxa" w:w="100"/>
              <w:bottom w:type="dxa" w:w="80"/>
              <w:right w:type="dxa" w:w="100"/>
            </w:tcMar>
          </w:tcPr>
          <w:p>
            <w:r>
              <w:rPr>
                <w:b/>
                <w:bCs/>
                <w:color w:val="FFFFFF"/>
                <w:sz w:val="20"/>
                <w:szCs w:val="20"/>
              </w:rPr>
              <w:t xml:space="preserve">Frequency / Trigger</w:t>
            </w:r>
          </w:p>
        </w:tc>
      </w:tr>
      <w:tr>
        <w:tc>
          <w:tcPr>
            <w:tcW w:type="dxa" w:w="3200"/>
            <w:tcMar>
              <w:top w:type="dxa" w:w="80"/>
              <w:left w:type="dxa" w:w="100"/>
              <w:bottom w:type="dxa" w:w="80"/>
              <w:right w:type="dxa" w:w="100"/>
            </w:tcMar>
          </w:tcPr>
          <w:p>
            <w:r>
              <w:rPr>
                <w:b w:val="false"/>
                <w:bCs w:val="false"/>
                <w:color w:val="000000"/>
                <w:sz w:val="20"/>
                <w:szCs w:val="20"/>
              </w:rPr>
              <w:t xml:space="preserve">Inserting physician</w:t>
            </w:r>
          </w:p>
        </w:tc>
        <w:tc>
          <w:tcPr>
            <w:tcW w:type="dxa" w:w="3200"/>
            <w:tcMar>
              <w:top w:type="dxa" w:w="80"/>
              <w:left w:type="dxa" w:w="100"/>
              <w:bottom w:type="dxa" w:w="80"/>
              <w:right w:type="dxa" w:w="100"/>
            </w:tcMar>
          </w:tcPr>
          <w:p>
            <w:r>
              <w:rPr>
                <w:b w:val="false"/>
                <w:bCs w:val="false"/>
                <w:color w:val="000000"/>
                <w:sz w:val="20"/>
                <w:szCs w:val="20"/>
              </w:rPr>
              <w:t xml:space="preserve">Performs insertion using full barrier precautions; completes insertion checklist</w:t>
            </w:r>
          </w:p>
        </w:tc>
        <w:tc>
          <w:tcPr>
            <w:tcW w:type="dxa" w:w="3600"/>
            <w:tcMar>
              <w:top w:type="dxa" w:w="80"/>
              <w:left w:type="dxa" w:w="100"/>
              <w:bottom w:type="dxa" w:w="80"/>
              <w:right w:type="dxa" w:w="100"/>
            </w:tcMar>
          </w:tcPr>
          <w:p>
            <w:r>
              <w:rPr>
                <w:b w:val="false"/>
                <w:bCs w:val="false"/>
                <w:color w:val="000000"/>
                <w:sz w:val="20"/>
                <w:szCs w:val="20"/>
              </w:rPr>
              <w:t xml:space="preserve">At time of insertion</w:t>
            </w:r>
          </w:p>
        </w:tc>
      </w:tr>
      <w:tr>
        <w:tc>
          <w:tcPr>
            <w:tcW w:type="dxa" w:w="3200"/>
            <w:tcMar>
              <w:top w:type="dxa" w:w="80"/>
              <w:left w:type="dxa" w:w="100"/>
              <w:bottom w:type="dxa" w:w="80"/>
              <w:right w:type="dxa" w:w="100"/>
            </w:tcMar>
          </w:tcPr>
          <w:p>
            <w:r>
              <w:rPr>
                <w:b w:val="false"/>
                <w:bCs w:val="false"/>
                <w:color w:val="000000"/>
                <w:sz w:val="20"/>
                <w:szCs w:val="20"/>
              </w:rPr>
              <w:t xml:space="preserve">Bedside nurse</w:t>
            </w:r>
          </w:p>
        </w:tc>
        <w:tc>
          <w:tcPr>
            <w:tcW w:type="dxa" w:w="3200"/>
            <w:tcMar>
              <w:top w:type="dxa" w:w="80"/>
              <w:left w:type="dxa" w:w="100"/>
              <w:bottom w:type="dxa" w:w="80"/>
              <w:right w:type="dxa" w:w="100"/>
            </w:tcMar>
          </w:tcPr>
          <w:p>
            <w:r>
              <w:rPr>
                <w:b w:val="false"/>
                <w:bCs w:val="false"/>
                <w:color w:val="000000"/>
                <w:sz w:val="20"/>
                <w:szCs w:val="20"/>
              </w:rPr>
              <w:t xml:space="preserve">Performs daily site assessment, dressing checks, and documents line necessity</w:t>
            </w:r>
          </w:p>
        </w:tc>
        <w:tc>
          <w:tcPr>
            <w:tcW w:type="dxa" w:w="3600"/>
            <w:tcMar>
              <w:top w:type="dxa" w:w="80"/>
              <w:left w:type="dxa" w:w="100"/>
              <w:bottom w:type="dxa" w:w="80"/>
              <w:right w:type="dxa" w:w="100"/>
            </w:tcMar>
          </w:tcPr>
          <w:p>
            <w:r>
              <w:rPr>
                <w:b w:val="false"/>
                <w:bCs w:val="false"/>
                <w:color w:val="000000"/>
                <w:sz w:val="20"/>
                <w:szCs w:val="20"/>
              </w:rPr>
              <w:t xml:space="preserve">Every shift</w:t>
            </w:r>
          </w:p>
        </w:tc>
      </w:tr>
      <w:tr>
        <w:tc>
          <w:tcPr>
            <w:tcW w:type="dxa" w:w="3200"/>
            <w:tcMar>
              <w:top w:type="dxa" w:w="80"/>
              <w:left w:type="dxa" w:w="100"/>
              <w:bottom w:type="dxa" w:w="80"/>
              <w:right w:type="dxa" w:w="100"/>
            </w:tcMar>
          </w:tcPr>
          <w:p>
            <w:r>
              <w:rPr>
                <w:b w:val="false"/>
                <w:bCs w:val="false"/>
                <w:color w:val="000000"/>
                <w:sz w:val="20"/>
                <w:szCs w:val="20"/>
              </w:rPr>
              <w:t xml:space="preserve">Charge nurse / unit lead</w:t>
            </w:r>
          </w:p>
        </w:tc>
        <w:tc>
          <w:tcPr>
            <w:tcW w:type="dxa" w:w="3200"/>
            <w:tcMar>
              <w:top w:type="dxa" w:w="80"/>
              <w:left w:type="dxa" w:w="100"/>
              <w:bottom w:type="dxa" w:w="80"/>
              <w:right w:type="dxa" w:w="100"/>
            </w:tcMar>
          </w:tcPr>
          <w:p>
            <w:r>
              <w:rPr>
                <w:b w:val="false"/>
                <w:bCs w:val="false"/>
                <w:color w:val="000000"/>
                <w:sz w:val="20"/>
                <w:szCs w:val="20"/>
              </w:rPr>
              <w:t xml:space="preserve">Reviews line necessity during daily rounds; escalates lines with no active indication</w:t>
            </w:r>
          </w:p>
        </w:tc>
        <w:tc>
          <w:tcPr>
            <w:tcW w:type="dxa" w:w="3600"/>
            <w:tcMar>
              <w:top w:type="dxa" w:w="80"/>
              <w:left w:type="dxa" w:w="100"/>
              <w:bottom w:type="dxa" w:w="80"/>
              <w:right w:type="dxa" w:w="100"/>
            </w:tcMar>
          </w:tcPr>
          <w:p>
            <w:r>
              <w:rPr>
                <w:b w:val="false"/>
                <w:bCs w:val="false"/>
                <w:color w:val="000000"/>
                <w:sz w:val="20"/>
                <w:szCs w:val="20"/>
              </w:rPr>
              <w:t xml:space="preserve">Daily</w:t>
            </w:r>
          </w:p>
        </w:tc>
      </w:tr>
      <w:tr>
        <w:tc>
          <w:tcPr>
            <w:tcW w:type="dxa" w:w="3200"/>
            <w:tcMar>
              <w:top w:type="dxa" w:w="80"/>
              <w:left w:type="dxa" w:w="100"/>
              <w:bottom w:type="dxa" w:w="80"/>
              <w:right w:type="dxa" w:w="100"/>
            </w:tcMar>
          </w:tcPr>
          <w:p>
            <w:r>
              <w:rPr>
                <w:b w:val="false"/>
                <w:bCs w:val="false"/>
                <w:color w:val="000000"/>
                <w:sz w:val="20"/>
                <w:szCs w:val="20"/>
              </w:rPr>
              <w:t xml:space="preserve">Infection prevention team</w:t>
            </w:r>
          </w:p>
        </w:tc>
        <w:tc>
          <w:tcPr>
            <w:tcW w:type="dxa" w:w="3200"/>
            <w:tcMar>
              <w:top w:type="dxa" w:w="80"/>
              <w:left w:type="dxa" w:w="100"/>
              <w:bottom w:type="dxa" w:w="80"/>
              <w:right w:type="dxa" w:w="100"/>
            </w:tcMar>
          </w:tcPr>
          <w:p>
            <w:r>
              <w:rPr>
                <w:b w:val="false"/>
                <w:bCs w:val="false"/>
                <w:color w:val="000000"/>
                <w:sz w:val="20"/>
                <w:szCs w:val="20"/>
              </w:rPr>
              <w:t xml:space="preserve">Conducts surveillance, audits compliance, reports CLABSI rate to unit leadership</w:t>
            </w:r>
          </w:p>
        </w:tc>
        <w:tc>
          <w:tcPr>
            <w:tcW w:type="dxa" w:w="3600"/>
            <w:tcMar>
              <w:top w:type="dxa" w:w="80"/>
              <w:left w:type="dxa" w:w="100"/>
              <w:bottom w:type="dxa" w:w="80"/>
              <w:right w:type="dxa" w:w="100"/>
            </w:tcMar>
          </w:tcPr>
          <w:p>
            <w:r>
              <w:rPr>
                <w:b w:val="false"/>
                <w:bCs w:val="false"/>
                <w:color w:val="000000"/>
                <w:sz w:val="20"/>
                <w:szCs w:val="20"/>
              </w:rPr>
              <w:t xml:space="preserve">Monthly</w:t>
            </w:r>
          </w:p>
        </w:tc>
      </w:tr>
    </w:tbl>
    <w:p>
      <w:pPr>
        <w:pStyle w:val="Heading1"/>
        <w:spacing w:after="120" w:before="240"/>
      </w:pPr>
      <w:r>
        <w:t xml:space="preserve">4. Insertion Procedure</w:t>
      </w:r>
    </w:p>
    <w:p>
      <w:pPr>
        <w:spacing w:after="160"/>
      </w:pPr>
      <w:r>
        <w:t xml:space="preserve">The following steps must be completed and documented on the central line insertion checklist for every catheter placement:</w:t>
      </w:r>
    </w:p>
    <w:p>
      <w:pPr>
        <w:pStyle w:val="ListParagraph"/>
        <w:numPr>
          <w:ilvl w:val="0"/>
          <w:numId w:val="2"/>
        </w:numPr>
        <w:spacing w:after="100"/>
      </w:pPr>
      <w:r>
        <w:t xml:space="preserve">Confirm indication for central line placement and consider alternatives (e.g., peripheral IV, midline catheter) where clinically appropriate.</w:t>
      </w:r>
    </w:p>
    <w:p>
      <w:pPr>
        <w:pStyle w:val="ListParagraph"/>
        <w:numPr>
          <w:ilvl w:val="0"/>
          <w:numId w:val="2"/>
        </w:numPr>
        <w:spacing w:after="100"/>
      </w:pPr>
      <w:r>
        <w:t xml:space="preserve">Perform hand hygiene using alcohol-based hand rub or soap and water for a minimum of 20 seconds.</w:t>
      </w:r>
    </w:p>
    <w:p>
      <w:pPr>
        <w:pStyle w:val="ListParagraph"/>
        <w:numPr>
          <w:ilvl w:val="0"/>
          <w:numId w:val="2"/>
        </w:numPr>
        <w:spacing w:after="100"/>
      </w:pPr>
      <w:r>
        <w:t xml:space="preserve">Select insertion site based on lowest infection and mechanical complication risk; subclavian site is generally preferred over femoral for non-dialysis catheters when feasible.</w:t>
      </w:r>
    </w:p>
    <w:p>
      <w:pPr>
        <w:pStyle w:val="ListParagraph"/>
        <w:numPr>
          <w:ilvl w:val="0"/>
          <w:numId w:val="2"/>
        </w:numPr>
        <w:spacing w:after="100"/>
      </w:pPr>
      <w:r>
        <w:t xml:space="preserve">Prepare skin with an alcoholic chlorhexidine (&gt;0.5%) solution and allow it to fully dry before puncture.</w:t>
      </w:r>
    </w:p>
    <w:p>
      <w:pPr>
        <w:pStyle w:val="ListParagraph"/>
        <w:numPr>
          <w:ilvl w:val="0"/>
          <w:numId w:val="2"/>
        </w:numPr>
        <w:spacing w:after="100"/>
      </w:pPr>
      <w:r>
        <w:t xml:space="preserve">Use maximal sterile barrier precautions: sterile gown, sterile gloves, mask, cap, and a full-body sterile drape.</w:t>
      </w:r>
    </w:p>
    <w:p>
      <w:pPr>
        <w:pStyle w:val="ListParagraph"/>
        <w:numPr>
          <w:ilvl w:val="0"/>
          <w:numId w:val="2"/>
        </w:numPr>
        <w:spacing w:after="100"/>
      </w:pPr>
      <w:r>
        <w:t xml:space="preserve">Use ultrasound guidance for internal jugular and, where available, subclavian access to reduce insertion attempts.</w:t>
      </w:r>
    </w:p>
    <w:p>
      <w:pPr>
        <w:pStyle w:val="ListParagraph"/>
        <w:numPr>
          <w:ilvl w:val="0"/>
          <w:numId w:val="2"/>
        </w:numPr>
        <w:spacing w:after="100"/>
      </w:pPr>
      <w:r>
        <w:t xml:space="preserve">Secure the catheter and apply a sterile, transparent semi-permeable dressing (or gauze if there is bleeding/oozing at the site).</w:t>
      </w:r>
    </w:p>
    <w:p>
      <w:pPr>
        <w:pStyle w:val="ListParagraph"/>
        <w:numPr>
          <w:ilvl w:val="0"/>
          <w:numId w:val="2"/>
        </w:numPr>
        <w:spacing w:after="100"/>
      </w:pPr>
      <w:r>
        <w:t xml:space="preserve">Document date, time, site, operator, number of attempts, and any complications in the medical record and on the line insertion checklist.</w:t>
      </w:r>
    </w:p>
    <w:p>
      <w:pPr>
        <w:pStyle w:val="Heading1"/>
        <w:spacing w:after="120" w:before="240"/>
      </w:pPr>
      <w:r>
        <w:t xml:space="preserve">5. Daily Maintenance Bundle</w:t>
      </w:r>
    </w:p>
    <w:p>
      <w:pPr>
        <w:spacing w:after="160"/>
      </w:pPr>
      <w:r>
        <w:t xml:space="preserve">The following elements must be assessed and documented at least once per nursing shift:</w:t>
      </w:r>
    </w:p>
    <w:p>
      <w:pPr>
        <w:pStyle w:val="ListParagraph"/>
        <w:numPr>
          <w:ilvl w:val="0"/>
          <w:numId w:val="3"/>
        </w:numPr>
        <w:spacing w:after="80"/>
      </w:pPr>
      <w:r>
        <w:t xml:space="preserve">Daily review of continued line necessity — remove promptly when no longer clinically indicated</w:t>
      </w:r>
    </w:p>
    <w:p>
      <w:pPr>
        <w:pStyle w:val="ListParagraph"/>
        <w:numPr>
          <w:ilvl w:val="0"/>
          <w:numId w:val="3"/>
        </w:numPr>
        <w:spacing w:after="80"/>
      </w:pPr>
      <w:r>
        <w:t xml:space="preserve">Visual inspection of the insertion site for erythema, tenderness, swelling, or purulent drainage</w:t>
      </w:r>
    </w:p>
    <w:p>
      <w:pPr>
        <w:pStyle w:val="ListParagraph"/>
        <w:numPr>
          <w:ilvl w:val="0"/>
          <w:numId w:val="3"/>
        </w:numPr>
        <w:spacing w:after="80"/>
      </w:pPr>
      <w:r>
        <w:t xml:space="preserve">Dressing integrity — transparent dressings changed every 7 days or immediately if soiled, loose, or damp; gauze dressings changed every 2 days</w:t>
      </w:r>
    </w:p>
    <w:p>
      <w:pPr>
        <w:pStyle w:val="ListParagraph"/>
        <w:numPr>
          <w:ilvl w:val="0"/>
          <w:numId w:val="3"/>
        </w:numPr>
        <w:spacing w:after="80"/>
      </w:pPr>
      <w:r>
        <w:t xml:space="preserve">Hub and connector disinfection ("scrub the hub" for a minimum of 15 seconds) before every access</w:t>
      </w:r>
    </w:p>
    <w:p>
      <w:pPr>
        <w:pStyle w:val="ListParagraph"/>
        <w:numPr>
          <w:ilvl w:val="0"/>
          <w:numId w:val="3"/>
        </w:numPr>
        <w:spacing w:after="80"/>
      </w:pPr>
      <w:r>
        <w:t xml:space="preserve">Confirmation that administration sets are changed per protocol (typically every 96 hours for standard fluids, every 24 hours for lipid-containing or blood product infusions)</w:t>
      </w:r>
    </w:p>
    <w:p>
      <w:pPr>
        <w:pStyle w:val="Heading1"/>
        <w:spacing w:after="120" w:before="240"/>
      </w:pPr>
      <w:r>
        <w:t xml:space="preserve">6. Line Removal Criteria</w:t>
      </w:r>
    </w:p>
    <w:p>
      <w:pPr>
        <w:spacing w:after="160"/>
      </w:pPr>
      <w:r>
        <w:t xml:space="preserve">A central line should be removed as soon as any of the following applies:</w:t>
      </w:r>
    </w:p>
    <w:p>
      <w:pPr>
        <w:pStyle w:val="ListParagraph"/>
        <w:numPr>
          <w:ilvl w:val="0"/>
          <w:numId w:val="3"/>
        </w:numPr>
        <w:spacing w:after="80"/>
      </w:pPr>
      <w:r>
        <w:t xml:space="preserve">No active clinical indication for the line during daily multidisciplinary rounds</w:t>
      </w:r>
    </w:p>
    <w:p>
      <w:pPr>
        <w:pStyle w:val="ListParagraph"/>
        <w:numPr>
          <w:ilvl w:val="0"/>
          <w:numId w:val="3"/>
        </w:numPr>
        <w:spacing w:after="80"/>
      </w:pPr>
      <w:r>
        <w:t xml:space="preserve">Signs of local site infection (erythema, purulence) or suspected catheter-related bloodstream infection</w:t>
      </w:r>
    </w:p>
    <w:p>
      <w:pPr>
        <w:pStyle w:val="ListParagraph"/>
        <w:numPr>
          <w:ilvl w:val="0"/>
          <w:numId w:val="3"/>
        </w:numPr>
        <w:spacing w:after="80"/>
      </w:pPr>
      <w:r>
        <w:t xml:space="preserve">Catheter malfunction, dislodgement, or mechanical complication</w:t>
      </w:r>
    </w:p>
    <w:p>
      <w:pPr>
        <w:pStyle w:val="ListParagraph"/>
        <w:numPr>
          <w:ilvl w:val="0"/>
          <w:numId w:val="3"/>
        </w:numPr>
        <w:spacing w:after="80"/>
      </w:pPr>
      <w:r>
        <w:t xml:space="preserve">Patient transitioned to an alternative, lower-risk access device</w:t>
      </w:r>
    </w:p>
    <w:p>
      <w:pPr>
        <w:pStyle w:val="Heading1"/>
        <w:spacing w:after="120" w:before="240"/>
      </w:pPr>
      <w:r>
        <w:t xml:space="preserve">7. Surveillance and Reporting</w:t>
      </w:r>
    </w:p>
    <w:p>
      <w:pPr>
        <w:spacing w:after="160"/>
      </w:pPr>
      <w:r>
        <w:t xml:space="preserve">Each unit must report central line utilization ratio (central line days / patient days) and CLABSI rate per 1,000 central line days on a monthly basis to the infection prevention committee. Any confirmed CLABSI event should trigger a case review within 5 business days to identify contributing factors and corrective actions.</w:t>
      </w:r>
    </w:p>
    <w:p>
      <w:pPr>
        <w:pStyle w:val="Heading1"/>
        <w:spacing w:after="120" w:before="240"/>
      </w:pPr>
      <w:r>
        <w:t xml:space="preserve">8. Escalation Pathway</w:t>
      </w:r>
    </w:p>
    <w:p>
      <w:pPr>
        <w:pStyle w:val="ListParagraph"/>
        <w:numPr>
          <w:ilvl w:val="0"/>
          <w:numId w:val="2"/>
        </w:numPr>
        <w:spacing w:after="100"/>
      </w:pPr>
      <w:r>
        <w:t xml:space="preserve">Bedside nurse identifies a suspected site infection or unexplained fever in a patient with a central line.</w:t>
      </w:r>
    </w:p>
    <w:p>
      <w:pPr>
        <w:pStyle w:val="ListParagraph"/>
        <w:numPr>
          <w:ilvl w:val="0"/>
          <w:numId w:val="2"/>
        </w:numPr>
        <w:spacing w:after="100"/>
      </w:pPr>
      <w:r>
        <w:t xml:space="preserve">Bedside nurse notifies the responsible physician and documents findings in the nursing notes.</w:t>
      </w:r>
    </w:p>
    <w:p>
      <w:pPr>
        <w:pStyle w:val="ListParagraph"/>
        <w:numPr>
          <w:ilvl w:val="0"/>
          <w:numId w:val="2"/>
        </w:numPr>
        <w:spacing w:after="100"/>
      </w:pPr>
      <w:r>
        <w:t xml:space="preserve">Physician assesses the patient, orders blood cultures (peripheral and, if applicable, through the catheter), and determines whether line removal is indicated.</w:t>
      </w:r>
    </w:p>
    <w:p>
      <w:pPr>
        <w:pStyle w:val="ListParagraph"/>
        <w:numPr>
          <w:ilvl w:val="0"/>
          <w:numId w:val="2"/>
        </w:numPr>
        <w:spacing w:after="100"/>
      </w:pPr>
      <w:r>
        <w:t xml:space="preserve">If CLABSI is confirmed or strongly suspected, infection prevention team is notified within 24 hours for surveillance logging.</w:t>
      </w:r>
    </w:p>
    <w:p>
      <w:pPr>
        <w:pStyle w:val="ListParagraph"/>
        <w:numPr>
          <w:ilvl w:val="0"/>
          <w:numId w:val="2"/>
        </w:numPr>
        <w:spacing w:after="100"/>
      </w:pPr>
      <w:r>
        <w:t xml:space="preserve">Unit conducts a brief case review to identify any deviation from the maintenance bundle.</w:t>
      </w:r>
    </w:p>
    <w:p>
      <w:pPr>
        <w:pStyle w:val="Heading1"/>
        <w:spacing w:after="120" w:before="240"/>
      </w:pPr>
      <w:r>
        <w:t xml:space="preserve">9. Training and Competency</w:t>
      </w:r>
    </w:p>
    <w:p>
      <w:pPr>
        <w:spacing w:after="160"/>
      </w:pPr>
      <w:r>
        <w:t xml:space="preserve">All staff inserting or maintaining central lines must complete an annual competency assessment covering aseptic technique, the maintenance bundle, and this SOP. New staff must complete competency validation before independently performing central line insertion or maintenance.</w:t>
      </w:r>
    </w:p>
    <w:p>
      <w:pPr>
        <w:pStyle w:val="Heading1"/>
        <w:spacing w:after="120" w:before="240"/>
      </w:pPr>
      <w:r>
        <w:t xml:space="preserve">10. Special Considerations by Catheter Type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2E5C3E" w:color="auto" w:val="clear"/>
            <w:tcMar>
              <w:top w:type="dxa" w:w="80"/>
              <w:left w:type="dxa" w:w="100"/>
              <w:bottom w:type="dxa" w:w="80"/>
              <w:right w:type="dxa" w:w="100"/>
            </w:tcMar>
          </w:tcPr>
          <w:p>
            <w:r>
              <w:rPr>
                <w:b/>
                <w:bCs/>
                <w:color w:val="FFFFFF"/>
                <w:sz w:val="20"/>
                <w:szCs w:val="20"/>
              </w:rPr>
              <w:t xml:space="preserve">Catheter Type</w:t>
            </w:r>
          </w:p>
        </w:tc>
        <w:tc>
          <w:tcPr>
            <w:tcW w:type="dxa" w:w="3200"/>
            <w:shd w:fill="2E5C3E" w:color="auto" w:val="clear"/>
            <w:tcMar>
              <w:top w:type="dxa" w:w="80"/>
              <w:left w:type="dxa" w:w="100"/>
              <w:bottom w:type="dxa" w:w="80"/>
              <w:right w:type="dxa" w:w="100"/>
            </w:tcMar>
          </w:tcPr>
          <w:p>
            <w:r>
              <w:rPr>
                <w:b/>
                <w:bCs/>
                <w:color w:val="FFFFFF"/>
                <w:sz w:val="20"/>
                <w:szCs w:val="20"/>
              </w:rPr>
              <w:t xml:space="preserve">Typical Dwell Time</w:t>
            </w:r>
          </w:p>
        </w:tc>
        <w:tc>
          <w:tcPr>
            <w:tcW w:type="dxa" w:w="3600"/>
            <w:shd w:fill="2E5C3E" w:color="auto" w:val="clear"/>
            <w:tcMar>
              <w:top w:type="dxa" w:w="80"/>
              <w:left w:type="dxa" w:w="100"/>
              <w:bottom w:type="dxa" w:w="80"/>
              <w:right w:type="dxa" w:w="100"/>
            </w:tcMar>
          </w:tcPr>
          <w:p>
            <w:r>
              <w:rPr>
                <w:b/>
                <w:bCs/>
                <w:color w:val="FFFFFF"/>
                <w:sz w:val="20"/>
                <w:szCs w:val="20"/>
              </w:rPr>
              <w:t xml:space="preserve">Special Notes</w:t>
            </w:r>
          </w:p>
        </w:tc>
      </w:tr>
      <w:tr>
        <w:tc>
          <w:tcPr>
            <w:tcW w:type="dxa" w:w="3200"/>
            <w:tcMar>
              <w:top w:type="dxa" w:w="80"/>
              <w:left w:type="dxa" w:w="100"/>
              <w:bottom w:type="dxa" w:w="80"/>
              <w:right w:type="dxa" w:w="100"/>
            </w:tcMar>
          </w:tcPr>
          <w:p>
            <w:r>
              <w:rPr>
                <w:b w:val="false"/>
                <w:bCs w:val="false"/>
                <w:color w:val="000000"/>
                <w:sz w:val="20"/>
                <w:szCs w:val="20"/>
              </w:rPr>
              <w:t xml:space="preserve">Non-tunneled CVC</w:t>
            </w:r>
          </w:p>
        </w:tc>
        <w:tc>
          <w:tcPr>
            <w:tcW w:type="dxa" w:w="3200"/>
            <w:tcMar>
              <w:top w:type="dxa" w:w="80"/>
              <w:left w:type="dxa" w:w="100"/>
              <w:bottom w:type="dxa" w:w="80"/>
              <w:right w:type="dxa" w:w="100"/>
            </w:tcMar>
          </w:tcPr>
          <w:p>
            <w:r>
              <w:rPr>
                <w:b w:val="false"/>
                <w:bCs w:val="false"/>
                <w:color w:val="000000"/>
                <w:sz w:val="20"/>
                <w:szCs w:val="20"/>
              </w:rPr>
              <w:t xml:space="preserve">Short-term (days)</w:t>
            </w:r>
          </w:p>
        </w:tc>
        <w:tc>
          <w:tcPr>
            <w:tcW w:type="dxa" w:w="3600"/>
            <w:tcMar>
              <w:top w:type="dxa" w:w="80"/>
              <w:left w:type="dxa" w:w="100"/>
              <w:bottom w:type="dxa" w:w="80"/>
              <w:right w:type="dxa" w:w="100"/>
            </w:tcMar>
          </w:tcPr>
          <w:p>
            <w:r>
              <w:rPr>
                <w:b w:val="false"/>
                <w:bCs w:val="false"/>
                <w:color w:val="000000"/>
                <w:sz w:val="20"/>
                <w:szCs w:val="20"/>
              </w:rPr>
              <w:t xml:space="preserve">Highest infection risk category; remove as soon as clinically feasible</w:t>
            </w:r>
          </w:p>
        </w:tc>
      </w:tr>
      <w:tr>
        <w:tc>
          <w:tcPr>
            <w:tcW w:type="dxa" w:w="3200"/>
            <w:tcMar>
              <w:top w:type="dxa" w:w="80"/>
              <w:left w:type="dxa" w:w="100"/>
              <w:bottom w:type="dxa" w:w="80"/>
              <w:right w:type="dxa" w:w="100"/>
            </w:tcMar>
          </w:tcPr>
          <w:p>
            <w:r>
              <w:rPr>
                <w:b w:val="false"/>
                <w:bCs w:val="false"/>
                <w:color w:val="000000"/>
                <w:sz w:val="20"/>
                <w:szCs w:val="20"/>
              </w:rPr>
              <w:t xml:space="preserve">PICC line</w:t>
            </w:r>
          </w:p>
        </w:tc>
        <w:tc>
          <w:tcPr>
            <w:tcW w:type="dxa" w:w="3200"/>
            <w:tcMar>
              <w:top w:type="dxa" w:w="80"/>
              <w:left w:type="dxa" w:w="100"/>
              <w:bottom w:type="dxa" w:w="80"/>
              <w:right w:type="dxa" w:w="100"/>
            </w:tcMar>
          </w:tcPr>
          <w:p>
            <w:r>
              <w:rPr>
                <w:b w:val="false"/>
                <w:bCs w:val="false"/>
                <w:color w:val="000000"/>
                <w:sz w:val="20"/>
                <w:szCs w:val="20"/>
              </w:rPr>
              <w:t xml:space="preserve">Weeks to months</w:t>
            </w:r>
          </w:p>
        </w:tc>
        <w:tc>
          <w:tcPr>
            <w:tcW w:type="dxa" w:w="3600"/>
            <w:tcMar>
              <w:top w:type="dxa" w:w="80"/>
              <w:left w:type="dxa" w:w="100"/>
              <w:bottom w:type="dxa" w:w="80"/>
              <w:right w:type="dxa" w:w="100"/>
            </w:tcMar>
          </w:tcPr>
          <w:p>
            <w:r>
              <w:rPr>
                <w:b w:val="false"/>
                <w:bCs w:val="false"/>
                <w:color w:val="000000"/>
                <w:sz w:val="20"/>
                <w:szCs w:val="20"/>
              </w:rPr>
              <w:t xml:space="preserve">Requires weekly dressing change if gauze, up to 7 days if transparent; measure arm circumference if suspected thrombosis</w:t>
            </w:r>
          </w:p>
        </w:tc>
      </w:tr>
      <w:tr>
        <w:tc>
          <w:tcPr>
            <w:tcW w:type="dxa" w:w="3200"/>
            <w:tcMar>
              <w:top w:type="dxa" w:w="80"/>
              <w:left w:type="dxa" w:w="100"/>
              <w:bottom w:type="dxa" w:w="80"/>
              <w:right w:type="dxa" w:w="100"/>
            </w:tcMar>
          </w:tcPr>
          <w:p>
            <w:r>
              <w:rPr>
                <w:b w:val="false"/>
                <w:bCs w:val="false"/>
                <w:color w:val="000000"/>
                <w:sz w:val="20"/>
                <w:szCs w:val="20"/>
              </w:rPr>
              <w:t xml:space="preserve">Tunneled cuffed catheter</w:t>
            </w:r>
          </w:p>
        </w:tc>
        <w:tc>
          <w:tcPr>
            <w:tcW w:type="dxa" w:w="3200"/>
            <w:tcMar>
              <w:top w:type="dxa" w:w="80"/>
              <w:left w:type="dxa" w:w="100"/>
              <w:bottom w:type="dxa" w:w="80"/>
              <w:right w:type="dxa" w:w="100"/>
            </w:tcMar>
          </w:tcPr>
          <w:p>
            <w:r>
              <w:rPr>
                <w:b w:val="false"/>
                <w:bCs w:val="false"/>
                <w:color w:val="000000"/>
                <w:sz w:val="20"/>
                <w:szCs w:val="20"/>
              </w:rPr>
              <w:t xml:space="preserve">Months</w:t>
            </w:r>
          </w:p>
        </w:tc>
        <w:tc>
          <w:tcPr>
            <w:tcW w:type="dxa" w:w="3600"/>
            <w:tcMar>
              <w:top w:type="dxa" w:w="80"/>
              <w:left w:type="dxa" w:w="100"/>
              <w:bottom w:type="dxa" w:w="80"/>
              <w:right w:type="dxa" w:w="100"/>
            </w:tcMar>
          </w:tcPr>
          <w:p>
            <w:r>
              <w:rPr>
                <w:b w:val="false"/>
                <w:bCs w:val="false"/>
                <w:color w:val="000000"/>
                <w:sz w:val="20"/>
                <w:szCs w:val="20"/>
              </w:rPr>
              <w:t xml:space="preserve">Cuff promotes tissue in-growth, reducing migration and infection risk over long-term use</w:t>
            </w:r>
          </w:p>
        </w:tc>
      </w:tr>
      <w:tr>
        <w:tc>
          <w:tcPr>
            <w:tcW w:type="dxa" w:w="3200"/>
            <w:tcMar>
              <w:top w:type="dxa" w:w="80"/>
              <w:left w:type="dxa" w:w="100"/>
              <w:bottom w:type="dxa" w:w="80"/>
              <w:right w:type="dxa" w:w="100"/>
            </w:tcMar>
          </w:tcPr>
          <w:p>
            <w:r>
              <w:rPr>
                <w:b w:val="false"/>
                <w:bCs w:val="false"/>
                <w:color w:val="000000"/>
                <w:sz w:val="20"/>
                <w:szCs w:val="20"/>
              </w:rPr>
              <w:t xml:space="preserve">Implanted port</w:t>
            </w:r>
          </w:p>
        </w:tc>
        <w:tc>
          <w:tcPr>
            <w:tcW w:type="dxa" w:w="3200"/>
            <w:tcMar>
              <w:top w:type="dxa" w:w="80"/>
              <w:left w:type="dxa" w:w="100"/>
              <w:bottom w:type="dxa" w:w="80"/>
              <w:right w:type="dxa" w:w="100"/>
            </w:tcMar>
          </w:tcPr>
          <w:p>
            <w:r>
              <w:rPr>
                <w:b w:val="false"/>
                <w:bCs w:val="false"/>
                <w:color w:val="000000"/>
                <w:sz w:val="20"/>
                <w:szCs w:val="20"/>
              </w:rPr>
              <w:t xml:space="preserve">Months to years</w:t>
            </w:r>
          </w:p>
        </w:tc>
        <w:tc>
          <w:tcPr>
            <w:tcW w:type="dxa" w:w="3600"/>
            <w:tcMar>
              <w:top w:type="dxa" w:w="80"/>
              <w:left w:type="dxa" w:w="100"/>
              <w:bottom w:type="dxa" w:w="80"/>
              <w:right w:type="dxa" w:w="100"/>
            </w:tcMar>
          </w:tcPr>
          <w:p>
            <w:r>
              <w:rPr>
                <w:b w:val="false"/>
                <w:bCs w:val="false"/>
                <w:color w:val="000000"/>
                <w:sz w:val="20"/>
                <w:szCs w:val="20"/>
              </w:rPr>
              <w:t xml:space="preserve">Access only with non-coring (Huber) needle; flush per protocol when not in active use</w:t>
            </w:r>
          </w:p>
        </w:tc>
      </w:tr>
    </w:tbl>
    <w:p>
      <w:pPr>
        <w:spacing w:after="160"/>
      </w:pPr>
      <w:r>
        <w:t xml:space="preserve"/>
      </w:r>
    </w:p>
    <w:p>
      <w:pPr>
        <w:pStyle w:val="Heading1"/>
        <w:spacing w:after="120" w:before="240"/>
      </w:pPr>
      <w:r>
        <w:t xml:space="preserve">11. Documentation Requirements</w:t>
      </w:r>
    </w:p>
    <w:p>
      <w:pPr>
        <w:spacing w:after="160"/>
      </w:pPr>
      <w:r>
        <w:t xml:space="preserve">The following must be recorded in the patient's chart for every central line episode:</w:t>
      </w:r>
    </w:p>
    <w:p>
      <w:pPr>
        <w:pStyle w:val="ListParagraph"/>
        <w:numPr>
          <w:ilvl w:val="0"/>
          <w:numId w:val="3"/>
        </w:numPr>
        <w:spacing w:after="80"/>
      </w:pPr>
      <w:r>
        <w:t xml:space="preserve">Date and time of insertion, and the indication for line placement</w:t>
      </w:r>
    </w:p>
    <w:p>
      <w:pPr>
        <w:pStyle w:val="ListParagraph"/>
        <w:numPr>
          <w:ilvl w:val="0"/>
          <w:numId w:val="3"/>
        </w:numPr>
        <w:spacing w:after="80"/>
      </w:pPr>
      <w:r>
        <w:t xml:space="preserve">Insertion site, operator name, number of attempts, and any immediate complications</w:t>
      </w:r>
    </w:p>
    <w:p>
      <w:pPr>
        <w:pStyle w:val="ListParagraph"/>
        <w:numPr>
          <w:ilvl w:val="0"/>
          <w:numId w:val="3"/>
        </w:numPr>
        <w:spacing w:after="80"/>
      </w:pPr>
      <w:r>
        <w:t xml:space="preserve">Daily necessity assessment and site condition, documented each shift</w:t>
      </w:r>
    </w:p>
    <w:p>
      <w:pPr>
        <w:pStyle w:val="ListParagraph"/>
        <w:numPr>
          <w:ilvl w:val="0"/>
          <w:numId w:val="3"/>
        </w:numPr>
        <w:spacing w:after="80"/>
      </w:pPr>
      <w:r>
        <w:t xml:space="preserve">Date of each dressing change and administration set change</w:t>
      </w:r>
    </w:p>
    <w:p>
      <w:pPr>
        <w:pStyle w:val="ListParagraph"/>
        <w:numPr>
          <w:ilvl w:val="0"/>
          <w:numId w:val="3"/>
        </w:numPr>
        <w:spacing w:after="80"/>
      </w:pPr>
      <w:r>
        <w:t xml:space="preserve">Date, time, and reason for line removal, including condition of the site at removal</w:t>
      </w:r>
    </w:p>
    <w:p>
      <w:pPr>
        <w:pStyle w:val="Heading1"/>
        <w:spacing w:after="120" w:before="240"/>
      </w:pPr>
      <w:r>
        <w:t xml:space="preserve">12. Quality Improvement and Feedback</w:t>
      </w:r>
    </w:p>
    <w:p>
      <w:pPr>
        <w:spacing w:after="160"/>
      </w:pPr>
      <w:r>
        <w:t xml:space="preserve">Unit-level CLABSI rates and bundle compliance audit results should be shared with frontline staff on a monthly basis through unit huddles or posted scorecards. Units with rising CLABSI rates or declining bundle compliance should conduct a focused root-cause analysis and implement a corrective action plan in partnership with the infection prevention team.</w:t>
      </w:r>
    </w:p>
    <w:p>
      <w:pPr>
        <w:pStyle w:val="Heading1"/>
        <w:spacing w:after="120" w:before="240"/>
      </w:pPr>
      <w:r>
        <w:t xml:space="preserve">Appendix A: Quick-Reference Checklist</w:t>
      </w:r>
    </w:p>
    <w:p>
      <w:pPr>
        <w:pStyle w:val="ListParagraph"/>
        <w:numPr>
          <w:ilvl w:val="0"/>
          <w:numId w:val="3"/>
        </w:numPr>
        <w:spacing w:after="80"/>
      </w:pPr>
      <w:r>
        <w:t xml:space="preserve">Hand hygiene performed before procedure</w:t>
      </w:r>
    </w:p>
    <w:p>
      <w:pPr>
        <w:pStyle w:val="ListParagraph"/>
        <w:numPr>
          <w:ilvl w:val="0"/>
          <w:numId w:val="3"/>
        </w:numPr>
        <w:spacing w:after="80"/>
      </w:pPr>
      <w:r>
        <w:t xml:space="preserve">Maximal sterile barrier precautions used</w:t>
      </w:r>
    </w:p>
    <w:p>
      <w:pPr>
        <w:pStyle w:val="ListParagraph"/>
        <w:numPr>
          <w:ilvl w:val="0"/>
          <w:numId w:val="3"/>
        </w:numPr>
        <w:spacing w:after="80"/>
      </w:pPr>
      <w:r>
        <w:t xml:space="preserve">Chlorhexidine skin prep, allowed to dry</w:t>
      </w:r>
    </w:p>
    <w:p>
      <w:pPr>
        <w:pStyle w:val="ListParagraph"/>
        <w:numPr>
          <w:ilvl w:val="0"/>
          <w:numId w:val="3"/>
        </w:numPr>
        <w:spacing w:after="80"/>
      </w:pPr>
      <w:r>
        <w:t xml:space="preserve">Optimal site selected (subclavian preferred where feasible)</w:t>
      </w:r>
    </w:p>
    <w:p>
      <w:pPr>
        <w:pStyle w:val="ListParagraph"/>
        <w:numPr>
          <w:ilvl w:val="0"/>
          <w:numId w:val="3"/>
        </w:numPr>
        <w:spacing w:after="80"/>
      </w:pPr>
      <w:r>
        <w:t xml:space="preserve">Insertion checklist completed and filed</w:t>
      </w:r>
    </w:p>
    <w:p>
      <w:pPr>
        <w:pStyle w:val="ListParagraph"/>
        <w:numPr>
          <w:ilvl w:val="0"/>
          <w:numId w:val="3"/>
        </w:numPr>
        <w:spacing w:after="80"/>
      </w:pPr>
      <w:r>
        <w:t xml:space="preserve">Daily necessity review documented</w:t>
      </w:r>
    </w:p>
    <w:p>
      <w:pPr>
        <w:pStyle w:val="ListParagraph"/>
        <w:numPr>
          <w:ilvl w:val="0"/>
          <w:numId w:val="3"/>
        </w:numPr>
        <w:spacing w:after="80"/>
      </w:pPr>
      <w:r>
        <w:t xml:space="preserve">Dressing and hub care per schedule</w:t>
      </w:r>
    </w:p>
    <w:p>
      <w:pPr>
        <w:pStyle w:val="Heading1"/>
        <w:spacing w:after="120" w:before="240"/>
      </w:pPr>
      <w:r>
        <w:t xml:space="preserve">Appendix B: Frequently Encountered Deviations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shd w:fill="2E5C3E" w:color="auto" w:val="clear"/>
            <w:tcMar>
              <w:top w:type="dxa" w:w="80"/>
              <w:left w:type="dxa" w:w="100"/>
              <w:bottom w:type="dxa" w:w="80"/>
              <w:right w:type="dxa" w:w="100"/>
            </w:tcMar>
          </w:tcPr>
          <w:p>
            <w:r>
              <w:rPr>
                <w:b/>
                <w:bCs/>
                <w:color w:val="FFFFFF"/>
                <w:sz w:val="20"/>
                <w:szCs w:val="20"/>
              </w:rPr>
              <w:t xml:space="preserve">Deviation</w:t>
            </w:r>
          </w:p>
        </w:tc>
        <w:tc>
          <w:tcPr>
            <w:tcW w:type="dxa" w:w="3200"/>
            <w:shd w:fill="2E5C3E" w:color="auto" w:val="clear"/>
            <w:tcMar>
              <w:top w:type="dxa" w:w="80"/>
              <w:left w:type="dxa" w:w="100"/>
              <w:bottom w:type="dxa" w:w="80"/>
              <w:right w:type="dxa" w:w="100"/>
            </w:tcMar>
          </w:tcPr>
          <w:p>
            <w:r>
              <w:rPr>
                <w:b/>
                <w:bCs/>
                <w:color w:val="FFFFFF"/>
                <w:sz w:val="20"/>
                <w:szCs w:val="20"/>
              </w:rPr>
              <w:t xml:space="preserve">Risk</w:t>
            </w:r>
          </w:p>
        </w:tc>
        <w:tc>
          <w:tcPr>
            <w:tcW w:type="dxa" w:w="3600"/>
            <w:shd w:fill="2E5C3E" w:color="auto" w:val="clear"/>
            <w:tcMar>
              <w:top w:type="dxa" w:w="80"/>
              <w:left w:type="dxa" w:w="100"/>
              <w:bottom w:type="dxa" w:w="80"/>
              <w:right w:type="dxa" w:w="100"/>
            </w:tcMar>
          </w:tcPr>
          <w:p>
            <w:r>
              <w:rPr>
                <w:b/>
                <w:bCs/>
                <w:color w:val="FFFFFF"/>
                <w:sz w:val="20"/>
                <w:szCs w:val="20"/>
              </w:rPr>
              <w:t xml:space="preserve">Corrective Action</w:t>
            </w:r>
          </w:p>
        </w:tc>
      </w:tr>
      <w:tr>
        <w:tc>
          <w:tcPr>
            <w:tcW w:type="dxa" w:w="3200"/>
            <w:tcMar>
              <w:top w:type="dxa" w:w="80"/>
              <w:left w:type="dxa" w:w="100"/>
              <w:bottom w:type="dxa" w:w="80"/>
              <w:right w:type="dxa" w:w="100"/>
            </w:tcMar>
          </w:tcPr>
          <w:p>
            <w:r>
              <w:rPr>
                <w:b w:val="false"/>
                <w:bCs w:val="false"/>
                <w:color w:val="000000"/>
                <w:sz w:val="20"/>
                <w:szCs w:val="20"/>
              </w:rPr>
              <w:t xml:space="preserve">Dressing not changed on schedule</w:t>
            </w:r>
          </w:p>
        </w:tc>
        <w:tc>
          <w:tcPr>
            <w:tcW w:type="dxa" w:w="3200"/>
            <w:tcMar>
              <w:top w:type="dxa" w:w="80"/>
              <w:left w:type="dxa" w:w="100"/>
              <w:bottom w:type="dxa" w:w="80"/>
              <w:right w:type="dxa" w:w="100"/>
            </w:tcMar>
          </w:tcPr>
          <w:p>
            <w:r>
              <w:rPr>
                <w:b w:val="false"/>
                <w:bCs w:val="false"/>
                <w:color w:val="000000"/>
                <w:sz w:val="20"/>
                <w:szCs w:val="20"/>
              </w:rPr>
              <w:t xml:space="preserve">Increased colonization and infection risk</w:t>
            </w:r>
          </w:p>
        </w:tc>
        <w:tc>
          <w:tcPr>
            <w:tcW w:type="dxa" w:w="3600"/>
            <w:tcMar>
              <w:top w:type="dxa" w:w="80"/>
              <w:left w:type="dxa" w:w="100"/>
              <w:bottom w:type="dxa" w:w="80"/>
              <w:right w:type="dxa" w:w="100"/>
            </w:tcMar>
          </w:tcPr>
          <w:p>
            <w:r>
              <w:rPr>
                <w:b w:val="false"/>
                <w:bCs w:val="false"/>
                <w:color w:val="000000"/>
                <w:sz w:val="20"/>
                <w:szCs w:val="20"/>
              </w:rPr>
              <w:t xml:space="preserve">Nurse educator reinforcement; add reminder to shift checklist</w:t>
            </w:r>
          </w:p>
        </w:tc>
      </w:tr>
      <w:tr>
        <w:tc>
          <w:tcPr>
            <w:tcW w:type="dxa" w:w="3200"/>
            <w:tcMar>
              <w:top w:type="dxa" w:w="80"/>
              <w:left w:type="dxa" w:w="100"/>
              <w:bottom w:type="dxa" w:w="80"/>
              <w:right w:type="dxa" w:w="100"/>
            </w:tcMar>
          </w:tcPr>
          <w:p>
            <w:r>
              <w:rPr>
                <w:b w:val="false"/>
                <w:bCs w:val="false"/>
                <w:color w:val="000000"/>
                <w:sz w:val="20"/>
                <w:szCs w:val="20"/>
              </w:rPr>
              <w:t xml:space="preserve">Hub not scrubbed before access</w:t>
            </w:r>
          </w:p>
        </w:tc>
        <w:tc>
          <w:tcPr>
            <w:tcW w:type="dxa" w:w="3200"/>
            <w:tcMar>
              <w:top w:type="dxa" w:w="80"/>
              <w:left w:type="dxa" w:w="100"/>
              <w:bottom w:type="dxa" w:w="80"/>
              <w:right w:type="dxa" w:w="100"/>
            </w:tcMar>
          </w:tcPr>
          <w:p>
            <w:r>
              <w:rPr>
                <w:b w:val="false"/>
                <w:bCs w:val="false"/>
                <w:color w:val="000000"/>
                <w:sz w:val="20"/>
                <w:szCs w:val="20"/>
              </w:rPr>
              <w:t xml:space="preserve">Introduction of organisms into bloodstream</w:t>
            </w:r>
          </w:p>
        </w:tc>
        <w:tc>
          <w:tcPr>
            <w:tcW w:type="dxa" w:w="3600"/>
            <w:tcMar>
              <w:top w:type="dxa" w:w="80"/>
              <w:left w:type="dxa" w:w="100"/>
              <w:bottom w:type="dxa" w:w="80"/>
              <w:right w:type="dxa" w:w="100"/>
            </w:tcMar>
          </w:tcPr>
          <w:p>
            <w:r>
              <w:rPr>
                <w:b w:val="false"/>
                <w:bCs w:val="false"/>
                <w:color w:val="000000"/>
                <w:sz w:val="20"/>
                <w:szCs w:val="20"/>
              </w:rPr>
              <w:t xml:space="preserve">Direct observation audits; just-in-time coaching</w:t>
            </w:r>
          </w:p>
        </w:tc>
      </w:tr>
      <w:tr>
        <w:tc>
          <w:tcPr>
            <w:tcW w:type="dxa" w:w="3200"/>
            <w:tcMar>
              <w:top w:type="dxa" w:w="80"/>
              <w:left w:type="dxa" w:w="100"/>
              <w:bottom w:type="dxa" w:w="80"/>
              <w:right w:type="dxa" w:w="100"/>
            </w:tcMar>
          </w:tcPr>
          <w:p>
            <w:r>
              <w:rPr>
                <w:b w:val="false"/>
                <w:bCs w:val="false"/>
                <w:color w:val="000000"/>
                <w:sz w:val="20"/>
                <w:szCs w:val="20"/>
              </w:rPr>
              <w:t xml:space="preserve">Line left in without documented necessity</w:t>
            </w:r>
          </w:p>
        </w:tc>
        <w:tc>
          <w:tcPr>
            <w:tcW w:type="dxa" w:w="3200"/>
            <w:tcMar>
              <w:top w:type="dxa" w:w="80"/>
              <w:left w:type="dxa" w:w="100"/>
              <w:bottom w:type="dxa" w:w="80"/>
              <w:right w:type="dxa" w:w="100"/>
            </w:tcMar>
          </w:tcPr>
          <w:p>
            <w:r>
              <w:rPr>
                <w:b w:val="false"/>
                <w:bCs w:val="false"/>
                <w:color w:val="000000"/>
                <w:sz w:val="20"/>
                <w:szCs w:val="20"/>
              </w:rPr>
              <w:t xml:space="preserve">Prolonged unnecessary exposure to infection risk</w:t>
            </w:r>
          </w:p>
        </w:tc>
        <w:tc>
          <w:tcPr>
            <w:tcW w:type="dxa" w:w="3600"/>
            <w:tcMar>
              <w:top w:type="dxa" w:w="80"/>
              <w:left w:type="dxa" w:w="100"/>
              <w:bottom w:type="dxa" w:w="80"/>
              <w:right w:type="dxa" w:w="100"/>
            </w:tcMar>
          </w:tcPr>
          <w:p>
            <w:r>
              <w:rPr>
                <w:b w:val="false"/>
                <w:bCs w:val="false"/>
                <w:color w:val="000000"/>
                <w:sz w:val="20"/>
                <w:szCs w:val="20"/>
              </w:rPr>
              <w:t xml:space="preserve">Daily rounding checklist with explicit necessity field</w:t>
            </w:r>
          </w:p>
        </w:tc>
      </w:tr>
      <w:tr>
        <w:tc>
          <w:tcPr>
            <w:tcW w:type="dxa" w:w="3200"/>
            <w:tcMar>
              <w:top w:type="dxa" w:w="80"/>
              <w:left w:type="dxa" w:w="100"/>
              <w:bottom w:type="dxa" w:w="80"/>
              <w:right w:type="dxa" w:w="100"/>
            </w:tcMar>
          </w:tcPr>
          <w:p>
            <w:r>
              <w:rPr>
                <w:b w:val="false"/>
                <w:bCs w:val="false"/>
                <w:color w:val="000000"/>
                <w:sz w:val="20"/>
                <w:szCs w:val="20"/>
              </w:rPr>
              <w:t xml:space="preserve">Non-sterile technique noted during insertion</w:t>
            </w:r>
          </w:p>
        </w:tc>
        <w:tc>
          <w:tcPr>
            <w:tcW w:type="dxa" w:w="3200"/>
            <w:tcMar>
              <w:top w:type="dxa" w:w="80"/>
              <w:left w:type="dxa" w:w="100"/>
              <w:bottom w:type="dxa" w:w="80"/>
              <w:right w:type="dxa" w:w="100"/>
            </w:tcMar>
          </w:tcPr>
          <w:p>
            <w:r>
              <w:rPr>
                <w:b w:val="false"/>
                <w:bCs w:val="false"/>
                <w:color w:val="000000"/>
                <w:sz w:val="20"/>
                <w:szCs w:val="20"/>
              </w:rPr>
              <w:t xml:space="preserve">Elevated CLABSI risk from time of insertion</w:t>
            </w:r>
          </w:p>
        </w:tc>
        <w:tc>
          <w:tcPr>
            <w:tcW w:type="dxa" w:w="3600"/>
            <w:tcMar>
              <w:top w:type="dxa" w:w="80"/>
              <w:left w:type="dxa" w:w="100"/>
              <w:bottom w:type="dxa" w:w="80"/>
              <w:right w:type="dxa" w:w="100"/>
            </w:tcMar>
          </w:tcPr>
          <w:p>
            <w:r>
              <w:rPr>
                <w:b w:val="false"/>
                <w:bCs w:val="false"/>
                <w:color w:val="000000"/>
                <w:sz w:val="20"/>
                <w:szCs w:val="20"/>
              </w:rPr>
              <w:t xml:space="preserve">Immediate case review; re-training before next unsupervised insertion</w:t>
            </w:r>
          </w:p>
        </w:tc>
      </w:tr>
    </w:tbl>
    <w:p>
      <w:pPr>
        <w:spacing w:after="160"/>
      </w:pPr>
      <w:r>
        <w:t xml:space="preserve"/>
      </w:r>
    </w:p>
    <w:p>
      <w:pPr>
        <w:pStyle w:val="Heading1"/>
        <w:spacing w:after="120" w:before="240"/>
      </w:pPr>
      <w:r>
        <w:t xml:space="preserve">Appendix C: Related Policies</w:t>
      </w:r>
    </w:p>
    <w:p>
      <w:pPr>
        <w:pStyle w:val="ListParagraph"/>
        <w:numPr>
          <w:ilvl w:val="0"/>
          <w:numId w:val="3"/>
        </w:numPr>
        <w:spacing w:after="80"/>
      </w:pPr>
      <w:r>
        <w:t xml:space="preserve">Hand Hygiene Policy (Institutional Policy IC-001)</w:t>
      </w:r>
    </w:p>
    <w:p>
      <w:pPr>
        <w:pStyle w:val="ListParagraph"/>
        <w:numPr>
          <w:ilvl w:val="0"/>
          <w:numId w:val="3"/>
        </w:numPr>
        <w:spacing w:after="80"/>
      </w:pPr>
      <w:r>
        <w:t xml:space="preserve">Peripheral IV and Midline Catheter Care SOP (Institutional Policy IC-004)</w:t>
      </w:r>
    </w:p>
    <w:p>
      <w:pPr>
        <w:pStyle w:val="ListParagraph"/>
        <w:numPr>
          <w:ilvl w:val="0"/>
          <w:numId w:val="3"/>
        </w:numPr>
        <w:spacing w:after="80"/>
      </w:pPr>
      <w:r>
        <w:t xml:space="preserve">Isolation Precautions Policy (Institutional Policy IC-010)</w:t>
      </w:r>
    </w:p>
    <w:p>
      <w:pPr>
        <w:pStyle w:val="ListParagraph"/>
        <w:numPr>
          <w:ilvl w:val="0"/>
          <w:numId w:val="3"/>
        </w:numPr>
        <w:spacing w:after="80"/>
      </w:pPr>
      <w:r>
        <w:t xml:space="preserve">Blood Culture Collection Procedure (Institutional Policy LAB-014)</w:t>
      </w:r>
    </w:p>
    <w:p>
      <w:pPr>
        <w:spacing w:after="200"/>
      </w:pPr>
      <w:r>
        <w:rPr>
          <w:i/>
          <w:iCs/>
          <w:color w:val="666666"/>
          <w:sz w:val="20"/>
          <w:szCs w:val="20"/>
        </w:rPr>
        <w:t xml:space="preserve">End of document. Document ID: MED-SOP-003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SOP — CLABSI Prevention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2026-08-23T13:42:25.064Z</dcterms:created>
  <dcterms:modified xsi:type="dcterms:W3CDTF">2026-08-23T13:42:25.064Z</dcterms:modified>
</cp:coreProperties>
</file>

<file path=docProps/custom.xml><?xml version="1.0" encoding="utf-8"?>
<Properties xmlns="http://schemas.openxmlformats.org/officeDocument/2006/custom-properties" xmlns:vt="http://schemas.openxmlformats.org/officeDocument/2006/docPropsVTypes"/>
</file>