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3E74" w14:textId="77777777" w:rsidR="00F84769" w:rsidRPr="00F84769" w:rsidRDefault="00F84769" w:rsidP="00F84769">
      <w:pPr>
        <w:jc w:val="both"/>
        <w:rPr>
          <w:b/>
          <w:bCs/>
        </w:rPr>
      </w:pPr>
      <w:r w:rsidRPr="00F84769">
        <w:rPr>
          <w:b/>
          <w:bCs/>
        </w:rPr>
        <w:t>Comparable Valuation — PE Method</w:t>
      </w:r>
    </w:p>
    <w:p w14:paraId="7C569BEA" w14:textId="77777777" w:rsidR="00F84769" w:rsidRPr="00F84769" w:rsidRDefault="00F84769" w:rsidP="00F84769">
      <w:pPr>
        <w:jc w:val="both"/>
      </w:pPr>
      <w:r w:rsidRPr="00F84769">
        <w:t>Tata Motors was valued using the comparable company valuation method based on price-to-earnings (PE) ratio.</w:t>
      </w:r>
    </w:p>
    <w:p w14:paraId="21A84D8E" w14:textId="77777777" w:rsidR="00F84769" w:rsidRPr="00F84769" w:rsidRDefault="00F84769" w:rsidP="00F84769">
      <w:pPr>
        <w:jc w:val="both"/>
      </w:pPr>
      <w:r w:rsidRPr="00F84769">
        <w:t>Key automobile industry peers such as Maruti Suzuki, Mahindra &amp; Mahindra and Ashok Leyland were selected to determine the industry average PE multiple.</w:t>
      </w:r>
    </w:p>
    <w:p w14:paraId="50B409A4" w14:textId="77777777" w:rsidR="00F84769" w:rsidRPr="00F84769" w:rsidRDefault="00F84769" w:rsidP="00F84769">
      <w:pPr>
        <w:jc w:val="both"/>
      </w:pPr>
      <w:r w:rsidRPr="00F84769">
        <w:t>The calculated average industry PE multiple is 37.49.</w:t>
      </w:r>
    </w:p>
    <w:p w14:paraId="25E2B63E" w14:textId="77777777" w:rsidR="00F84769" w:rsidRPr="00F84769" w:rsidRDefault="00F84769" w:rsidP="00F84769">
      <w:pPr>
        <w:jc w:val="both"/>
      </w:pPr>
      <w:r w:rsidRPr="00F84769">
        <w:t>Using Tata Motors’ EPS of ₹1.24, the estimated intrinsic value per share is ₹46.49.</w:t>
      </w:r>
    </w:p>
    <w:p w14:paraId="05761DF4" w14:textId="77777777" w:rsidR="00F84769" w:rsidRPr="00F84769" w:rsidRDefault="00F84769" w:rsidP="00F84769">
      <w:pPr>
        <w:jc w:val="both"/>
      </w:pPr>
      <w:r w:rsidRPr="00F84769">
        <w:t>Compared to the current market price of ₹490, Tata Motors appears overvalued based on the relative valuation approach.</w:t>
      </w:r>
    </w:p>
    <w:p w14:paraId="1F67BA50" w14:textId="77777777" w:rsidR="00F84769" w:rsidRPr="00F84769" w:rsidRDefault="00F84769" w:rsidP="00F84769">
      <w:pPr>
        <w:jc w:val="both"/>
      </w:pPr>
      <w:r w:rsidRPr="00F84769">
        <w:t>This analysis demonstrates practical application of comparable company valuation techniques widely used in investment banking and equity research.</w:t>
      </w:r>
    </w:p>
    <w:p w14:paraId="22F18FEE" w14:textId="77777777" w:rsidR="00F3722E" w:rsidRDefault="00F3722E" w:rsidP="00F84769">
      <w:pPr>
        <w:jc w:val="both"/>
      </w:pPr>
    </w:p>
    <w:sectPr w:rsidR="00F37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69"/>
    <w:rsid w:val="002F360F"/>
    <w:rsid w:val="00707B06"/>
    <w:rsid w:val="008453B0"/>
    <w:rsid w:val="008F4303"/>
    <w:rsid w:val="00F3722E"/>
    <w:rsid w:val="00F8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ED86"/>
  <w15:chartTrackingRefBased/>
  <w15:docId w15:val="{BF3DF4F1-103F-4944-87CC-2FCB97E6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Bagul</dc:creator>
  <cp:keywords/>
  <dc:description/>
  <cp:lastModifiedBy>Yash Bagul</cp:lastModifiedBy>
  <cp:revision>1</cp:revision>
  <dcterms:created xsi:type="dcterms:W3CDTF">2026-02-17T19:19:00Z</dcterms:created>
  <dcterms:modified xsi:type="dcterms:W3CDTF">2026-02-17T19:20:00Z</dcterms:modified>
</cp:coreProperties>
</file>