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020C" w14:textId="77777777" w:rsidR="00512F8D" w:rsidRDefault="00000000">
      <w:pPr>
        <w:spacing w:after="60"/>
      </w:pPr>
      <w:r>
        <w:rPr>
          <w:b/>
          <w:bCs/>
          <w:color w:val="1B2A4A"/>
          <w:sz w:val="44"/>
          <w:szCs w:val="44"/>
        </w:rPr>
        <w:t>COMPARABLE COMPANY VALUATION</w:t>
      </w:r>
    </w:p>
    <w:p w14:paraId="3C12020D" w14:textId="77777777" w:rsidR="00512F8D" w:rsidRDefault="00000000">
      <w:pPr>
        <w:pBdr>
          <w:bottom w:val="single" w:sz="8" w:space="6" w:color="1B2A4A"/>
        </w:pBdr>
        <w:spacing w:after="120"/>
      </w:pPr>
      <w:r>
        <w:rPr>
          <w:i/>
          <w:iCs/>
          <w:color w:val="C0392B"/>
          <w:sz w:val="26"/>
          <w:szCs w:val="26"/>
        </w:rPr>
        <w:t xml:space="preserve">P/E Multiple Method — Automotive </w:t>
      </w:r>
      <w:proofErr w:type="gramStart"/>
      <w:r>
        <w:rPr>
          <w:i/>
          <w:iCs/>
          <w:color w:val="C0392B"/>
          <w:sz w:val="26"/>
          <w:szCs w:val="26"/>
        </w:rPr>
        <w:t>Sector  |</w:t>
      </w:r>
      <w:proofErr w:type="gramEnd"/>
      <w:r>
        <w:rPr>
          <w:i/>
          <w:iCs/>
          <w:color w:val="C0392B"/>
          <w:sz w:val="26"/>
          <w:szCs w:val="26"/>
        </w:rPr>
        <w:t xml:space="preserve">  Target: Tata Motors Ltd</w:t>
      </w:r>
    </w:p>
    <w:p w14:paraId="3C12020E" w14:textId="77777777" w:rsidR="00512F8D" w:rsidRDefault="00512F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12F8D" w14:paraId="3C1202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0F" w14:textId="77777777" w:rsidR="00512F8D" w:rsidRDefault="00000000">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10" w14:textId="77777777" w:rsidR="00512F8D" w:rsidRDefault="00000000">
            <w:r>
              <w:rPr>
                <w:b/>
                <w:bCs/>
                <w:color w:val="FFFFFF"/>
                <w:sz w:val="20"/>
                <w:szCs w:val="20"/>
              </w:rPr>
              <w:t>Sector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11" w14:textId="77777777" w:rsidR="00512F8D" w:rsidRDefault="00000000">
            <w:r>
              <w:rPr>
                <w:b/>
                <w:bCs/>
                <w:color w:val="FFFFFF"/>
                <w:sz w:val="20"/>
                <w:szCs w:val="20"/>
              </w:rPr>
              <w:t>Target Company</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12" w14:textId="77777777" w:rsidR="00512F8D" w:rsidRDefault="00000000">
            <w:r>
              <w:rPr>
                <w:b/>
                <w:bCs/>
                <w:color w:val="FFFFFF"/>
                <w:sz w:val="20"/>
                <w:szCs w:val="20"/>
              </w:rPr>
              <w:t>Project Type</w:t>
            </w:r>
          </w:p>
        </w:tc>
      </w:tr>
      <w:tr w:rsidR="00512F8D" w14:paraId="3C1202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14" w14:textId="77777777" w:rsidR="00512F8D" w:rsidRDefault="00000000">
            <w:r>
              <w:rPr>
                <w:color w:val="1E293B"/>
                <w:sz w:val="20"/>
                <w:szCs w:val="20"/>
              </w:rPr>
              <w:t>Comparable Company (P/E)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15" w14:textId="77777777" w:rsidR="00512F8D" w:rsidRDefault="00000000">
            <w:r>
              <w:rPr>
                <w:color w:val="1E293B"/>
                <w:sz w:val="20"/>
                <w:szCs w:val="20"/>
              </w:rPr>
              <w:t>Indian Automotive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16" w14:textId="77777777" w:rsidR="00512F8D" w:rsidRDefault="00000000">
            <w:r>
              <w:rPr>
                <w:color w:val="1E293B"/>
                <w:sz w:val="20"/>
                <w:szCs w:val="20"/>
              </w:rPr>
              <w:t>Tata Motors Ltd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17" w14:textId="77777777" w:rsidR="00512F8D" w:rsidRDefault="00000000">
            <w:r>
              <w:rPr>
                <w:color w:val="1E293B"/>
                <w:sz w:val="20"/>
                <w:szCs w:val="20"/>
              </w:rPr>
              <w:t>Self-Initiated</w:t>
            </w:r>
          </w:p>
        </w:tc>
      </w:tr>
    </w:tbl>
    <w:p w14:paraId="3C120219" w14:textId="77777777" w:rsidR="00512F8D" w:rsidRDefault="00512F8D">
      <w:pPr>
        <w:spacing w:before="40" w:after="40"/>
      </w:pPr>
    </w:p>
    <w:p w14:paraId="3C12021A" w14:textId="77777777" w:rsidR="00512F8D" w:rsidRDefault="00512F8D">
      <w:pPr>
        <w:spacing w:before="40" w:after="40"/>
      </w:pPr>
    </w:p>
    <w:p w14:paraId="3C12021B" w14:textId="77777777" w:rsidR="00512F8D" w:rsidRDefault="00000000">
      <w:pPr>
        <w:pBdr>
          <w:bottom w:val="single" w:sz="6" w:space="4" w:color="1B2A4A"/>
        </w:pBdr>
        <w:spacing w:before="280" w:after="100"/>
      </w:pPr>
      <w:r>
        <w:rPr>
          <w:b/>
          <w:bCs/>
          <w:color w:val="1B2A4A"/>
          <w:sz w:val="28"/>
          <w:szCs w:val="28"/>
        </w:rPr>
        <w:t>1. Methodology</w:t>
      </w:r>
    </w:p>
    <w:p w14:paraId="3C12021C" w14:textId="77777777" w:rsidR="00512F8D" w:rsidRDefault="00000000">
      <w:pPr>
        <w:spacing w:before="60" w:after="80"/>
      </w:pPr>
      <w:r>
        <w:rPr>
          <w:color w:val="1E293B"/>
        </w:rPr>
        <w:t xml:space="preserve">The comparable company method is one of the more intuitive valuation approaches once you understand what it is </w:t>
      </w:r>
      <w:proofErr w:type="gramStart"/>
      <w:r>
        <w:rPr>
          <w:color w:val="1E293B"/>
        </w:rPr>
        <w:t>actually measuring</w:t>
      </w:r>
      <w:proofErr w:type="gramEnd"/>
      <w:r>
        <w:rPr>
          <w:color w:val="1E293B"/>
        </w:rPr>
        <w:t xml:space="preserve">. The idea is simple — if two companies are in the same industry with a similar business model, they should logically trade at similar multiples in the market. </w:t>
      </w:r>
      <w:proofErr w:type="gramStart"/>
      <w:r>
        <w:rPr>
          <w:color w:val="1E293B"/>
        </w:rPr>
        <w:t>So</w:t>
      </w:r>
      <w:proofErr w:type="gramEnd"/>
      <w:r>
        <w:rPr>
          <w:color w:val="1E293B"/>
        </w:rPr>
        <w:t xml:space="preserve"> if the peer group averages a P/E of 37x and your target company is at 396x, something is clearly off. Either the stock is massively overvalued, or there is something unusual about the earnings that is distorting the ratio — which turned out to be exactly the case with Tata Motors here.</w:t>
      </w:r>
    </w:p>
    <w:p w14:paraId="3C12021D" w14:textId="77777777" w:rsidR="00512F8D" w:rsidRDefault="00000000">
      <w:pPr>
        <w:spacing w:before="60" w:after="80"/>
      </w:pPr>
      <w:r>
        <w:rPr>
          <w:color w:val="1E293B"/>
        </w:rPr>
        <w:t xml:space="preserve">The calculation itself is simple: </w:t>
      </w:r>
      <w:r>
        <w:rPr>
          <w:b/>
          <w:bCs/>
          <w:color w:val="1E293B"/>
        </w:rPr>
        <w:t>Intrinsic Value = Industry Average P/E × Target EPS</w:t>
      </w:r>
      <w:r>
        <w:rPr>
          <w:color w:val="1E293B"/>
        </w:rPr>
        <w:t xml:space="preserve"> — the more important work is in picking the right peers and deciding what to do with outliers.</w:t>
      </w:r>
    </w:p>
    <w:p w14:paraId="3C12021E" w14:textId="77777777" w:rsidR="00512F8D" w:rsidRDefault="00000000">
      <w:pPr>
        <w:spacing w:before="60" w:after="80"/>
      </w:pPr>
      <w:r>
        <w:rPr>
          <w:color w:val="1E293B"/>
        </w:rPr>
        <w:t>The method assumes that comparable companies trade at similar multiples, and any significant deviation in the target's multiple reflects over- or under-valuation relative to peers.</w:t>
      </w:r>
    </w:p>
    <w:p w14:paraId="3C12021F" w14:textId="77777777" w:rsidR="00512F8D" w:rsidRDefault="00512F8D">
      <w:pPr>
        <w:spacing w:before="40" w:after="40"/>
      </w:pPr>
    </w:p>
    <w:p w14:paraId="3C120220" w14:textId="77777777" w:rsidR="00512F8D" w:rsidRDefault="00000000">
      <w:pPr>
        <w:pBdr>
          <w:bottom w:val="single" w:sz="6" w:space="4" w:color="1B2A4A"/>
        </w:pBdr>
        <w:spacing w:before="280" w:after="100"/>
      </w:pPr>
      <w:r>
        <w:rPr>
          <w:b/>
          <w:bCs/>
          <w:color w:val="1B2A4A"/>
          <w:sz w:val="28"/>
          <w:szCs w:val="28"/>
        </w:rPr>
        <w:t>2. Peer Group Selection</w:t>
      </w:r>
    </w:p>
    <w:p w14:paraId="3C120221" w14:textId="77777777" w:rsidR="00512F8D" w:rsidRDefault="00000000">
      <w:pPr>
        <w:spacing w:before="140" w:after="60"/>
      </w:pPr>
      <w:r>
        <w:rPr>
          <w:b/>
          <w:bCs/>
          <w:color w:val="C0392B"/>
        </w:rPr>
        <w:t>Why these three peers?</w:t>
      </w:r>
    </w:p>
    <w:p w14:paraId="3C120222" w14:textId="77777777" w:rsidR="00512F8D" w:rsidRDefault="00000000">
      <w:pPr>
        <w:pStyle w:val="ListParagraph"/>
        <w:numPr>
          <w:ilvl w:val="0"/>
          <w:numId w:val="2"/>
        </w:numPr>
        <w:spacing w:before="40" w:after="40"/>
      </w:pPr>
      <w:r>
        <w:rPr>
          <w:color w:val="1E293B"/>
        </w:rPr>
        <w:t>Maruti Suzuki — India's largest passenger vehicle manufacturer by volume; pure-play domestic auto, well-understood by market</w:t>
      </w:r>
    </w:p>
    <w:p w14:paraId="3C120223" w14:textId="77777777" w:rsidR="00512F8D" w:rsidRDefault="00000000">
      <w:pPr>
        <w:pStyle w:val="ListParagraph"/>
        <w:numPr>
          <w:ilvl w:val="0"/>
          <w:numId w:val="2"/>
        </w:numPr>
        <w:spacing w:before="40" w:after="40"/>
      </w:pPr>
      <w:r>
        <w:rPr>
          <w:color w:val="1E293B"/>
        </w:rPr>
        <w:t>Mahindra &amp; Mahindra — strong SUV and tractor segment; diversified but predominantly automotive revenue</w:t>
      </w:r>
    </w:p>
    <w:p w14:paraId="3C120224" w14:textId="77777777" w:rsidR="00512F8D" w:rsidRDefault="00000000">
      <w:pPr>
        <w:pStyle w:val="ListParagraph"/>
        <w:numPr>
          <w:ilvl w:val="0"/>
          <w:numId w:val="2"/>
        </w:numPr>
        <w:spacing w:before="40" w:after="40"/>
      </w:pPr>
      <w:r>
        <w:rPr>
          <w:color w:val="1E293B"/>
        </w:rPr>
        <w:t>Ashok Leyland — commercial vehicles focus, different sub-segment from Tata Motors but within the broader automotive sector</w:t>
      </w:r>
    </w:p>
    <w:p w14:paraId="3C120225" w14:textId="77777777" w:rsidR="00512F8D" w:rsidRDefault="00512F8D">
      <w:pPr>
        <w:spacing w:before="40" w:after="40"/>
      </w:pPr>
    </w:p>
    <w:p w14:paraId="3C120226" w14:textId="77777777" w:rsidR="00512F8D" w:rsidRDefault="00000000">
      <w:pPr>
        <w:spacing w:before="60" w:after="80"/>
      </w:pPr>
      <w:r>
        <w:rPr>
          <w:b/>
          <w:bCs/>
          <w:color w:val="1E293B"/>
        </w:rPr>
        <w:t xml:space="preserve">Note on Tata Motors' own P/E: </w:t>
      </w:r>
      <w:r>
        <w:rPr>
          <w:color w:val="555555"/>
        </w:rPr>
        <w:t>Tata Motors' trailing P/E at the time of analysis was 396x — an extreme outlier because its EPS of INR 1.24 was abnormally low following years of losses (FY2020–FY2022). Using this P/E in the industry average would have distorted the analysis. In standard comparable analysis, such outliers are excluded. I have excluded Tata's own P/E from the industry average calculation accordingly.</w:t>
      </w:r>
    </w:p>
    <w:p w14:paraId="3C120227" w14:textId="77777777" w:rsidR="00512F8D" w:rsidRDefault="00512F8D">
      <w:pPr>
        <w:spacing w:before="40" w:after="40"/>
      </w:pPr>
    </w:p>
    <w:p w14:paraId="3C120228" w14:textId="77777777" w:rsidR="00512F8D" w:rsidRDefault="00000000">
      <w:pPr>
        <w:pBdr>
          <w:bottom w:val="single" w:sz="6" w:space="4" w:color="1B2A4A"/>
        </w:pBdr>
        <w:spacing w:before="280" w:after="100"/>
      </w:pPr>
      <w:r>
        <w:rPr>
          <w:b/>
          <w:bCs/>
          <w:color w:val="1B2A4A"/>
          <w:sz w:val="28"/>
          <w:szCs w:val="28"/>
        </w:rPr>
        <w:t>3. Peer P/E Data &amp; Industry Average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1"/>
        <w:gridCol w:w="1555"/>
        <w:gridCol w:w="1555"/>
        <w:gridCol w:w="1315"/>
        <w:gridCol w:w="2664"/>
      </w:tblGrid>
      <w:tr w:rsidR="00512F8D" w14:paraId="3C1202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29" w14:textId="77777777" w:rsidR="00512F8D" w:rsidRDefault="00000000">
            <w:r>
              <w:rPr>
                <w:b/>
                <w:bCs/>
                <w:color w:val="FFFFFF"/>
                <w:sz w:val="20"/>
                <w:szCs w:val="20"/>
              </w:rPr>
              <w:t>Company</w:t>
            </w:r>
          </w:p>
        </w:tc>
        <w:tc>
          <w:tcPr>
            <w:tcW w:w="1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2A" w14:textId="77777777" w:rsidR="00512F8D" w:rsidRDefault="00000000">
            <w:pPr>
              <w:jc w:val="center"/>
            </w:pPr>
            <w:r>
              <w:rPr>
                <w:b/>
                <w:bCs/>
                <w:color w:val="FFFFFF"/>
                <w:sz w:val="20"/>
                <w:szCs w:val="20"/>
              </w:rPr>
              <w:t>Share Price (INR)</w:t>
            </w:r>
          </w:p>
        </w:tc>
        <w:tc>
          <w:tcPr>
            <w:tcW w:w="1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2B" w14:textId="77777777" w:rsidR="00512F8D" w:rsidRDefault="00000000">
            <w:pPr>
              <w:jc w:val="center"/>
            </w:pPr>
            <w:r>
              <w:rPr>
                <w:b/>
                <w:bCs/>
                <w:color w:val="FFFFFF"/>
                <w:sz w:val="20"/>
                <w:szCs w:val="20"/>
              </w:rPr>
              <w:t>EPS (INR)</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2C" w14:textId="77777777" w:rsidR="00512F8D" w:rsidRDefault="00000000">
            <w:pPr>
              <w:jc w:val="center"/>
            </w:pPr>
            <w:r>
              <w:rPr>
                <w:b/>
                <w:bCs/>
                <w:color w:val="FFFFFF"/>
                <w:sz w:val="20"/>
                <w:szCs w:val="20"/>
              </w:rPr>
              <w:t>P/E Ratio</w:t>
            </w:r>
          </w:p>
        </w:tc>
        <w:tc>
          <w:tcPr>
            <w:tcW w:w="3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2D" w14:textId="77777777" w:rsidR="00512F8D" w:rsidRDefault="00000000">
            <w:r>
              <w:rPr>
                <w:b/>
                <w:bCs/>
                <w:color w:val="FFFFFF"/>
                <w:sz w:val="20"/>
                <w:szCs w:val="20"/>
              </w:rPr>
              <w:t>Notes</w:t>
            </w:r>
          </w:p>
        </w:tc>
      </w:tr>
      <w:tr w:rsidR="00512F8D" w14:paraId="3C1202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2F" w14:textId="77777777" w:rsidR="00512F8D" w:rsidRDefault="00000000">
            <w:r>
              <w:rPr>
                <w:color w:val="1E293B"/>
                <w:sz w:val="20"/>
                <w:szCs w:val="20"/>
              </w:rPr>
              <w:lastRenderedPageBreak/>
              <w:t>Maruti Suzuki</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30" w14:textId="77777777" w:rsidR="00512F8D" w:rsidRDefault="00000000">
            <w:pPr>
              <w:jc w:val="center"/>
            </w:pPr>
            <w:r>
              <w:rPr>
                <w:color w:val="1E293B"/>
                <w:sz w:val="20"/>
                <w:szCs w:val="20"/>
              </w:rPr>
              <w:t>15,179</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31" w14:textId="77777777" w:rsidR="00512F8D" w:rsidRDefault="00000000">
            <w:pPr>
              <w:jc w:val="center"/>
            </w:pPr>
            <w:r>
              <w:rPr>
                <w:color w:val="1E293B"/>
                <w:sz w:val="20"/>
                <w:szCs w:val="20"/>
              </w:rPr>
              <w:t>474.90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32" w14:textId="77777777" w:rsidR="00512F8D" w:rsidRDefault="00000000">
            <w:pPr>
              <w:jc w:val="center"/>
            </w:pPr>
            <w:r>
              <w:rPr>
                <w:color w:val="1E293B"/>
                <w:sz w:val="20"/>
                <w:szCs w:val="20"/>
              </w:rPr>
              <w:t>31.96x</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33" w14:textId="77777777" w:rsidR="00512F8D" w:rsidRDefault="00000000">
            <w:r>
              <w:rPr>
                <w:color w:val="555555"/>
                <w:sz w:val="20"/>
                <w:szCs w:val="20"/>
              </w:rPr>
              <w:t>Market leader, stable earnings</w:t>
            </w:r>
          </w:p>
        </w:tc>
      </w:tr>
      <w:tr w:rsidR="00512F8D" w14:paraId="3C1202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20235" w14:textId="77777777" w:rsidR="00512F8D" w:rsidRDefault="00000000">
            <w:r>
              <w:rPr>
                <w:color w:val="1E293B"/>
                <w:sz w:val="20"/>
                <w:szCs w:val="20"/>
              </w:rPr>
              <w:t>Mahindra &amp; Mahindra</w:t>
            </w:r>
          </w:p>
        </w:tc>
        <w:tc>
          <w:tcPr>
            <w:tcW w:w="1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20236" w14:textId="77777777" w:rsidR="00512F8D" w:rsidRDefault="00000000">
            <w:pPr>
              <w:jc w:val="center"/>
            </w:pPr>
            <w:r>
              <w:rPr>
                <w:color w:val="1E293B"/>
                <w:sz w:val="20"/>
                <w:szCs w:val="20"/>
              </w:rPr>
              <w:t>5,115</w:t>
            </w:r>
          </w:p>
        </w:tc>
        <w:tc>
          <w:tcPr>
            <w:tcW w:w="1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20237" w14:textId="77777777" w:rsidR="00512F8D" w:rsidRDefault="00000000">
            <w:pPr>
              <w:jc w:val="center"/>
            </w:pPr>
            <w:r>
              <w:rPr>
                <w:color w:val="1E293B"/>
                <w:sz w:val="20"/>
                <w:szCs w:val="20"/>
              </w:rPr>
              <w:t>109.60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20238" w14:textId="77777777" w:rsidR="00512F8D" w:rsidRDefault="00000000">
            <w:pPr>
              <w:jc w:val="center"/>
            </w:pPr>
            <w:r>
              <w:rPr>
                <w:color w:val="1E293B"/>
                <w:sz w:val="20"/>
                <w:szCs w:val="20"/>
              </w:rPr>
              <w:t>46.69x</w:t>
            </w:r>
          </w:p>
        </w:tc>
        <w:tc>
          <w:tcPr>
            <w:tcW w:w="33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20239" w14:textId="77777777" w:rsidR="00512F8D" w:rsidRDefault="00000000">
            <w:r>
              <w:rPr>
                <w:color w:val="555555"/>
                <w:sz w:val="20"/>
                <w:szCs w:val="20"/>
              </w:rPr>
              <w:t>SUV premium reflected in multiple</w:t>
            </w:r>
          </w:p>
        </w:tc>
      </w:tr>
      <w:tr w:rsidR="00512F8D" w14:paraId="3C1202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3B" w14:textId="77777777" w:rsidR="00512F8D" w:rsidRDefault="00000000">
            <w:r>
              <w:rPr>
                <w:color w:val="1E293B"/>
                <w:sz w:val="20"/>
                <w:szCs w:val="20"/>
              </w:rPr>
              <w:t>Ashok Leyland</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3C" w14:textId="77777777" w:rsidR="00512F8D" w:rsidRDefault="00000000">
            <w:pPr>
              <w:jc w:val="center"/>
            </w:pPr>
            <w:r>
              <w:rPr>
                <w:color w:val="1E293B"/>
                <w:sz w:val="20"/>
                <w:szCs w:val="20"/>
              </w:rPr>
              <w:t>207.68</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3D" w14:textId="77777777" w:rsidR="00512F8D" w:rsidRDefault="00000000">
            <w:pPr>
              <w:jc w:val="center"/>
            </w:pPr>
            <w:r>
              <w:rPr>
                <w:color w:val="1E293B"/>
                <w:sz w:val="20"/>
                <w:szCs w:val="20"/>
              </w:rPr>
              <w:t>6.14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3E" w14:textId="77777777" w:rsidR="00512F8D" w:rsidRDefault="00000000">
            <w:pPr>
              <w:jc w:val="center"/>
            </w:pPr>
            <w:r>
              <w:rPr>
                <w:color w:val="1E293B"/>
                <w:sz w:val="20"/>
                <w:szCs w:val="20"/>
              </w:rPr>
              <w:t>33.83x</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3F" w14:textId="77777777" w:rsidR="00512F8D" w:rsidRDefault="00000000">
            <w:r>
              <w:rPr>
                <w:color w:val="555555"/>
                <w:sz w:val="20"/>
                <w:szCs w:val="20"/>
              </w:rPr>
              <w:t>CV cycle-dependent, lower multiple</w:t>
            </w:r>
          </w:p>
        </w:tc>
      </w:tr>
      <w:tr w:rsidR="00512F8D" w14:paraId="3C1202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C120241" w14:textId="77777777" w:rsidR="00512F8D" w:rsidRDefault="00000000">
            <w:r>
              <w:rPr>
                <w:b/>
                <w:bCs/>
                <w:color w:val="1E293B"/>
                <w:sz w:val="20"/>
                <w:szCs w:val="20"/>
              </w:rPr>
              <w:t>Industry Average P/E</w:t>
            </w:r>
          </w:p>
        </w:tc>
        <w:tc>
          <w:tcPr>
            <w:tcW w:w="18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C120242" w14:textId="77777777" w:rsidR="00512F8D" w:rsidRDefault="00512F8D"/>
        </w:tc>
        <w:tc>
          <w:tcPr>
            <w:tcW w:w="18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C120243" w14:textId="77777777" w:rsidR="00512F8D" w:rsidRDefault="00512F8D"/>
        </w:tc>
        <w:tc>
          <w:tcPr>
            <w:tcW w:w="1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C120244" w14:textId="77777777" w:rsidR="00512F8D" w:rsidRDefault="00000000">
            <w:pPr>
              <w:jc w:val="center"/>
            </w:pPr>
            <w:r>
              <w:rPr>
                <w:b/>
                <w:bCs/>
                <w:color w:val="1E293B"/>
                <w:sz w:val="20"/>
                <w:szCs w:val="20"/>
              </w:rPr>
              <w:t>37.49x</w:t>
            </w:r>
          </w:p>
        </w:tc>
        <w:tc>
          <w:tcPr>
            <w:tcW w:w="33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C120245" w14:textId="77777777" w:rsidR="00512F8D" w:rsidRDefault="00000000">
            <w:r>
              <w:rPr>
                <w:color w:val="1E293B"/>
                <w:sz w:val="20"/>
                <w:szCs w:val="20"/>
              </w:rPr>
              <w:t>Simple average of 3 peers</w:t>
            </w:r>
          </w:p>
        </w:tc>
      </w:tr>
      <w:tr w:rsidR="00512F8D" w14:paraId="3C1202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47" w14:textId="77777777" w:rsidR="00512F8D" w:rsidRDefault="00000000">
            <w:r>
              <w:rPr>
                <w:i/>
                <w:iCs/>
                <w:color w:val="555555"/>
                <w:sz w:val="20"/>
                <w:szCs w:val="20"/>
              </w:rPr>
              <w:t xml:space="preserve">Tata Motors (excluded from </w:t>
            </w:r>
            <w:proofErr w:type="spellStart"/>
            <w:r>
              <w:rPr>
                <w:i/>
                <w:iCs/>
                <w:color w:val="555555"/>
                <w:sz w:val="20"/>
                <w:szCs w:val="20"/>
              </w:rPr>
              <w:t>avg</w:t>
            </w:r>
            <w:proofErr w:type="spellEnd"/>
            <w:r>
              <w:rPr>
                <w:i/>
                <w:iCs/>
                <w:color w:val="555555"/>
                <w:sz w:val="20"/>
                <w:szCs w:val="20"/>
              </w:rPr>
              <w:t>)</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48" w14:textId="77777777" w:rsidR="00512F8D" w:rsidRDefault="00000000">
            <w:pPr>
              <w:jc w:val="center"/>
            </w:pPr>
            <w:r>
              <w:rPr>
                <w:color w:val="555555"/>
                <w:sz w:val="20"/>
                <w:szCs w:val="20"/>
              </w:rPr>
              <w:t>490.00</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49" w14:textId="77777777" w:rsidR="00512F8D" w:rsidRDefault="00000000">
            <w:pPr>
              <w:jc w:val="center"/>
            </w:pPr>
            <w:r>
              <w:rPr>
                <w:color w:val="555555"/>
                <w:sz w:val="20"/>
                <w:szCs w:val="20"/>
              </w:rPr>
              <w:t>1.24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4A" w14:textId="77777777" w:rsidR="00512F8D" w:rsidRDefault="00000000">
            <w:pPr>
              <w:jc w:val="center"/>
            </w:pPr>
            <w:r>
              <w:rPr>
                <w:color w:val="555555"/>
                <w:sz w:val="20"/>
                <w:szCs w:val="20"/>
              </w:rPr>
              <w:t>396.23x</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4B" w14:textId="77777777" w:rsidR="00512F8D" w:rsidRDefault="00000000">
            <w:r>
              <w:rPr>
                <w:i/>
                <w:iCs/>
                <w:color w:val="555555"/>
                <w:sz w:val="20"/>
                <w:szCs w:val="20"/>
              </w:rPr>
              <w:t>Outlier — low EPS post-losses; excluded</w:t>
            </w:r>
          </w:p>
        </w:tc>
      </w:tr>
    </w:tbl>
    <w:p w14:paraId="3C12024D" w14:textId="77777777" w:rsidR="00512F8D" w:rsidRDefault="00512F8D">
      <w:pPr>
        <w:spacing w:before="40" w:after="40"/>
      </w:pPr>
    </w:p>
    <w:p w14:paraId="3C12024E" w14:textId="77777777" w:rsidR="00512F8D" w:rsidRDefault="00000000">
      <w:pPr>
        <w:pBdr>
          <w:bottom w:val="single" w:sz="6" w:space="4" w:color="1B2A4A"/>
        </w:pBdr>
        <w:spacing w:before="280" w:after="100"/>
      </w:pPr>
      <w:r>
        <w:rPr>
          <w:b/>
          <w:bCs/>
          <w:color w:val="1B2A4A"/>
          <w:sz w:val="28"/>
          <w:szCs w:val="28"/>
        </w:rPr>
        <w:t>4. Valuation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512F8D" w14:paraId="3C120251"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4F" w14:textId="77777777" w:rsidR="00512F8D" w:rsidRDefault="00000000">
            <w:r>
              <w:rPr>
                <w:b/>
                <w:bCs/>
                <w:color w:val="FFFFFF"/>
                <w:sz w:val="20"/>
                <w:szCs w:val="20"/>
              </w:rPr>
              <w:t>Input</w:t>
            </w:r>
          </w:p>
        </w:tc>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120250" w14:textId="77777777" w:rsidR="00512F8D" w:rsidRDefault="00000000">
            <w:pPr>
              <w:jc w:val="center"/>
            </w:pPr>
            <w:r>
              <w:rPr>
                <w:b/>
                <w:bCs/>
                <w:color w:val="FFFFFF"/>
                <w:sz w:val="20"/>
                <w:szCs w:val="20"/>
              </w:rPr>
              <w:t>Value</w:t>
            </w:r>
          </w:p>
        </w:tc>
      </w:tr>
      <w:tr w:rsidR="00512F8D" w14:paraId="3C120254"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52" w14:textId="77777777" w:rsidR="00512F8D" w:rsidRDefault="00000000">
            <w:r>
              <w:rPr>
                <w:color w:val="1E293B"/>
                <w:sz w:val="20"/>
                <w:szCs w:val="20"/>
              </w:rPr>
              <w:t>Industry Average P/E (peer group)</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53" w14:textId="77777777" w:rsidR="00512F8D" w:rsidRDefault="00000000">
            <w:pPr>
              <w:jc w:val="center"/>
            </w:pPr>
            <w:r>
              <w:rPr>
                <w:color w:val="1E293B"/>
                <w:sz w:val="20"/>
                <w:szCs w:val="20"/>
              </w:rPr>
              <w:t>37.49x</w:t>
            </w:r>
          </w:p>
        </w:tc>
      </w:tr>
      <w:tr w:rsidR="00512F8D" w14:paraId="3C120257"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20255" w14:textId="77777777" w:rsidR="00512F8D" w:rsidRDefault="00000000">
            <w:r>
              <w:rPr>
                <w:color w:val="1E293B"/>
                <w:sz w:val="20"/>
                <w:szCs w:val="20"/>
              </w:rPr>
              <w:t>Tata Motors EPS (TTM)</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20256" w14:textId="77777777" w:rsidR="00512F8D" w:rsidRDefault="00000000">
            <w:pPr>
              <w:jc w:val="center"/>
            </w:pPr>
            <w:r>
              <w:rPr>
                <w:color w:val="1E293B"/>
                <w:sz w:val="20"/>
                <w:szCs w:val="20"/>
              </w:rPr>
              <w:t>INR 1.24</w:t>
            </w:r>
          </w:p>
        </w:tc>
      </w:tr>
      <w:tr w:rsidR="00512F8D" w14:paraId="3C12025A"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58" w14:textId="77777777" w:rsidR="00512F8D" w:rsidRDefault="00000000">
            <w:r>
              <w:rPr>
                <w:b/>
                <w:bCs/>
                <w:color w:val="1E293B"/>
                <w:sz w:val="20"/>
                <w:szCs w:val="20"/>
              </w:rPr>
              <w:t>Intrinsic Value = 37.49 × 1.24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59" w14:textId="77777777" w:rsidR="00512F8D" w:rsidRDefault="00000000">
            <w:pPr>
              <w:jc w:val="center"/>
            </w:pPr>
            <w:r>
              <w:rPr>
                <w:b/>
                <w:bCs/>
                <w:color w:val="1E293B"/>
                <w:sz w:val="20"/>
                <w:szCs w:val="20"/>
              </w:rPr>
              <w:t>INR 46.49 per share</w:t>
            </w:r>
          </w:p>
        </w:tc>
      </w:tr>
      <w:tr w:rsidR="00512F8D" w14:paraId="3C12025D"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2025B" w14:textId="77777777" w:rsidR="00512F8D" w:rsidRDefault="00000000">
            <w:r>
              <w:rPr>
                <w:color w:val="1E293B"/>
                <w:sz w:val="20"/>
                <w:szCs w:val="20"/>
              </w:rPr>
              <w:t>Current Market Price</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2025C" w14:textId="77777777" w:rsidR="00512F8D" w:rsidRDefault="00000000">
            <w:pPr>
              <w:jc w:val="center"/>
            </w:pPr>
            <w:r>
              <w:rPr>
                <w:color w:val="1E293B"/>
                <w:sz w:val="20"/>
                <w:szCs w:val="20"/>
              </w:rPr>
              <w:t>INR 490.00</w:t>
            </w:r>
          </w:p>
        </w:tc>
      </w:tr>
      <w:tr w:rsidR="00512F8D" w14:paraId="3C120260"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5E" w14:textId="77777777" w:rsidR="00512F8D" w:rsidRDefault="00000000">
            <w:r>
              <w:rPr>
                <w:b/>
                <w:bCs/>
                <w:color w:val="1E293B"/>
                <w:sz w:val="20"/>
                <w:szCs w:val="20"/>
              </w:rPr>
              <w:t>Downside / Premium to Intrinsic Value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025F" w14:textId="77777777" w:rsidR="00512F8D" w:rsidRDefault="00000000">
            <w:pPr>
              <w:jc w:val="center"/>
            </w:pPr>
            <w:r>
              <w:rPr>
                <w:b/>
                <w:bCs/>
                <w:color w:val="1E293B"/>
                <w:sz w:val="20"/>
                <w:szCs w:val="20"/>
              </w:rPr>
              <w:t>−90.5% (stock trades at 10.5× intrinsic)</w:t>
            </w:r>
          </w:p>
        </w:tc>
      </w:tr>
      <w:tr w:rsidR="00512F8D" w14:paraId="3C120263"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C120261" w14:textId="77777777" w:rsidR="00512F8D" w:rsidRDefault="00000000">
            <w:r>
              <w:rPr>
                <w:b/>
                <w:bCs/>
                <w:color w:val="1E293B"/>
                <w:sz w:val="20"/>
                <w:szCs w:val="20"/>
              </w:rPr>
              <w:t>Valuation Conclusion</w:t>
            </w:r>
          </w:p>
        </w:tc>
        <w:tc>
          <w:tcPr>
            <w:tcW w:w="3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C120262" w14:textId="77777777" w:rsidR="00512F8D" w:rsidRDefault="00000000">
            <w:pPr>
              <w:jc w:val="center"/>
            </w:pPr>
            <w:r>
              <w:rPr>
                <w:b/>
                <w:bCs/>
                <w:color w:val="C0392B"/>
                <w:sz w:val="20"/>
                <w:szCs w:val="20"/>
              </w:rPr>
              <w:t>OVERVALUED</w:t>
            </w:r>
          </w:p>
        </w:tc>
      </w:tr>
    </w:tbl>
    <w:p w14:paraId="3C120264" w14:textId="77777777" w:rsidR="00512F8D" w:rsidRDefault="00512F8D">
      <w:pPr>
        <w:spacing w:before="40" w:after="40"/>
      </w:pPr>
    </w:p>
    <w:p w14:paraId="3C120265" w14:textId="77777777" w:rsidR="00512F8D" w:rsidRDefault="00000000">
      <w:pPr>
        <w:pBdr>
          <w:bottom w:val="single" w:sz="6" w:space="4" w:color="1B2A4A"/>
        </w:pBdr>
        <w:spacing w:before="280" w:after="100"/>
      </w:pPr>
      <w:r>
        <w:rPr>
          <w:b/>
          <w:bCs/>
          <w:color w:val="1B2A4A"/>
          <w:sz w:val="28"/>
          <w:szCs w:val="28"/>
        </w:rPr>
        <w:t>5. Interpretation &amp; Limitations</w:t>
      </w:r>
    </w:p>
    <w:p w14:paraId="3C120266" w14:textId="77777777" w:rsidR="00512F8D" w:rsidRDefault="00000000">
      <w:pPr>
        <w:spacing w:before="140" w:after="60"/>
      </w:pPr>
      <w:r>
        <w:rPr>
          <w:b/>
          <w:bCs/>
          <w:color w:val="C0392B"/>
        </w:rPr>
        <w:t>Why is Tata Motors' own P/E so high?</w:t>
      </w:r>
    </w:p>
    <w:p w14:paraId="3C120267" w14:textId="77777777" w:rsidR="00512F8D" w:rsidRDefault="00000000">
      <w:pPr>
        <w:spacing w:before="60" w:after="80"/>
      </w:pPr>
      <w:r>
        <w:rPr>
          <w:color w:val="1E293B"/>
        </w:rPr>
        <w:t xml:space="preserve">This was </w:t>
      </w:r>
      <w:proofErr w:type="gramStart"/>
      <w:r>
        <w:rPr>
          <w:color w:val="1E293B"/>
        </w:rPr>
        <w:t>actually the</w:t>
      </w:r>
      <w:proofErr w:type="gramEnd"/>
      <w:r>
        <w:rPr>
          <w:color w:val="1E293B"/>
        </w:rPr>
        <w:t xml:space="preserve"> most interesting part of the analysis. Tata Motors' trailing P/E came out at 396x — which looks absurd until you understand why. The company had been loss-making from FY2020 to FY2022 because of JLR's struggles during the chip shortage and COVID. FY2023 was the first year it came back to meaningful profits, so the EPS of INR 1.24 was still very low relative to where the business was heading. The market was pricing in future earnings, not current ones — so the P/E spiked artificially.</w:t>
      </w:r>
    </w:p>
    <w:p w14:paraId="3C120268" w14:textId="77777777" w:rsidR="00512F8D" w:rsidRDefault="00000000">
      <w:pPr>
        <w:spacing w:before="60" w:after="80"/>
      </w:pPr>
      <w:r>
        <w:rPr>
          <w:color w:val="1E293B"/>
        </w:rPr>
        <w:t xml:space="preserve">Including this 396x in the peer average would have made no sense and would have </w:t>
      </w:r>
      <w:proofErr w:type="gramStart"/>
      <w:r>
        <w:rPr>
          <w:color w:val="1E293B"/>
        </w:rPr>
        <w:t>completely destroyed</w:t>
      </w:r>
      <w:proofErr w:type="gramEnd"/>
      <w:r>
        <w:rPr>
          <w:color w:val="1E293B"/>
        </w:rPr>
        <w:t xml:space="preserve"> the analysis. I excluded it and used only the three true peers. I also cross-checked the P/E result (INR 46.49) against my DCF output (INR 330) — both confirmed the stock was overvalued at INR 490, which made me more confident in the conclusion even though the two methods landed on very different numbers.</w:t>
      </w:r>
    </w:p>
    <w:p w14:paraId="3C120269" w14:textId="77777777" w:rsidR="00512F8D" w:rsidRDefault="00000000">
      <w:pPr>
        <w:spacing w:before="140" w:after="60"/>
      </w:pPr>
      <w:r>
        <w:rPr>
          <w:b/>
          <w:bCs/>
          <w:color w:val="C0392B"/>
        </w:rPr>
        <w:t>Limitations of the P/E Method</w:t>
      </w:r>
    </w:p>
    <w:p w14:paraId="3C12026A" w14:textId="77777777" w:rsidR="00512F8D" w:rsidRDefault="00000000">
      <w:pPr>
        <w:pStyle w:val="ListParagraph"/>
        <w:numPr>
          <w:ilvl w:val="0"/>
          <w:numId w:val="2"/>
        </w:numPr>
        <w:spacing w:before="40" w:after="40"/>
      </w:pPr>
      <w:r>
        <w:rPr>
          <w:color w:val="1E293B"/>
        </w:rPr>
        <w:t>P/E is distorted when earnings are temporarily suppressed (as with Tata Motors)</w:t>
      </w:r>
    </w:p>
    <w:p w14:paraId="3C12026B" w14:textId="77777777" w:rsidR="00512F8D" w:rsidRDefault="00000000">
      <w:pPr>
        <w:pStyle w:val="ListParagraph"/>
        <w:numPr>
          <w:ilvl w:val="0"/>
          <w:numId w:val="2"/>
        </w:numPr>
        <w:spacing w:before="40" w:after="40"/>
      </w:pPr>
      <w:r>
        <w:rPr>
          <w:color w:val="1E293B"/>
        </w:rPr>
        <w:t>Peer group selection is subjective — different peers would yield a different industry average</w:t>
      </w:r>
    </w:p>
    <w:p w14:paraId="3C12026C" w14:textId="77777777" w:rsidR="00512F8D" w:rsidRDefault="00000000">
      <w:pPr>
        <w:pStyle w:val="ListParagraph"/>
        <w:numPr>
          <w:ilvl w:val="0"/>
          <w:numId w:val="2"/>
        </w:numPr>
        <w:spacing w:before="40" w:after="40"/>
      </w:pPr>
      <w:r>
        <w:rPr>
          <w:color w:val="1E293B"/>
        </w:rPr>
        <w:t>P/E does not account for differences in capital structure, growth rate, or balance sheet quality between companies</w:t>
      </w:r>
    </w:p>
    <w:p w14:paraId="3C12026D" w14:textId="77777777" w:rsidR="00512F8D" w:rsidRDefault="00000000">
      <w:pPr>
        <w:pStyle w:val="ListParagraph"/>
        <w:numPr>
          <w:ilvl w:val="0"/>
          <w:numId w:val="2"/>
        </w:numPr>
        <w:spacing w:before="40" w:after="40"/>
      </w:pPr>
      <w:r>
        <w:rPr>
          <w:color w:val="1E293B"/>
        </w:rPr>
        <w:t>A more robust analysis would weight peers by size or use EV/EBITDA to avoid earnings distortion</w:t>
      </w:r>
    </w:p>
    <w:p w14:paraId="3C12026E" w14:textId="77777777" w:rsidR="00512F8D" w:rsidRDefault="00512F8D">
      <w:pPr>
        <w:spacing w:before="40" w:after="40"/>
      </w:pPr>
    </w:p>
    <w:sectPr w:rsidR="00512F8D">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C99B1" w14:textId="77777777" w:rsidR="00F93BE9" w:rsidRDefault="00F93BE9">
      <w:r>
        <w:separator/>
      </w:r>
    </w:p>
  </w:endnote>
  <w:endnote w:type="continuationSeparator" w:id="0">
    <w:p w14:paraId="4C9D6766" w14:textId="77777777" w:rsidR="00F93BE9" w:rsidRDefault="00F93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0271" w14:textId="77777777" w:rsidR="00512F8D" w:rsidRDefault="00000000">
    <w:pPr>
      <w:pBdr>
        <w:top w:val="single" w:sz="4" w:space="4" w:color="CCCCCC"/>
      </w:pBdr>
    </w:pPr>
    <w:r>
      <w:rPr>
        <w:i/>
        <w:iCs/>
        <w:color w:val="555555"/>
        <w:sz w:val="16"/>
        <w:szCs w:val="16"/>
      </w:rPr>
      <w:t xml:space="preserve">Self-Initiated Research </w:t>
    </w:r>
    <w:proofErr w:type="gramStart"/>
    <w:r>
      <w:rPr>
        <w:i/>
        <w:iCs/>
        <w:color w:val="555555"/>
        <w:sz w:val="16"/>
        <w:szCs w:val="16"/>
      </w:rPr>
      <w:t>Project  |</w:t>
    </w:r>
    <w:proofErr w:type="gramEnd"/>
    <w:r>
      <w:rPr>
        <w:i/>
        <w:iCs/>
        <w:color w:val="555555"/>
        <w:sz w:val="16"/>
        <w:szCs w:val="16"/>
      </w:rPr>
      <w:t xml:space="preserve">  For Academic &amp; Learning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B22C5" w14:textId="77777777" w:rsidR="00F93BE9" w:rsidRDefault="00F93BE9">
      <w:r>
        <w:separator/>
      </w:r>
    </w:p>
  </w:footnote>
  <w:footnote w:type="continuationSeparator" w:id="0">
    <w:p w14:paraId="0941847E" w14:textId="77777777" w:rsidR="00F93BE9" w:rsidRDefault="00F93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0270" w14:textId="77777777" w:rsidR="00512F8D" w:rsidRDefault="00000000">
    <w:pPr>
      <w:pBdr>
        <w:bottom w:val="single" w:sz="4" w:space="4" w:color="CCCCCC"/>
      </w:pBdr>
    </w:pPr>
    <w:r>
      <w:rPr>
        <w:color w:val="555555"/>
        <w:sz w:val="18"/>
        <w:szCs w:val="18"/>
      </w:rPr>
      <w:t xml:space="preserve">Comparable Company Valuation — P/E </w:t>
    </w:r>
    <w:proofErr w:type="gramStart"/>
    <w:r>
      <w:rPr>
        <w:color w:val="555555"/>
        <w:sz w:val="18"/>
        <w:szCs w:val="18"/>
      </w:rPr>
      <w:t>Method  |</w:t>
    </w:r>
    <w:proofErr w:type="gramEnd"/>
    <w:r>
      <w:rPr>
        <w:color w:val="555555"/>
        <w:sz w:val="18"/>
        <w:szCs w:val="18"/>
      </w:rPr>
      <w:t xml:space="preserve">  Yash </w:t>
    </w:r>
    <w:proofErr w:type="gramStart"/>
    <w:r>
      <w:rPr>
        <w:color w:val="555555"/>
        <w:sz w:val="18"/>
        <w:szCs w:val="18"/>
      </w:rPr>
      <w:t>Bagul  |</w:t>
    </w:r>
    <w:proofErr w:type="gramEnd"/>
    <w:r>
      <w:rPr>
        <w:color w:val="555555"/>
        <w:sz w:val="18"/>
        <w:szCs w:val="18"/>
      </w:rPr>
      <w:t xml:space="preserve">  MBA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0E0D"/>
    <w:multiLevelType w:val="hybridMultilevel"/>
    <w:tmpl w:val="84A65BCA"/>
    <w:lvl w:ilvl="0" w:tplc="DE92325E">
      <w:start w:val="1"/>
      <w:numFmt w:val="bullet"/>
      <w:lvlText w:val="●"/>
      <w:lvlJc w:val="left"/>
      <w:pPr>
        <w:ind w:left="720" w:hanging="360"/>
      </w:pPr>
    </w:lvl>
    <w:lvl w:ilvl="1" w:tplc="869A3FD0">
      <w:start w:val="1"/>
      <w:numFmt w:val="bullet"/>
      <w:lvlText w:val="○"/>
      <w:lvlJc w:val="left"/>
      <w:pPr>
        <w:ind w:left="1440" w:hanging="360"/>
      </w:pPr>
    </w:lvl>
    <w:lvl w:ilvl="2" w:tplc="A3CE8D7E">
      <w:start w:val="1"/>
      <w:numFmt w:val="bullet"/>
      <w:lvlText w:val="■"/>
      <w:lvlJc w:val="left"/>
      <w:pPr>
        <w:ind w:left="2160" w:hanging="360"/>
      </w:pPr>
    </w:lvl>
    <w:lvl w:ilvl="3" w:tplc="C16CEC24">
      <w:start w:val="1"/>
      <w:numFmt w:val="bullet"/>
      <w:lvlText w:val="●"/>
      <w:lvlJc w:val="left"/>
      <w:pPr>
        <w:ind w:left="2880" w:hanging="360"/>
      </w:pPr>
    </w:lvl>
    <w:lvl w:ilvl="4" w:tplc="E0D02092">
      <w:start w:val="1"/>
      <w:numFmt w:val="bullet"/>
      <w:lvlText w:val="○"/>
      <w:lvlJc w:val="left"/>
      <w:pPr>
        <w:ind w:left="3600" w:hanging="360"/>
      </w:pPr>
    </w:lvl>
    <w:lvl w:ilvl="5" w:tplc="E6980A40">
      <w:start w:val="1"/>
      <w:numFmt w:val="bullet"/>
      <w:lvlText w:val="■"/>
      <w:lvlJc w:val="left"/>
      <w:pPr>
        <w:ind w:left="4320" w:hanging="360"/>
      </w:pPr>
    </w:lvl>
    <w:lvl w:ilvl="6" w:tplc="741A837C">
      <w:start w:val="1"/>
      <w:numFmt w:val="bullet"/>
      <w:lvlText w:val="●"/>
      <w:lvlJc w:val="left"/>
      <w:pPr>
        <w:ind w:left="5040" w:hanging="360"/>
      </w:pPr>
    </w:lvl>
    <w:lvl w:ilvl="7" w:tplc="BC9E9E88">
      <w:start w:val="1"/>
      <w:numFmt w:val="bullet"/>
      <w:lvlText w:val="●"/>
      <w:lvlJc w:val="left"/>
      <w:pPr>
        <w:ind w:left="5760" w:hanging="360"/>
      </w:pPr>
    </w:lvl>
    <w:lvl w:ilvl="8" w:tplc="64408778">
      <w:start w:val="1"/>
      <w:numFmt w:val="bullet"/>
      <w:lvlText w:val="●"/>
      <w:lvlJc w:val="left"/>
      <w:pPr>
        <w:ind w:left="6480" w:hanging="360"/>
      </w:pPr>
    </w:lvl>
  </w:abstractNum>
  <w:abstractNum w:abstractNumId="1" w15:restartNumberingAfterBreak="0">
    <w:nsid w:val="44261EF5"/>
    <w:multiLevelType w:val="hybridMultilevel"/>
    <w:tmpl w:val="8FE27A84"/>
    <w:lvl w:ilvl="0" w:tplc="819A5B64">
      <w:start w:val="1"/>
      <w:numFmt w:val="bullet"/>
      <w:lvlText w:val="•"/>
      <w:lvlJc w:val="left"/>
      <w:pPr>
        <w:ind w:left="720" w:hanging="360"/>
      </w:pPr>
    </w:lvl>
    <w:lvl w:ilvl="1" w:tplc="9B6AB7C4">
      <w:numFmt w:val="decimal"/>
      <w:lvlText w:val=""/>
      <w:lvlJc w:val="left"/>
    </w:lvl>
    <w:lvl w:ilvl="2" w:tplc="86E0A428">
      <w:numFmt w:val="decimal"/>
      <w:lvlText w:val=""/>
      <w:lvlJc w:val="left"/>
    </w:lvl>
    <w:lvl w:ilvl="3" w:tplc="45D0C708">
      <w:numFmt w:val="decimal"/>
      <w:lvlText w:val=""/>
      <w:lvlJc w:val="left"/>
    </w:lvl>
    <w:lvl w:ilvl="4" w:tplc="1AF690DA">
      <w:numFmt w:val="decimal"/>
      <w:lvlText w:val=""/>
      <w:lvlJc w:val="left"/>
    </w:lvl>
    <w:lvl w:ilvl="5" w:tplc="8C9E2B8A">
      <w:numFmt w:val="decimal"/>
      <w:lvlText w:val=""/>
      <w:lvlJc w:val="left"/>
    </w:lvl>
    <w:lvl w:ilvl="6" w:tplc="BE8C7944">
      <w:numFmt w:val="decimal"/>
      <w:lvlText w:val=""/>
      <w:lvlJc w:val="left"/>
    </w:lvl>
    <w:lvl w:ilvl="7" w:tplc="9E268560">
      <w:numFmt w:val="decimal"/>
      <w:lvlText w:val=""/>
      <w:lvlJc w:val="left"/>
    </w:lvl>
    <w:lvl w:ilvl="8" w:tplc="5A3284B2">
      <w:numFmt w:val="decimal"/>
      <w:lvlText w:val=""/>
      <w:lvlJc w:val="left"/>
    </w:lvl>
  </w:abstractNum>
  <w:num w:numId="1" w16cid:durableId="1594633038">
    <w:abstractNumId w:val="0"/>
    <w:lvlOverride w:ilvl="0">
      <w:startOverride w:val="1"/>
    </w:lvlOverride>
  </w:num>
  <w:num w:numId="2" w16cid:durableId="349332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F8D"/>
    <w:rsid w:val="00486371"/>
    <w:rsid w:val="00500C26"/>
    <w:rsid w:val="00512F8D"/>
    <w:rsid w:val="00912082"/>
    <w:rsid w:val="00A96431"/>
    <w:rsid w:val="00F93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020C"/>
  <w15:docId w15:val="{C49EEB6A-6CD2-4FFD-856C-0F9542C3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Bagul</cp:lastModifiedBy>
  <cp:revision>4</cp:revision>
  <cp:lastPrinted>2026-03-11T20:40:00Z</cp:lastPrinted>
  <dcterms:created xsi:type="dcterms:W3CDTF">2026-03-11T20:27:00Z</dcterms:created>
  <dcterms:modified xsi:type="dcterms:W3CDTF">2026-03-11T20:45:00Z</dcterms:modified>
</cp:coreProperties>
</file>