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242524"/>
          </w:tcPr>
          <w:p>
            <w:pPr>
              <w:jc w:val="center"/>
            </w:pPr>
            <w:r>
              <w:rPr>
                <w:sz w:val="8"/>
              </w:rPr>
              <w:t xml:space="preserve"> </w:t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256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Calibri" w:hAnsi="Calibri"/>
          <w:b/>
          <w:color w:val="242524"/>
          <w:sz w:val="72"/>
        </w:rPr>
        <w:t>Aravanta Cloud OS</w:t>
      </w:r>
    </w:p>
    <w:p>
      <w:pPr>
        <w:jc w:val="center"/>
      </w:pPr>
      <w:r>
        <w:rPr>
          <w:rFonts w:ascii="Calibri" w:hAnsi="Calibri"/>
          <w:color w:val="B98B3B"/>
          <w:sz w:val="36"/>
        </w:rPr>
        <w:t>Product Overview, Vision &amp; Strategy</w:t>
      </w:r>
    </w:p>
    <w:p>
      <w:pPr>
        <w:jc w:val="center"/>
      </w:pPr>
      <w:r>
        <w:rPr>
          <w:i/>
          <w:color w:val="475569"/>
          <w:sz w:val="26"/>
        </w:rPr>
        <w:t>A product by Aravanta Tech</w:t>
      </w:r>
    </w:p>
    <w:p/>
    <w:p/>
    <w:p>
      <w:pPr>
        <w:jc w:val="center"/>
      </w:pPr>
      <w:r>
        <w:rPr>
          <w:color w:val="B98B3B"/>
          <w:sz w:val="12"/>
        </w:rPr>
        <w:t>____________________________________________________________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BF7EE"/>
          </w:tcPr>
          <w:p>
            <w:pPr>
              <w:jc w:val="right"/>
            </w:pPr>
            <w:r>
              <w:rPr>
                <w:rFonts w:ascii="Calibri" w:hAnsi="Calibri"/>
                <w:b/>
                <w:color w:val="B98B3B"/>
                <w:sz w:val="20"/>
              </w:rPr>
              <w:t>Document Version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color w:val="242524"/>
                <w:sz w:val="20"/>
              </w:rPr>
              <w:t>v1.0 GA</w:t>
            </w:r>
          </w:p>
        </w:tc>
      </w:tr>
      <w:tr>
        <w:tc>
          <w:tcPr>
            <w:tcW w:type="dxa" w:w="4680"/>
            <w:shd w:fill="FBF7EE"/>
          </w:tcPr>
          <w:p>
            <w:pPr>
              <w:jc w:val="right"/>
            </w:pPr>
            <w:r>
              <w:rPr>
                <w:rFonts w:ascii="Calibri" w:hAnsi="Calibri"/>
                <w:b/>
                <w:color w:val="B98B3B"/>
                <w:sz w:val="20"/>
              </w:rPr>
              <w:t>Date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color w:val="242524"/>
                <w:sz w:val="20"/>
              </w:rPr>
              <w:t>September 11, 2026</w:t>
            </w:r>
          </w:p>
        </w:tc>
      </w:tr>
      <w:tr>
        <w:tc>
          <w:tcPr>
            <w:tcW w:type="dxa" w:w="4680"/>
            <w:shd w:fill="FBF7EE"/>
          </w:tcPr>
          <w:p>
            <w:pPr>
              <w:jc w:val="right"/>
            </w:pPr>
            <w:r>
              <w:rPr>
                <w:rFonts w:ascii="Calibri" w:hAnsi="Calibri"/>
                <w:b/>
                <w:color w:val="B98B3B"/>
                <w:sz w:val="20"/>
              </w:rPr>
              <w:t>Classification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color w:val="242524"/>
                <w:sz w:val="20"/>
              </w:rPr>
              <w:t>Internal / Investor Use</w:t>
            </w:r>
          </w:p>
        </w:tc>
      </w:tr>
      <w:tr>
        <w:tc>
          <w:tcPr>
            <w:tcW w:type="dxa" w:w="4680"/>
            <w:shd w:fill="FBF7EE"/>
          </w:tcPr>
          <w:p>
            <w:pPr>
              <w:jc w:val="right"/>
            </w:pPr>
            <w:r>
              <w:rPr>
                <w:rFonts w:ascii="Calibri" w:hAnsi="Calibri"/>
                <w:b/>
                <w:color w:val="B98B3B"/>
                <w:sz w:val="20"/>
              </w:rPr>
              <w:t>Prepared By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color w:val="242524"/>
                <w:sz w:val="20"/>
              </w:rPr>
              <w:t>Aravanta Tech - Product &amp; Strategy</w:t>
            </w:r>
          </w:p>
        </w:tc>
      </w:tr>
    </w:tbl>
    <w:p>
      <w:r>
        <w:br w:type="page"/>
      </w:r>
    </w:p>
    <w:p>
      <w:pPr>
        <w:spacing w:before="120" w:after="120"/>
      </w:pPr>
      <w:r>
        <w:rPr>
          <w:color w:val="B98B3B"/>
          <w:sz w:val="8"/>
        </w:rPr>
        <w:t>_____________________________________________________________________________________</w:t>
      </w:r>
    </w:p>
    <w:p>
      <w:pPr>
        <w:pStyle w:val="Heading1"/>
      </w:pPr>
      <w:r>
        <w:rPr>
          <w:color w:val="242524"/>
        </w:rPr>
        <w:t>Table of Contents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FFFFF"/>
          </w:tcPr>
          <w:p>
            <w:r>
              <w:rPr>
                <w:rFonts w:ascii="Calibri" w:hAnsi="Calibri"/>
                <w:b/>
                <w:color w:val="B98B3B"/>
                <w:sz w:val="22"/>
              </w:rPr>
              <w:t>1.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22"/>
              </w:rPr>
              <w:t>Executive Summary</w:t>
            </w:r>
          </w:p>
        </w:tc>
        <w:tc>
          <w:tcPr>
            <w:tcW w:type="dxa" w:w="3120"/>
            <w:shd w:fill="FFFFFF"/>
          </w:tcPr>
          <w:p>
            <w:pPr>
              <w:jc w:val="right"/>
            </w:pPr>
            <w:r>
              <w:rPr>
                <w:rFonts w:ascii="Calibri" w:hAnsi="Calibri"/>
                <w:color w:val="94A3B8"/>
                <w:sz w:val="22"/>
              </w:rPr>
              <w:t>3</w:t>
            </w:r>
          </w:p>
        </w:tc>
      </w:tr>
      <w:tr>
        <w:tc>
          <w:tcPr>
            <w:tcW w:type="dxa" w:w="3120"/>
            <w:shd w:fill="FBF7EE"/>
          </w:tcPr>
          <w:p>
            <w:r>
              <w:rPr>
                <w:rFonts w:ascii="Calibri" w:hAnsi="Calibri"/>
                <w:b/>
                <w:color w:val="B98B3B"/>
                <w:sz w:val="22"/>
              </w:rPr>
              <w:t>2.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22"/>
              </w:rPr>
              <w:t>About Aravanta Tech (Parent Company)</w:t>
            </w:r>
          </w:p>
        </w:tc>
        <w:tc>
          <w:tcPr>
            <w:tcW w:type="dxa" w:w="3120"/>
            <w:shd w:fill="FBF7EE"/>
          </w:tcPr>
          <w:p>
            <w:pPr>
              <w:jc w:val="right"/>
            </w:pPr>
            <w:r>
              <w:rPr>
                <w:rFonts w:ascii="Calibri" w:hAnsi="Calibri"/>
                <w:color w:val="94A3B8"/>
                <w:sz w:val="22"/>
              </w:rPr>
              <w:t>4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Calibri" w:hAnsi="Calibri"/>
                <w:b/>
                <w:color w:val="B98B3B"/>
                <w:sz w:val="22"/>
              </w:rPr>
              <w:t>3.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22"/>
              </w:rPr>
              <w:t>Why Aravanta Cloud OS</w:t>
            </w:r>
          </w:p>
        </w:tc>
        <w:tc>
          <w:tcPr>
            <w:tcW w:type="dxa" w:w="3120"/>
            <w:shd w:fill="FFFFFF"/>
          </w:tcPr>
          <w:p>
            <w:pPr>
              <w:jc w:val="right"/>
            </w:pPr>
            <w:r>
              <w:rPr>
                <w:rFonts w:ascii="Calibri" w:hAnsi="Calibri"/>
                <w:color w:val="94A3B8"/>
                <w:sz w:val="22"/>
              </w:rPr>
              <w:t>5</w:t>
            </w:r>
          </w:p>
        </w:tc>
      </w:tr>
      <w:tr>
        <w:tc>
          <w:tcPr>
            <w:tcW w:type="dxa" w:w="3120"/>
            <w:shd w:fill="FBF7EE"/>
          </w:tcPr>
          <w:p>
            <w:r>
              <w:rPr>
                <w:rFonts w:ascii="Calibri" w:hAnsi="Calibri"/>
                <w:b/>
                <w:color w:val="B98B3B"/>
                <w:sz w:val="22"/>
              </w:rPr>
              <w:t>4.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22"/>
              </w:rPr>
              <w:t>Unique Services &amp; Differentiators</w:t>
            </w:r>
          </w:p>
        </w:tc>
        <w:tc>
          <w:tcPr>
            <w:tcW w:type="dxa" w:w="3120"/>
            <w:shd w:fill="FBF7EE"/>
          </w:tcPr>
          <w:p>
            <w:pPr>
              <w:jc w:val="right"/>
            </w:pPr>
            <w:r>
              <w:rPr>
                <w:rFonts w:ascii="Calibri" w:hAnsi="Calibri"/>
                <w:color w:val="94A3B8"/>
                <w:sz w:val="22"/>
              </w:rPr>
              <w:t>6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Calibri" w:hAnsi="Calibri"/>
                <w:b/>
                <w:color w:val="B98B3B"/>
                <w:sz w:val="22"/>
              </w:rPr>
              <w:t>5.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22"/>
              </w:rPr>
              <w:t>Market Gap Analysis</w:t>
            </w:r>
          </w:p>
        </w:tc>
        <w:tc>
          <w:tcPr>
            <w:tcW w:type="dxa" w:w="3120"/>
            <w:shd w:fill="FFFFFF"/>
          </w:tcPr>
          <w:p>
            <w:pPr>
              <w:jc w:val="right"/>
            </w:pPr>
            <w:r>
              <w:rPr>
                <w:rFonts w:ascii="Calibri" w:hAnsi="Calibri"/>
                <w:color w:val="94A3B8"/>
                <w:sz w:val="22"/>
              </w:rPr>
              <w:t>8</w:t>
            </w:r>
          </w:p>
        </w:tc>
      </w:tr>
      <w:tr>
        <w:tc>
          <w:tcPr>
            <w:tcW w:type="dxa" w:w="3120"/>
            <w:shd w:fill="FBF7EE"/>
          </w:tcPr>
          <w:p>
            <w:r>
              <w:rPr>
                <w:rFonts w:ascii="Calibri" w:hAnsi="Calibri"/>
                <w:b/>
                <w:color w:val="B98B3B"/>
                <w:sz w:val="22"/>
              </w:rPr>
              <w:t>6.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22"/>
              </w:rPr>
              <w:t>Vision</w:t>
            </w:r>
          </w:p>
        </w:tc>
        <w:tc>
          <w:tcPr>
            <w:tcW w:type="dxa" w:w="3120"/>
            <w:shd w:fill="FBF7EE"/>
          </w:tcPr>
          <w:p>
            <w:pPr>
              <w:jc w:val="right"/>
            </w:pPr>
            <w:r>
              <w:rPr>
                <w:rFonts w:ascii="Calibri" w:hAnsi="Calibri"/>
                <w:color w:val="94A3B8"/>
                <w:sz w:val="22"/>
              </w:rPr>
              <w:t>9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Calibri" w:hAnsi="Calibri"/>
                <w:b/>
                <w:color w:val="B98B3B"/>
                <w:sz w:val="22"/>
              </w:rPr>
              <w:t>7.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22"/>
              </w:rPr>
              <w:t>Mission</w:t>
            </w:r>
          </w:p>
        </w:tc>
        <w:tc>
          <w:tcPr>
            <w:tcW w:type="dxa" w:w="3120"/>
            <w:shd w:fill="FFFFFF"/>
          </w:tcPr>
          <w:p>
            <w:pPr>
              <w:jc w:val="right"/>
            </w:pPr>
            <w:r>
              <w:rPr>
                <w:rFonts w:ascii="Calibri" w:hAnsi="Calibri"/>
                <w:color w:val="94A3B8"/>
                <w:sz w:val="22"/>
              </w:rPr>
              <w:t>10</w:t>
            </w:r>
          </w:p>
        </w:tc>
      </w:tr>
      <w:tr>
        <w:tc>
          <w:tcPr>
            <w:tcW w:type="dxa" w:w="3120"/>
            <w:shd w:fill="FBF7EE"/>
          </w:tcPr>
          <w:p>
            <w:r>
              <w:rPr>
                <w:rFonts w:ascii="Calibri" w:hAnsi="Calibri"/>
                <w:b/>
                <w:color w:val="B98B3B"/>
                <w:sz w:val="22"/>
              </w:rPr>
              <w:t>8.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22"/>
              </w:rPr>
              <w:t>Product Architecture Overview</w:t>
            </w:r>
          </w:p>
        </w:tc>
        <w:tc>
          <w:tcPr>
            <w:tcW w:type="dxa" w:w="3120"/>
            <w:shd w:fill="FBF7EE"/>
          </w:tcPr>
          <w:p>
            <w:pPr>
              <w:jc w:val="right"/>
            </w:pPr>
            <w:r>
              <w:rPr>
                <w:rFonts w:ascii="Calibri" w:hAnsi="Calibri"/>
                <w:color w:val="94A3B8"/>
                <w:sz w:val="22"/>
              </w:rPr>
              <w:t>11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Calibri" w:hAnsi="Calibri"/>
                <w:b/>
                <w:color w:val="B98B3B"/>
                <w:sz w:val="22"/>
              </w:rPr>
              <w:t>9.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22"/>
              </w:rPr>
              <w:t>Roadmap &amp; Next Steps</w:t>
            </w:r>
          </w:p>
        </w:tc>
        <w:tc>
          <w:tcPr>
            <w:tcW w:type="dxa" w:w="3120"/>
            <w:shd w:fill="FFFFFF"/>
          </w:tcPr>
          <w:p>
            <w:pPr>
              <w:jc w:val="right"/>
            </w:pPr>
            <w:r>
              <w:rPr>
                <w:rFonts w:ascii="Calibri" w:hAnsi="Calibri"/>
                <w:color w:val="94A3B8"/>
                <w:sz w:val="22"/>
              </w:rPr>
              <w:t>12</w:t>
            </w:r>
          </w:p>
        </w:tc>
      </w:tr>
      <w:tr>
        <w:tc>
          <w:tcPr>
            <w:tcW w:type="dxa" w:w="3120"/>
            <w:shd w:fill="FBF7EE"/>
          </w:tcPr>
          <w:p>
            <w:r>
              <w:rPr>
                <w:rFonts w:ascii="Calibri" w:hAnsi="Calibri"/>
                <w:b/>
                <w:color w:val="B98B3B"/>
                <w:sz w:val="22"/>
              </w:rPr>
              <w:t>10.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22"/>
              </w:rPr>
              <w:t>Why Invest / Why Partner</w:t>
            </w:r>
          </w:p>
        </w:tc>
        <w:tc>
          <w:tcPr>
            <w:tcW w:type="dxa" w:w="3120"/>
            <w:shd w:fill="FBF7EE"/>
          </w:tcPr>
          <w:p>
            <w:pPr>
              <w:jc w:val="right"/>
            </w:pPr>
            <w:r>
              <w:rPr>
                <w:rFonts w:ascii="Calibri" w:hAnsi="Calibri"/>
                <w:color w:val="94A3B8"/>
                <w:sz w:val="22"/>
              </w:rPr>
              <w:t>13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Calibri" w:hAnsi="Calibri"/>
                <w:b/>
                <w:color w:val="B98B3B"/>
                <w:sz w:val="22"/>
              </w:rPr>
              <w:t>11.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22"/>
              </w:rPr>
              <w:t>Appendix</w:t>
            </w:r>
          </w:p>
        </w:tc>
        <w:tc>
          <w:tcPr>
            <w:tcW w:type="dxa" w:w="3120"/>
            <w:shd w:fill="FFFFFF"/>
          </w:tcPr>
          <w:p>
            <w:pPr>
              <w:jc w:val="right"/>
            </w:pPr>
            <w:r>
              <w:rPr>
                <w:rFonts w:ascii="Calibri" w:hAnsi="Calibri"/>
                <w:color w:val="94A3B8"/>
                <w:sz w:val="22"/>
              </w:rPr>
              <w:t>14</w:t>
            </w:r>
          </w:p>
        </w:tc>
      </w:tr>
    </w:tbl>
    <w:p>
      <w:pPr>
        <w:spacing w:before="200"/>
      </w:pPr>
      <w:r>
        <w:rPr>
          <w:i/>
          <w:color w:val="94A3B8"/>
          <w:sz w:val="17"/>
        </w:rPr>
        <w:t>Note: Page numbers are approximate. Please update the Table of Contents field after opening in Microsoft Word (right-click &gt; Update Field).</w:t>
      </w:r>
    </w:p>
    <w:p>
      <w:r>
        <w:br w:type="page"/>
      </w:r>
    </w:p>
    <w:p>
      <w:pPr>
        <w:spacing w:before="120" w:after="120"/>
      </w:pPr>
      <w:r>
        <w:rPr>
          <w:color w:val="B98B3B"/>
          <w:sz w:val="8"/>
        </w:rPr>
        <w:t>_____________________________________________________________________________________</w:t>
      </w:r>
    </w:p>
    <w:p>
      <w:pPr>
        <w:pStyle w:val="Heading1"/>
      </w:pPr>
      <w:r>
        <w:rPr>
          <w:color w:val="242524"/>
        </w:rPr>
        <w:t>Executive Summary</w:t>
      </w:r>
    </w:p>
    <w:p>
      <w:pPr>
        <w:spacing w:after="160"/>
      </w:pPr>
      <w:r>
        <w:rPr>
          <w:rFonts w:ascii="Calibri" w:hAnsi="Calibri"/>
          <w:sz w:val="22"/>
        </w:rPr>
        <w:t>Aravanta Cloud OS is a unified, Kubernetes-native multi-cloud operating system built by Aravanta Tech to eliminate the fragmentation, vendor lock-in, and operational complexity that define today's cloud infrastructure landscape.</w:t>
      </w:r>
    </w:p>
    <w:p>
      <w:pPr>
        <w:spacing w:after="160"/>
      </w:pPr>
      <w:r>
        <w:rPr>
          <w:rFonts w:ascii="Calibri" w:hAnsi="Calibri"/>
          <w:sz w:val="22"/>
        </w:rPr>
        <w:t>Modern engineering teams are forced to juggle 15+ disconnected dashboards, proprietary APIs, and siloed observability tools across hyperscaler platforms. The result: spiraling costs, security blind spots, and an estimated 70% of engineering time wasted on infrastructure plumbing rather than product innovation.</w:t>
      </w:r>
    </w:p>
    <w:p>
      <w:pPr>
        <w:spacing w:after="160"/>
      </w:pPr>
      <w:r>
        <w:rPr>
          <w:rFonts w:ascii="Calibri" w:hAnsi="Calibri"/>
          <w:sz w:val="22"/>
        </w:rPr>
        <w:t>Aravanta Cloud OS solves this by providing a single, unified control plane that abstracts and orchestrates compute instances, Kubernetes clusters, managed databases, S3-compatible object storage, GitOps CI/CD pipelines, and real-time observability -- across Amazon Web Services, Google Cloud Platform, Microsoft Azure, and bare-metal on-premise infrastructure.</w:t>
      </w:r>
    </w:p>
    <w:p>
      <w:pPr>
        <w:spacing w:after="160"/>
      </w:pPr>
      <w:r>
        <w:rPr>
          <w:rFonts w:ascii="Calibri" w:hAnsi="Calibri"/>
          <w:sz w:val="22"/>
        </w:rPr>
        <w:t>The platform delivers sub-10ms eBPF-powered telemetry streaming, automated canary deployment gates with 1.2-second rollback, 4-tier zero-trust RBAC with TOTP multi-factor authentication, and predictable per-second billing in both INR and USD. Every action is recorded in an immutable 365-day audit trail, ensuring SOC 2 Type II and DPDPA 2023 compliance out of the box.</w:t>
      </w:r>
    </w:p>
    <w:p>
      <w:pPr>
        <w:spacing w:after="160"/>
      </w:pPr>
      <w:r>
        <w:rPr>
          <w:rFonts w:ascii="Calibri" w:hAnsi="Calibri"/>
          <w:sz w:val="22"/>
        </w:rPr>
        <w:t>With its v1.0 General Availability release, Aravanta Cloud OS serves cloud-native engineering teams, DevOps/SRE organizations, regulated enterprises, and government bodies across 4 production regions (Mumbai, Chennai, Singapore, Frankfurt). The platform's open-standards-first architecture (upstream CNCF Kubernetes, OpenTelemetry, Prometheus, Terraform) guarantees true zero vendor lock-in -- engineers retain full portability of their workloads at all times.</w:t>
      </w:r>
    </w:p>
    <w:p>
      <w:pPr>
        <w:spacing w:after="160"/>
      </w:pPr>
      <w:r>
        <w:rPr>
          <w:rFonts w:ascii="Calibri" w:hAnsi="Calibri"/>
          <w:sz w:val="22"/>
        </w:rPr>
        <w:t>Aravanta Cloud OS is not just another cloud dashboard. It is the operating system layer that the multi-cloud era has been missing.</w:t>
      </w:r>
    </w:p>
    <w:p>
      <w:r>
        <w:br w:type="page"/>
      </w:r>
    </w:p>
    <w:p>
      <w:pPr>
        <w:spacing w:before="120" w:after="120"/>
      </w:pPr>
      <w:r>
        <w:rPr>
          <w:color w:val="B98B3B"/>
          <w:sz w:val="8"/>
        </w:rPr>
        <w:t>_____________________________________________________________________________________</w:t>
      </w:r>
    </w:p>
    <w:p>
      <w:pPr>
        <w:pStyle w:val="Heading1"/>
      </w:pPr>
      <w:r>
        <w:rPr>
          <w:color w:val="242524"/>
        </w:rPr>
        <w:t>About Aravanta Tech</w:t>
      </w:r>
    </w:p>
    <w:p>
      <w:pPr>
        <w:pStyle w:val="Heading2"/>
      </w:pPr>
      <w:r>
        <w:t>Company Background</w:t>
      </w:r>
    </w:p>
    <w:p>
      <w:pPr>
        <w:spacing w:after="160"/>
      </w:pPr>
      <w:r>
        <w:t>Aravanta Tech is a deep-tech infrastructure company founded by ex-hyperscaler engineers who have collectively built, scaled, and operated cloud platforms serving millions of production workloads across AWS, Google Cloud, and Microsoft Azure.</w:t>
      </w:r>
    </w:p>
    <w:p>
      <w:pPr>
        <w:spacing w:after="160"/>
      </w:pPr>
      <w:r>
        <w:t>The founding thesis emerged from a shared conviction: the cloud industry's dominant paradigm -- walled-garden hyperscaler consoles with proprietary APIs and aggressive lock-in pricing -- is fundamentally misaligned with the needs of modern engineering teams. Developers deserve an open, unified operating system that respects their autonomy, eliminates context-switching overhead, and delivers enterprise-grade reliability without the enterprise-grade complexity tax.</w:t>
      </w:r>
    </w:p>
    <w:p>
      <w:pPr>
        <w:spacing w:after="160"/>
      </w:pPr>
      <w:r>
        <w:t>Headquartered in Bengaluru, India, Aravanta Tech operates with an engineer-first culture that prioritizes open-source contribution, transparent SLAs, and a principled refusal to build proprietary lock-in into any product surface.</w:t>
      </w:r>
    </w:p>
    <w:p>
      <w:pPr>
        <w:pStyle w:val="Heading2"/>
      </w:pPr>
      <w:r>
        <w:t>Core Belief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BF7EE"/>
            <w:tcBorders>
              <w:top w:val="single" w:sz="12" w:space="0" w:color="B98B3B"/>
              <w:bottom w:val="single" w:sz="12" w:space="0" w:color="B98B3B"/>
              <w:left w:val="single" w:sz="24" w:space="0" w:color="B98B3B"/>
              <w:right w:val="single" w:sz="4" w:space="0" w:color="B98B3B"/>
            </w:tcBorders>
          </w:tcPr>
          <w:p>
            <w:pPr>
              <w:spacing w:before="160" w:after="160"/>
              <w:jc w:val="left"/>
            </w:pPr>
            <w:r>
              <w:rPr>
                <w:rFonts w:ascii="Calibri" w:hAnsi="Calibri"/>
                <w:i/>
                <w:color w:val="242524"/>
                <w:sz w:val="24"/>
              </w:rPr>
              <w:t>"Infrastructure should be invisible. Engineers should spend their time building products that matter, not wrestling with cloud plumbing, IAM sprawl, and billing surprises. We believe the operating system for multi-cloud infrastructure must be open, unified, and relentlessly simple."</w:t>
            </w:r>
          </w:p>
        </w:tc>
      </w:tr>
    </w:tbl>
    <w:p/>
    <w:p>
      <w:pPr>
        <w:pStyle w:val="Heading2"/>
      </w:pPr>
      <w:r>
        <w:t>Leadership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312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Title</w:t>
            </w:r>
          </w:p>
        </w:tc>
        <w:tc>
          <w:tcPr>
            <w:tcW w:type="dxa" w:w="312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Background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[Founder Name]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CEO &amp; Co-Founder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Ex-Principal Engineer, AWS / Google Cloud Infrastructure</w:t>
            </w:r>
          </w:p>
        </w:tc>
      </w:tr>
      <w:tr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[Co-Founder Name]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CTO &amp; Co-Founder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Ex-Staff SRE, Kubernetes Core Contributor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[Name]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VP Engineering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15+ years distributed systems, ex-Azure Compute</w:t>
            </w:r>
          </w:p>
        </w:tc>
      </w:tr>
      <w:tr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[Name]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Head of Product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Enterprise SaaS product leadership, ex-Datadog</w:t>
            </w:r>
          </w:p>
        </w:tc>
      </w:tr>
    </w:tbl>
    <w:p/>
    <w:p>
      <w:r>
        <w:br w:type="page"/>
      </w:r>
    </w:p>
    <w:p>
      <w:pPr>
        <w:spacing w:before="120" w:after="120"/>
      </w:pPr>
      <w:r>
        <w:rPr>
          <w:color w:val="B98B3B"/>
          <w:sz w:val="8"/>
        </w:rPr>
        <w:t>_____________________________________________________________________________________</w:t>
      </w:r>
    </w:p>
    <w:p>
      <w:pPr>
        <w:pStyle w:val="Heading1"/>
      </w:pPr>
      <w:r>
        <w:rPr>
          <w:color w:val="242524"/>
        </w:rPr>
        <w:t>Why Aravanta Cloud OS</w:t>
      </w:r>
    </w:p>
    <w:p>
      <w:pPr>
        <w:pStyle w:val="Heading2"/>
      </w:pPr>
      <w:r>
        <w:t>The Problem Statement</w:t>
      </w:r>
    </w:p>
    <w:p>
      <w:pPr>
        <w:pStyle w:val="ListBullet"/>
        <w:spacing w:after="80"/>
      </w:pPr>
      <w:r>
        <w:t>Fragmented Toolchain: Teams operate 15+ disconnected consoles (AWS Console, GCP Console, Terraform, Datadog, PagerDuty, ArgoCD, Vault, etc.) with no unified view.</w:t>
      </w:r>
    </w:p>
    <w:p>
      <w:pPr>
        <w:pStyle w:val="ListBullet"/>
        <w:spacing w:after="80"/>
      </w:pPr>
      <w:r>
        <w:t>Vendor Lock-In: Proprietary APIs and data formats create massive migration costs and strategic dependency on a single hyperscaler.</w:t>
      </w:r>
    </w:p>
    <w:p>
      <w:pPr>
        <w:pStyle w:val="ListBullet"/>
        <w:spacing w:after="80"/>
      </w:pPr>
      <w:r>
        <w:t>Cost Opacity: Complex, opaque billing structures with hidden egress fees, cross-AZ transfer charges, and reserved instance accounting.</w:t>
      </w:r>
    </w:p>
    <w:p>
      <w:pPr>
        <w:pStyle w:val="ListBullet"/>
        <w:spacing w:after="80"/>
      </w:pPr>
      <w:r>
        <w:t>Security Sprawl: Disconnected IAM systems, inconsistent RBAC policies, and fragmented audit trails across cloud accounts.</w:t>
      </w:r>
    </w:p>
    <w:p>
      <w:pPr>
        <w:pStyle w:val="ListBullet"/>
        <w:spacing w:after="80"/>
      </w:pPr>
      <w:r>
        <w:t>Observability Silos: Metrics, logs, and traces scattered across vendor-specific tools with no correlated incident timeline.</w:t>
      </w:r>
    </w:p>
    <w:p>
      <w:pPr>
        <w:pStyle w:val="ListBullet"/>
        <w:spacing w:after="80"/>
      </w:pPr>
      <w:r>
        <w:t>Engineering Productivity Loss: Surveys indicate 60-70% of platform engineering time is spent on integration glue code and operational toil, not product development.</w:t>
      </w:r>
    </w:p>
    <w:p>
      <w:pPr>
        <w:pStyle w:val="Heading2"/>
      </w:pPr>
      <w:r>
        <w:t>Problem-to-Solution Transformation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060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_sol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6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120"/>
      </w:pPr>
      <w:r>
        <w:rPr>
          <w:color w:val="B98B3B"/>
          <w:sz w:val="8"/>
        </w:rPr>
        <w:t>_____________________________________________________________________________________</w:t>
      </w:r>
    </w:p>
    <w:p>
      <w:pPr>
        <w:pStyle w:val="Heading1"/>
      </w:pPr>
      <w:r>
        <w:rPr>
          <w:color w:val="242524"/>
        </w:rPr>
        <w:t>Unique Services &amp; Differentiators</w:t>
      </w:r>
    </w:p>
    <w:p>
      <w:pPr>
        <w:pStyle w:val="Heading2"/>
      </w:pPr>
      <w:r>
        <w:t>Core Platform 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Service Module</w:t>
            </w:r>
          </w:p>
        </w:tc>
        <w:tc>
          <w:tcPr>
            <w:tcW w:type="dxa" w:w="312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2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Key Differentiator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ArvCompute Engine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Elastic high-performance VMs with NVMe SSD block storage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Live resize without downtime, per-second billing</w:t>
            </w:r>
          </w:p>
        </w:tc>
      </w:tr>
      <w:tr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ArvKube Orchestrator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Managed Kubernetes 1.27-1.30 clusters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Auto-draining, HPA, multi-tenant namespace isolation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ArvStore Fabric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Distributed S3-compatible object storage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AES-256 encryption, lifecycle policies, data residency controls</w:t>
            </w:r>
          </w:p>
        </w:tc>
      </w:tr>
      <w:tr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ArvDB Cluster Manager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Managed Postgres, Redis, MySQL engines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Automated PITR backups, Patroni HA failover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GitOps Delivery Engine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Automated CI/CD with canary deployment gates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25% canary traffic gating, 1.2s instant rollback</w:t>
            </w:r>
          </w:p>
        </w:tc>
      </w:tr>
      <w:tr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Observability Hub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eBPF-powered telemetry and tracing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Sub-10ms metrics latency, Prometheus + Loki native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War-Room Console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SRE incident command center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Commander assignment, timeline recording, RCA generation</w:t>
            </w:r>
          </w:p>
        </w:tc>
      </w:tr>
      <w:tr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Security &amp; RBAC Vault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Zero-trust identity and access management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4-tier RBAC matrix, TOTP MFA, 365-day immutable audit trails</w:t>
            </w:r>
          </w:p>
        </w:tc>
      </w:tr>
    </w:tbl>
    <w:p/>
    <w:p>
      <w:pPr>
        <w:pStyle w:val="Heading2"/>
      </w:pPr>
      <w:r>
        <w:t>Competitive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Capability</w:t>
            </w:r>
          </w:p>
        </w:tc>
        <w:tc>
          <w:tcPr>
            <w:tcW w:type="dxa" w:w="234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Aravanta Cloud OS</w:t>
            </w:r>
          </w:p>
        </w:tc>
        <w:tc>
          <w:tcPr>
            <w:tcW w:type="dxa" w:w="234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AWS / Azure / GCP Native</w:t>
            </w:r>
          </w:p>
        </w:tc>
        <w:tc>
          <w:tcPr>
            <w:tcW w:type="dxa" w:w="234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DIY Open Source Stack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Unified Multi-Cloud Dashboard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Yes (Single Pane)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No (Per-Cloud Only)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Manual Integration</w:t>
            </w:r>
          </w:p>
        </w:tc>
      </w:tr>
      <w:tr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Per-Second Billing (INR + USD)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Native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Hourly/Monthly Only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N/A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Sub-10ms eBPF Observability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Built-In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3rd Party Required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Complex Setup</w:t>
            </w:r>
          </w:p>
        </w:tc>
      </w:tr>
      <w:tr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Automated Canary + Rollback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1.2s Rollback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Manual Configuration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ArgoCD Setup Required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Zero Vendor Lock-In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100% CNCF Standards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Proprietary APIs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Partially Open</w:t>
            </w:r>
          </w:p>
        </w:tc>
      </w:tr>
      <w:tr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4-Tier RBAC + TOTP MFA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Native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Varies Per Service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Self-Managed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SOC 2 Type II Compliance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Out of Box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Separate Certification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Self-Managed</w:t>
            </w:r>
          </w:p>
        </w:tc>
      </w:tr>
      <w:tr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Indian Data Residency (DPDPA)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Native Compliance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Limited Regions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Self-Managed</w:t>
            </w:r>
          </w:p>
        </w:tc>
      </w:tr>
    </w:tbl>
    <w:p/>
    <w:p>
      <w:r>
        <w:br w:type="page"/>
      </w:r>
    </w:p>
    <w:p>
      <w:pPr>
        <w:spacing w:before="120" w:after="120"/>
      </w:pPr>
      <w:r>
        <w:rPr>
          <w:color w:val="B98B3B"/>
          <w:sz w:val="8"/>
        </w:rPr>
        <w:t>_____________________________________________________________________________________</w:t>
      </w:r>
    </w:p>
    <w:p>
      <w:pPr>
        <w:pStyle w:val="Heading1"/>
      </w:pPr>
      <w:r>
        <w:rPr>
          <w:color w:val="242524"/>
        </w:rPr>
        <w:t>Market Gap Analysis</w:t>
      </w:r>
    </w:p>
    <w:p>
      <w:pPr>
        <w:pStyle w:val="Heading2"/>
      </w:pPr>
      <w:r>
        <w:t>The Gap</w:t>
      </w:r>
    </w:p>
    <w:p>
      <w:pPr>
        <w:spacing w:after="160"/>
      </w:pPr>
      <w:r>
        <w:t>The cloud infrastructure market is dominated by three hyperscalers (AWS, Azure, GCP) that collectively control ~65% of global cloud spend. While these platforms offer powerful individual services, they are architecturally designed to maximize lock-in and create switching costs.</w:t>
      </w:r>
    </w:p>
    <w:p>
      <w:pPr>
        <w:spacing w:after="160"/>
      </w:pPr>
      <w:r>
        <w:t>On the opposite end, open-source DIY stacks (Terraform + ArgoCD + Prometheus + Vault + Datadog) offer portability but impose a crushing operational burden: teams report spending 6-12 months to assemble, integrate, secure, and maintain a comparable platform stack -- and then must continuously patch, upgrade, and troubleshoot the integration seams.</w:t>
      </w:r>
    </w:p>
    <w:p>
      <w:pPr>
        <w:spacing w:after="160"/>
      </w:pPr>
      <w:r>
        <w:t>The market gap is clear: there is no production-grade, unified operating system that combines the simplicity and managed reliability of a hyperscaler console with the portability, openness, and zero lock-in of CNCF-native open standards. Aravanta Cloud OS occupies precisely this whitespace.</w:t>
      </w:r>
    </w:p>
    <w:p>
      <w:pPr>
        <w:pStyle w:val="Heading2"/>
      </w:pPr>
      <w:r>
        <w:t>Market Positioning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324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_positio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2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Target Segments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Segment</w:t>
            </w:r>
          </w:p>
        </w:tc>
        <w:tc>
          <w:tcPr>
            <w:tcW w:type="dxa" w:w="312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Pain Point Addressed</w:t>
            </w:r>
          </w:p>
        </w:tc>
        <w:tc>
          <w:tcPr>
            <w:tcW w:type="dxa" w:w="312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Aravanta Value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Cloud-Native Startups &amp; SMBs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Cannot afford dedicated platform engineering teams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Turnkey managed infrastructure with startup-friendly pricing</w:t>
            </w:r>
          </w:p>
        </w:tc>
      </w:tr>
      <w:tr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Enterprise IT / DevOps Teams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Multi-cloud sprawl, compliance overhead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Unified governance, SOC 2, DPDPA compliance out of box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Government &amp; PSU Organizations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Data sovereignty, air-gapped deployment needs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Indian data residency, on-prem BYOK Kubernetes distribution</w:t>
            </w:r>
          </w:p>
        </w:tc>
      </w:tr>
      <w:tr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SRE &amp; Platform Engineering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Toolchain integration fatigue, incident management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Integrated observability, war-room console, automated runbooks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Regulated Industries (BFSI, Healthcare)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Strict audit, compliance, and encryption requirements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Immutable audit trails, AES-256 encryption, RBAC vault</w:t>
            </w:r>
          </w:p>
        </w:tc>
      </w:tr>
    </w:tbl>
    <w:p/>
    <w:p>
      <w:r>
        <w:br w:type="page"/>
      </w:r>
    </w:p>
    <w:p>
      <w:pPr>
        <w:spacing w:before="120" w:after="120"/>
      </w:pPr>
      <w:r>
        <w:rPr>
          <w:color w:val="B98B3B"/>
          <w:sz w:val="8"/>
        </w:rPr>
        <w:t>_____________________________________________________________________________________</w:t>
      </w:r>
    </w:p>
    <w:p>
      <w:pPr>
        <w:pStyle w:val="Heading1"/>
      </w:pPr>
      <w:r>
        <w:rPr>
          <w:color w:val="242524"/>
        </w:rPr>
        <w:t>Vision</w:t>
      </w:r>
    </w:p>
    <w:p>
      <w:r>
        <w:rPr>
          <w:b/>
          <w:color w:val="B98B3B"/>
          <w:sz w:val="28"/>
        </w:rPr>
        <w:t>Our 3-5 Year Strategic Vision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242524"/>
            <w:tcBorders>
              <w:top w:val="single" w:sz="12" w:space="0" w:color="B98B3B"/>
              <w:bottom w:val="single" w:sz="12" w:space="0" w:color="B98B3B"/>
              <w:left w:val="single" w:sz="24" w:space="0" w:color="B98B3B"/>
              <w:right w:val="single" w:sz="4" w:space="0" w:color="B98B3B"/>
            </w:tcBorders>
          </w:tcPr>
          <w:p>
            <w:pPr>
              <w:spacing w:before="160" w:after="160"/>
              <w:jc w:val="left"/>
            </w:pPr>
            <w:r>
              <w:rPr>
                <w:rFonts w:ascii="Calibri" w:hAnsi="Calibri"/>
                <w:i/>
                <w:color w:val="FFFFFF"/>
                <w:sz w:val="24"/>
              </w:rPr>
              <w:t>"By 2030, Aravanta Cloud OS will be the default operating system for multi-cloud infrastructure -- enabling every engineering team on the planet to provision, deploy, observe, and recover production workloads across any cloud provider or bare-metal datacenter through a single, open, and elegantly simple control plane. We envision a world where cloud infrastructure is truly invisible: engineers think in applications and outcomes, not in provider consoles and API quirks."</w:t>
            </w:r>
          </w:p>
        </w:tc>
      </w:tr>
    </w:tbl>
    <w:p/>
    <w:p>
      <w:pPr>
        <w:spacing w:after="120"/>
      </w:pPr>
      <w:r>
        <w:rPr>
          <w:b/>
          <w:color w:val="B98B3B"/>
          <w:sz w:val="22"/>
        </w:rPr>
        <w:t xml:space="preserve">Universal Cloud Abstraction: </w:t>
      </w:r>
      <w:r>
        <w:rPr>
          <w:color w:val="242524"/>
          <w:sz w:val="22"/>
        </w:rPr>
        <w:t>Complete provider-agnostic infrastructure management across all major clouds and bare metal, with zero proprietary APIs.</w:t>
      </w:r>
    </w:p>
    <w:p>
      <w:pPr>
        <w:spacing w:after="120"/>
      </w:pPr>
      <w:r>
        <w:rPr>
          <w:b/>
          <w:color w:val="B98B3B"/>
          <w:sz w:val="22"/>
        </w:rPr>
        <w:t xml:space="preserve">Autonomous Self-Healing Infrastructure: </w:t>
      </w:r>
      <w:r>
        <w:rPr>
          <w:color w:val="242524"/>
          <w:sz w:val="22"/>
        </w:rPr>
        <w:t>AI-powered anomaly detection and automated remediation that eliminates manual incident response for 80%+ of production issues.</w:t>
      </w:r>
    </w:p>
    <w:p>
      <w:pPr>
        <w:spacing w:after="120"/>
      </w:pPr>
      <w:r>
        <w:rPr>
          <w:b/>
          <w:color w:val="B98B3B"/>
          <w:sz w:val="22"/>
        </w:rPr>
        <w:t xml:space="preserve">Global Sovereign Compliance: </w:t>
      </w:r>
      <w:r>
        <w:rPr>
          <w:color w:val="242524"/>
          <w:sz w:val="22"/>
        </w:rPr>
        <w:t>Native compliance engines for every major regulatory framework (SOC 2, ISO 27001, GDPR, DPDPA, FedRAMP, HIPAA) with one-click audit reporting.</w:t>
      </w:r>
    </w:p>
    <w:p>
      <w:pPr>
        <w:spacing w:after="120"/>
      </w:pPr>
      <w:r>
        <w:rPr>
          <w:b/>
          <w:color w:val="B98B3B"/>
          <w:sz w:val="22"/>
        </w:rPr>
        <w:t xml:space="preserve">Developer Velocity Multiplier: </w:t>
      </w:r>
      <w:r>
        <w:rPr>
          <w:color w:val="242524"/>
          <w:sz w:val="22"/>
        </w:rPr>
        <w:t>Reduce infrastructure provisioning and deployment cycles from hours to seconds, freeing engineering teams to focus on product innovation.</w:t>
      </w:r>
    </w:p>
    <w:p>
      <w:r>
        <w:br w:type="page"/>
      </w:r>
    </w:p>
    <w:p>
      <w:pPr>
        <w:spacing w:before="120" w:after="120"/>
      </w:pPr>
      <w:r>
        <w:rPr>
          <w:color w:val="B98B3B"/>
          <w:sz w:val="8"/>
        </w:rPr>
        <w:t>_____________________________________________________________________________________</w:t>
      </w:r>
    </w:p>
    <w:p>
      <w:pPr>
        <w:pStyle w:val="Heading1"/>
      </w:pPr>
      <w:r>
        <w:rPr>
          <w:color w:val="242524"/>
        </w:rPr>
        <w:t>Mission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BF7EE"/>
            <w:tcBorders>
              <w:top w:val="single" w:sz="12" w:space="0" w:color="B98B3B"/>
              <w:bottom w:val="single" w:sz="12" w:space="0" w:color="B98B3B"/>
              <w:left w:val="single" w:sz="24" w:space="0" w:color="B98B3B"/>
              <w:right w:val="single" w:sz="4" w:space="0" w:color="B98B3B"/>
            </w:tcBorders>
          </w:tcPr>
          <w:p>
            <w:pPr>
              <w:spacing w:before="160" w:after="160"/>
              <w:jc w:val="left"/>
            </w:pPr>
            <w:r>
              <w:rPr>
                <w:rFonts w:ascii="Calibri" w:hAnsi="Calibri"/>
                <w:i/>
                <w:color w:val="242524"/>
                <w:sz w:val="24"/>
              </w:rPr>
              <w:t>"To build the most reliable, open, and unified cloud operating system that empowers engineering teams to ship faster, observe deeper, and operate with confidence -- without ever being locked into a single vendor, a proprietary API, or an opaque billing model."</w:t>
            </w:r>
          </w:p>
        </w:tc>
      </w:tr>
    </w:tbl>
    <w:p/>
    <w:p>
      <w:pPr>
        <w:pStyle w:val="Heading2"/>
      </w:pPr>
      <w:r>
        <w:t>Core Pillars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Pillar</w:t>
            </w:r>
          </w:p>
        </w:tc>
        <w:tc>
          <w:tcPr>
            <w:tcW w:type="dxa" w:w="312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Principle</w:t>
            </w:r>
          </w:p>
        </w:tc>
        <w:tc>
          <w:tcPr>
            <w:tcW w:type="dxa" w:w="312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Commitment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Open Standards First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Every API, protocol, and data format is CNCF-native and upstream-compatible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Zero proprietary lock-in at any layer</w:t>
            </w:r>
          </w:p>
        </w:tc>
      </w:tr>
      <w:tr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Relentless Simplicity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Complex infrastructure, simple interface. One dashboard, one CLI, one billing page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&lt; 5 minute time-to-first-workload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Enterprise-Grade Security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Zero-trust by default. Every action authenticated, authorized, and audited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SOC 2 Type II certified, 365-day audit retention</w:t>
            </w:r>
          </w:p>
        </w:tc>
      </w:tr>
      <w:tr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Transparent Economics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Per-second billing, no hidden egress fees, real-time cost dashboards</w:t>
            </w:r>
          </w:p>
        </w:tc>
        <w:tc>
          <w:tcPr>
            <w:tcW w:type="dxa" w:w="312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INR + USD pricing with GST-compliant invoicing</w:t>
            </w:r>
          </w:p>
        </w:tc>
      </w:tr>
    </w:tbl>
    <w:p/>
    <w:p>
      <w:r>
        <w:br w:type="page"/>
      </w:r>
    </w:p>
    <w:p>
      <w:pPr>
        <w:spacing w:before="120" w:after="120"/>
      </w:pPr>
      <w:r>
        <w:rPr>
          <w:color w:val="B98B3B"/>
          <w:sz w:val="8"/>
        </w:rPr>
        <w:t>_____________________________________________________________________________________</w:t>
      </w:r>
    </w:p>
    <w:p>
      <w:pPr>
        <w:pStyle w:val="Heading1"/>
      </w:pPr>
      <w:r>
        <w:rPr>
          <w:color w:val="242524"/>
        </w:rPr>
        <w:t>Product Architecture Overview</w:t>
      </w:r>
    </w:p>
    <w:p>
      <w:pPr>
        <w:spacing w:after="240"/>
      </w:pPr>
      <w:r>
        <w:t>Aravanta Cloud OS is architected as a three-layer Kubernetes-native control plane that cleanly separates developer access surfaces, core platform services, and underlying infrastructure backends. This layered design ensures that any cloud provider or bare-metal fabric can be plugged in without affecting the developer experience or control plane logic.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241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4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Layer Descriptions</w:t>
      </w:r>
    </w:p>
    <w:p>
      <w:pPr>
        <w:spacing w:after="200"/>
      </w:pPr>
      <w:r>
        <w:rPr>
          <w:b/>
          <w:color w:val="B98B3B"/>
          <w:sz w:val="24"/>
        </w:rPr>
        <w:t>Layer 1 -- Developer Interfaces</w:t>
        <w:br/>
      </w:r>
      <w:r>
        <w:rPr>
          <w:sz w:val="21"/>
        </w:rPr>
        <w:t>Web Console UI, arv CLI, Terraform/OpenTofu Provider, Go/Python/Node SDKs, and REST/OpenAPI 3.1 endpoints. All interfaces are generated from a single API schema ensuring 100% parity.</w:t>
      </w:r>
    </w:p>
    <w:p>
      <w:pPr>
        <w:spacing w:after="200"/>
      </w:pPr>
      <w:r>
        <w:rPr>
          <w:b/>
          <w:color w:val="B98B3B"/>
          <w:sz w:val="24"/>
        </w:rPr>
        <w:t>Layer 2 -- Aravanta Control Plane</w:t>
        <w:br/>
      </w:r>
      <w:r>
        <w:rPr>
          <w:sz w:val="21"/>
        </w:rPr>
        <w:t>The core Kubernetes-native control plane comprising 8 specialized service modules: ArvCompute, ArvKube, ArvStore, ArvDB, GitOps Engine, Observability Hub, War-Room Console, and Security &amp; RBAC Vault. Each module runs as a set of Kubernetes operators with declarative CRD-driven state management.</w:t>
      </w:r>
    </w:p>
    <w:p>
      <w:pPr>
        <w:spacing w:after="200"/>
      </w:pPr>
      <w:r>
        <w:rPr>
          <w:b/>
          <w:color w:val="B98B3B"/>
          <w:sz w:val="24"/>
        </w:rPr>
        <w:t>Layer 3 -- Infrastructure Backends</w:t>
        <w:br/>
      </w:r>
      <w:r>
        <w:rPr>
          <w:sz w:val="21"/>
        </w:rPr>
        <w:t>Pluggable provider adapters for AWS (EC2, EBS, VPC, EKS), GCP (Compute Engine, GKE, Persistent Disk), Azure (VMs, AKS, Managed Disks), and bare-metal/on-prem (IPMI/Redfish, air-gapped K8s distribution). New backends can be added without modifying the control plane.</w:t>
      </w:r>
    </w:p>
    <w:p>
      <w:r>
        <w:br w:type="page"/>
      </w:r>
    </w:p>
    <w:p>
      <w:pPr>
        <w:spacing w:before="120" w:after="120"/>
      </w:pPr>
      <w:r>
        <w:rPr>
          <w:color w:val="B98B3B"/>
          <w:sz w:val="8"/>
        </w:rPr>
        <w:t>_____________________________________________________________________________________</w:t>
      </w:r>
    </w:p>
    <w:p>
      <w:pPr>
        <w:pStyle w:val="Heading1"/>
      </w:pPr>
      <w:r>
        <w:rPr>
          <w:color w:val="242524"/>
        </w:rPr>
        <w:t>Roadmap &amp; Next Steps</w:t>
      </w:r>
    </w:p>
    <w:p>
      <w:pPr>
        <w:pStyle w:val="Heading2"/>
      </w:pPr>
      <w:r>
        <w:t>Strategic Product Roadmap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372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_tim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7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Next Steps to Target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Initiative</w:t>
            </w:r>
          </w:p>
        </w:tc>
        <w:tc>
          <w:tcPr>
            <w:tcW w:type="dxa" w:w="234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Timeline</w:t>
            </w:r>
          </w:p>
        </w:tc>
        <w:tc>
          <w:tcPr>
            <w:tcW w:type="dxa" w:w="234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34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Success Metric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Enterprise Pilot Program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Q4 2026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Onboard 5-8 enterprise design partners for 90-day production pilot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3+ conversions to annual contracts</w:t>
            </w:r>
          </w:p>
        </w:tc>
      </w:tr>
      <w:tr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Channel Partner Program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Q1 2027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Establish partnerships with top-tier SI/consulting firms (Infosys, TCS, Wipro)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2+ signed channel agreements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Government Cloud Certification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Q1-Q2 2027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Obtain MeitY empanelment and deploy sovereign air-gapped distribution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MeitY certification approval</w:t>
            </w:r>
          </w:p>
        </w:tc>
      </w:tr>
      <w:tr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Series A Fundraise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Q4 2026 - Q1 2027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Raise growth capital to scale engineering, GTM, and regional expansion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Target: $8-12M at $40-60M valuation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APAC Expansion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Q2-Q3 2027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Launch Singapore and Tokyo production regions with local compliance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2 new regions operational</w:t>
            </w:r>
          </w:p>
        </w:tc>
      </w:tr>
    </w:tbl>
    <w:p/>
    <w:p>
      <w:r>
        <w:br w:type="page"/>
      </w:r>
    </w:p>
    <w:p>
      <w:pPr>
        <w:spacing w:before="120" w:after="120"/>
      </w:pPr>
      <w:r>
        <w:rPr>
          <w:color w:val="B98B3B"/>
          <w:sz w:val="8"/>
        </w:rPr>
        <w:t>_____________________________________________________________________________________</w:t>
      </w:r>
    </w:p>
    <w:p>
      <w:pPr>
        <w:pStyle w:val="Heading1"/>
      </w:pPr>
      <w:r>
        <w:rPr>
          <w:color w:val="242524"/>
        </w:rPr>
        <w:t>Why Invest / Why Partner</w:t>
      </w:r>
    </w:p>
    <w:p>
      <w:pPr>
        <w:pStyle w:val="Heading2"/>
      </w:pPr>
      <w:r>
        <w:t>Key Metrics &amp; Traction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4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Current (GA)</w:t>
            </w:r>
          </w:p>
        </w:tc>
        <w:tc>
          <w:tcPr>
            <w:tcW w:type="dxa" w:w="234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12-Month Target</w:t>
            </w:r>
          </w:p>
        </w:tc>
        <w:tc>
          <w:tcPr>
            <w:tcW w:type="dxa" w:w="234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24-Month Target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Monthly Recurring Revenue (MRR)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[Placeholder]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[Target]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[Target]</w:t>
            </w:r>
          </w:p>
        </w:tc>
      </w:tr>
      <w:tr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Active Workspaces / Tenants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[Placeholder]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50+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200+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Managed Kubernetes Clusters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[Placeholder]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150+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800+</w:t>
            </w:r>
          </w:p>
        </w:tc>
      </w:tr>
      <w:tr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Compute Instances Under Management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[Placeholder]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2,000+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15,000+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Production Uptime SLA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99.95%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99.99%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99.995%</w:t>
            </w:r>
          </w:p>
        </w:tc>
      </w:tr>
      <w:tr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Net Promoter Score (NPS)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[Placeholder]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60+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70+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Engineering Team Size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[Current]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[Target]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[Target]</w:t>
            </w:r>
          </w:p>
        </w:tc>
      </w:tr>
      <w:tr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Production Regions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4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6</w:t>
            </w:r>
          </w:p>
        </w:tc>
        <w:tc>
          <w:tcPr>
            <w:tcW w:type="dxa" w:w="234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10</w:t>
            </w:r>
          </w:p>
        </w:tc>
      </w:tr>
    </w:tbl>
    <w:p/>
    <w:p>
      <w:pPr>
        <w:pStyle w:val="Heading2"/>
      </w:pPr>
      <w:r>
        <w:t>Investment Thesis</w:t>
      </w:r>
    </w:p>
    <w:p>
      <w:pPr>
        <w:pStyle w:val="ListBullet"/>
        <w:spacing w:after="120"/>
      </w:pPr>
      <w:r>
        <w:t>Massive TAM: The global cloud infrastructure market exceeds $250B annually and is growing at 20%+ CAGR. Multi-cloud management is the fastest-growing sub-segment.</w:t>
      </w:r>
    </w:p>
    <w:p>
      <w:pPr>
        <w:pStyle w:val="ListBullet"/>
        <w:spacing w:after="120"/>
      </w:pPr>
      <w:r>
        <w:t>Defensible Moat: Deep Kubernetes-native control plane with 8 integrated service modules creates significant technical barriers to entry. Open-standards-first approach drives organic community adoption and trust.</w:t>
      </w:r>
    </w:p>
    <w:p>
      <w:pPr>
        <w:pStyle w:val="ListBullet"/>
        <w:spacing w:after="120"/>
      </w:pPr>
      <w:r>
        <w:t>Capital-Efficient Model: SaaS recurring revenue with per-second usage billing. Infrastructure costs scale linearly with customer workloads, maintaining healthy gross margins.</w:t>
      </w:r>
    </w:p>
    <w:p>
      <w:pPr>
        <w:pStyle w:val="ListBullet"/>
        <w:spacing w:after="120"/>
      </w:pPr>
      <w:r>
        <w:t>India-First, Global-Ready: Uniquely positioned to serve India's rapidly growing cloud market ($10B+ by 2027) with native INR billing, GST compliance, and DPDPA data residency -- while maintaining full global portability.</w:t>
      </w:r>
    </w:p>
    <w:p>
      <w:pPr>
        <w:pStyle w:val="ListBullet"/>
        <w:spacing w:after="120"/>
      </w:pPr>
      <w:r>
        <w:t>Proven Team: Founded by ex-hyperscaler engineers with deep expertise in distributed systems, Kubernetes, and cloud platform architecture at scale.</w:t>
      </w:r>
    </w:p>
    <w:p>
      <w:pPr>
        <w:pStyle w:val="Heading2"/>
      </w:pPr>
      <w:r>
        <w:t>Call to Action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BF7EE"/>
            <w:tcBorders>
              <w:top w:val="single" w:sz="12" w:space="0" w:color="B98B3B"/>
              <w:bottom w:val="single" w:sz="12" w:space="0" w:color="B98B3B"/>
              <w:left w:val="single" w:sz="24" w:space="0" w:color="B98B3B"/>
              <w:right w:val="single" w:sz="4" w:space="0" w:color="B98B3B"/>
            </w:tcBorders>
          </w:tcPr>
          <w:p>
            <w:pPr>
              <w:spacing w:before="160" w:after="160"/>
              <w:jc w:val="left"/>
            </w:pPr>
            <w:r>
              <w:rPr>
                <w:rFonts w:ascii="Calibri" w:hAnsi="Calibri"/>
                <w:i/>
                <w:color w:val="242524"/>
                <w:sz w:val="24"/>
              </w:rPr>
              <w:t>We are actively seeking strategic investors, enterprise design partners, and channel partners who share our vision of an open, unified cloud operating system.</w:t>
              <w:br/>
              <w:br/>
              <w:t>Contact: partnerships@aravanta.cloud</w:t>
              <w:br/>
              <w:t>Investor Relations: investors@aravanta.cloud</w:t>
              <w:br/>
              <w:t>Schedule a Demo: demo.aravanta.cloud</w:t>
            </w:r>
          </w:p>
        </w:tc>
      </w:tr>
    </w:tbl>
    <w:p/>
    <w:p>
      <w:r>
        <w:br w:type="page"/>
      </w:r>
    </w:p>
    <w:p>
      <w:pPr>
        <w:spacing w:before="120" w:after="120"/>
      </w:pPr>
      <w:r>
        <w:rPr>
          <w:color w:val="B98B3B"/>
          <w:sz w:val="8"/>
        </w:rPr>
        <w:t>_____________________________________________________________________________________</w:t>
      </w:r>
    </w:p>
    <w:p>
      <w:pPr>
        <w:pStyle w:val="Heading1"/>
      </w:pPr>
      <w:r>
        <w:rPr>
          <w:color w:val="242524"/>
        </w:rPr>
        <w:t>Appendix</w:t>
      </w:r>
    </w:p>
    <w:p>
      <w:pPr>
        <w:pStyle w:val="Heading2"/>
      </w:pPr>
      <w:r>
        <w:t>Glossary of Terms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Term</w:t>
            </w:r>
          </w:p>
        </w:tc>
        <w:tc>
          <w:tcPr>
            <w:tcW w:type="dxa" w:w="4680"/>
            <w:shd w:fill="24252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Control Plane</w:t>
            </w:r>
          </w:p>
        </w:tc>
        <w:tc>
          <w:tcPr>
            <w:tcW w:type="dxa" w:w="468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The central management layer that orchestrates and coordinates infrastructure resources across multiple cloud providers</w:t>
            </w:r>
          </w:p>
        </w:tc>
      </w:tr>
      <w:tr>
        <w:tc>
          <w:tcPr>
            <w:tcW w:type="dxa" w:w="468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CNCF</w:t>
            </w:r>
          </w:p>
        </w:tc>
        <w:tc>
          <w:tcPr>
            <w:tcW w:type="dxa" w:w="468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Cloud Native Computing Foundation -- the open-source foundation governing Kubernetes, Prometheus, OpenTelemetry, and related projects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eBPF</w:t>
            </w:r>
          </w:p>
        </w:tc>
        <w:tc>
          <w:tcPr>
            <w:tcW w:type="dxa" w:w="468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Extended Berkeley Packet Filter -- a kernel-level technology enabling sub-millisecond observability without application code changes</w:t>
            </w:r>
          </w:p>
        </w:tc>
      </w:tr>
      <w:tr>
        <w:tc>
          <w:tcPr>
            <w:tcW w:type="dxa" w:w="468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GitOps</w:t>
            </w:r>
          </w:p>
        </w:tc>
        <w:tc>
          <w:tcPr>
            <w:tcW w:type="dxa" w:w="468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An operational framework that uses Git repositories as the single source of truth for declarative infrastructure and application configuration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RBAC</w:t>
            </w:r>
          </w:p>
        </w:tc>
        <w:tc>
          <w:tcPr>
            <w:tcW w:type="dxa" w:w="468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Role-Based Access Control -- a method of regulating access to resources based on the roles of individual users within an organization</w:t>
            </w:r>
          </w:p>
        </w:tc>
      </w:tr>
      <w:tr>
        <w:tc>
          <w:tcPr>
            <w:tcW w:type="dxa" w:w="468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TOTP</w:t>
            </w:r>
          </w:p>
        </w:tc>
        <w:tc>
          <w:tcPr>
            <w:tcW w:type="dxa" w:w="468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Time-based One-Time Password -- a standard (RFC 6238) for generating short-lived authentication codes for multi-factor authentication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SRE</w:t>
            </w:r>
          </w:p>
        </w:tc>
        <w:tc>
          <w:tcPr>
            <w:tcW w:type="dxa" w:w="468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Site Reliability Engineering -- a discipline that applies software engineering practices to infrastructure and operations problems</w:t>
            </w:r>
          </w:p>
        </w:tc>
      </w:tr>
      <w:tr>
        <w:tc>
          <w:tcPr>
            <w:tcW w:type="dxa" w:w="468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PITR</w:t>
            </w:r>
          </w:p>
        </w:tc>
        <w:tc>
          <w:tcPr>
            <w:tcW w:type="dxa" w:w="468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Point-in-Time Recovery -- the ability to restore a database to any specific moment in time within the retention window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SOC 2 Type II</w:t>
            </w:r>
          </w:p>
        </w:tc>
        <w:tc>
          <w:tcPr>
            <w:tcW w:type="dxa" w:w="4680"/>
            <w:shd w:fill="FFFFFF"/>
          </w:tcPr>
          <w:p>
            <w:r>
              <w:rPr>
                <w:rFonts w:ascii="Calibri" w:hAnsi="Calibri"/>
                <w:color w:val="242524"/>
                <w:sz w:val="19"/>
              </w:rPr>
              <w:t>A compliance framework that evaluates an organization's controls over security, availability, processing integrity, confidentiality, and privacy over a sustained period</w:t>
            </w:r>
          </w:p>
        </w:tc>
      </w:tr>
      <w:tr>
        <w:tc>
          <w:tcPr>
            <w:tcW w:type="dxa" w:w="468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DPDPA 2023</w:t>
            </w:r>
          </w:p>
        </w:tc>
        <w:tc>
          <w:tcPr>
            <w:tcW w:type="dxa" w:w="4680"/>
            <w:shd w:fill="FBF7EE"/>
          </w:tcPr>
          <w:p>
            <w:r>
              <w:rPr>
                <w:rFonts w:ascii="Calibri" w:hAnsi="Calibri"/>
                <w:color w:val="242524"/>
                <w:sz w:val="19"/>
              </w:rPr>
              <w:t>Digital Personal Data Protection Act, 2023 -- India's comprehensive data protection legislation governing personal data processing</w:t>
            </w:r>
          </w:p>
        </w:tc>
      </w:tr>
    </w:tbl>
    <w:p/>
    <w:p>
      <w:pPr>
        <w:pStyle w:val="Heading2"/>
      </w:pPr>
      <w:r>
        <w:t>Contact Information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425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65528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avanta-glyph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6552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alibri" w:hAnsi="Calibri"/>
                <w:b/>
                <w:color w:val="B98B3B"/>
                <w:sz w:val="28"/>
              </w:rPr>
              <w:t>Aravanta Cloud OS</w:t>
            </w:r>
          </w:p>
          <w:p>
            <w:pPr>
              <w:jc w:val="center"/>
            </w:pPr>
            <w:r>
              <w:rPr>
                <w:i/>
                <w:color w:val="94A3B8"/>
                <w:sz w:val="20"/>
              </w:rPr>
              <w:t>A product by Aravanta Tech</w:t>
            </w:r>
          </w:p>
        </w:tc>
        <w:tc>
          <w:tcPr>
            <w:tcW w:type="dxa" w:w="4680"/>
            <w:shd w:fill="FBF7EE"/>
          </w:tcPr>
          <w:p>
            <w:r>
              <w:rPr>
                <w:rFonts w:ascii="Calibri" w:hAnsi="Calibri"/>
                <w:b/>
                <w:color w:val="B98B3B"/>
                <w:sz w:val="20"/>
              </w:rPr>
              <w:t xml:space="preserve">Website: </w:t>
            </w:r>
            <w:r>
              <w:rPr>
                <w:rFonts w:ascii="Calibri" w:hAnsi="Calibri"/>
                <w:color w:val="242524"/>
                <w:sz w:val="20"/>
              </w:rPr>
              <w:t>https://aravanta.cloud</w:t>
              <w:br/>
            </w:r>
            <w:r>
              <w:rPr>
                <w:rFonts w:ascii="Calibri" w:hAnsi="Calibri"/>
                <w:b/>
                <w:color w:val="B98B3B"/>
                <w:sz w:val="20"/>
              </w:rPr>
              <w:t xml:space="preserve">Email: </w:t>
            </w:r>
            <w:r>
              <w:rPr>
                <w:rFonts w:ascii="Calibri" w:hAnsi="Calibri"/>
                <w:color w:val="242524"/>
                <w:sz w:val="20"/>
              </w:rPr>
              <w:t>hello@aravanta.cloud</w:t>
              <w:br/>
            </w:r>
            <w:r>
              <w:rPr>
                <w:rFonts w:ascii="Calibri" w:hAnsi="Calibri"/>
                <w:b/>
                <w:color w:val="B98B3B"/>
                <w:sz w:val="20"/>
              </w:rPr>
              <w:t xml:space="preserve">Investor Relations: </w:t>
            </w:r>
            <w:r>
              <w:rPr>
                <w:rFonts w:ascii="Calibri" w:hAnsi="Calibri"/>
                <w:color w:val="242524"/>
                <w:sz w:val="20"/>
              </w:rPr>
              <w:t>investors@aravanta.cloud</w:t>
              <w:br/>
            </w:r>
            <w:r>
              <w:rPr>
                <w:rFonts w:ascii="Calibri" w:hAnsi="Calibri"/>
                <w:b/>
                <w:color w:val="B98B3B"/>
                <w:sz w:val="20"/>
              </w:rPr>
              <w:t xml:space="preserve">Sales &amp; Partnerships: </w:t>
            </w:r>
            <w:r>
              <w:rPr>
                <w:rFonts w:ascii="Calibri" w:hAnsi="Calibri"/>
                <w:color w:val="242524"/>
                <w:sz w:val="20"/>
              </w:rPr>
              <w:t>partnerships@aravanta.cloud</w:t>
              <w:br/>
            </w:r>
            <w:r>
              <w:rPr>
                <w:rFonts w:ascii="Calibri" w:hAnsi="Calibri"/>
                <w:b/>
                <w:color w:val="B98B3B"/>
                <w:sz w:val="20"/>
              </w:rPr>
              <w:t xml:space="preserve">Technical Support: </w:t>
            </w:r>
            <w:r>
              <w:rPr>
                <w:rFonts w:ascii="Calibri" w:hAnsi="Calibri"/>
                <w:color w:val="242524"/>
                <w:sz w:val="20"/>
              </w:rPr>
              <w:t>support@aravanta.cloud</w:t>
              <w:br/>
            </w:r>
            <w:r>
              <w:rPr>
                <w:rFonts w:ascii="Calibri" w:hAnsi="Calibri"/>
                <w:b/>
                <w:color w:val="B98B3B"/>
                <w:sz w:val="20"/>
              </w:rPr>
              <w:t xml:space="preserve">Status Page: </w:t>
            </w:r>
            <w:r>
              <w:rPr>
                <w:rFonts w:ascii="Calibri" w:hAnsi="Calibri"/>
                <w:color w:val="242524"/>
                <w:sz w:val="20"/>
              </w:rPr>
              <w:t>https://status.aravanta.cloud</w:t>
              <w:br/>
            </w:r>
            <w:r>
              <w:rPr>
                <w:rFonts w:ascii="Calibri" w:hAnsi="Calibri"/>
                <w:b/>
                <w:color w:val="B98B3B"/>
                <w:sz w:val="20"/>
              </w:rPr>
              <w:t xml:space="preserve">GitHub: </w:t>
            </w:r>
            <w:r>
              <w:rPr>
                <w:rFonts w:ascii="Calibri" w:hAnsi="Calibri"/>
                <w:color w:val="242524"/>
                <w:sz w:val="20"/>
              </w:rPr>
              <w:t>https://github.com/aravanta</w:t>
              <w:br/>
            </w:r>
            <w:r>
              <w:rPr>
                <w:rFonts w:ascii="Calibri" w:hAnsi="Calibri"/>
                <w:b/>
                <w:color w:val="B98B3B"/>
                <w:sz w:val="20"/>
              </w:rPr>
              <w:t xml:space="preserve">LinkedIn: </w:t>
            </w:r>
            <w:r>
              <w:rPr>
                <w:rFonts w:ascii="Calibri" w:hAnsi="Calibri"/>
                <w:color w:val="242524"/>
                <w:sz w:val="20"/>
              </w:rPr>
              <w:t>https://linkedin.com/company/aravanta-tech</w:t>
              <w:br/>
            </w:r>
            <w:r>
              <w:rPr>
                <w:rFonts w:ascii="Calibri" w:hAnsi="Calibri"/>
                <w:b/>
                <w:color w:val="B98B3B"/>
                <w:sz w:val="20"/>
              </w:rPr>
              <w:t xml:space="preserve">Twitter / X: </w:t>
            </w:r>
            <w:r>
              <w:rPr>
                <w:rFonts w:ascii="Calibri" w:hAnsi="Calibri"/>
                <w:color w:val="242524"/>
                <w:sz w:val="20"/>
              </w:rPr>
              <w:t>https://x.com/aravantacloud</w:t>
              <w:br/>
            </w:r>
            <w:r>
              <w:rPr>
                <w:rFonts w:ascii="Calibri" w:hAnsi="Calibri"/>
                <w:b/>
                <w:color w:val="B98B3B"/>
                <w:sz w:val="20"/>
              </w:rPr>
              <w:t xml:space="preserve">Headquarters: </w:t>
            </w:r>
            <w:r>
              <w:rPr>
                <w:rFonts w:ascii="Calibri" w:hAnsi="Calibri"/>
                <w:color w:val="242524"/>
                <w:sz w:val="20"/>
              </w:rPr>
              <w:t>Bengaluru, Karnataka, India</w:t>
              <w:br/>
            </w:r>
          </w:p>
        </w:tc>
      </w:tr>
    </w:tbl>
    <w:p/>
    <w:p>
      <w:pPr>
        <w:spacing w:before="400"/>
        <w:jc w:val="center"/>
      </w:pPr>
      <w:r>
        <w:rPr>
          <w:i/>
          <w:color w:val="94A3B8"/>
          <w:sz w:val="18"/>
        </w:rPr>
        <w:t>Aravanta Cloud OS 2026 Aravanta Tech. All rights reserved.</w:t>
      </w:r>
    </w:p>
    <w:p>
      <w:pPr>
        <w:jc w:val="center"/>
      </w:pPr>
      <w:r>
        <w:rPr>
          <w:i/>
          <w:color w:val="94A3B8"/>
          <w:sz w:val="17"/>
        </w:rPr>
        <w:t>This document is confidential and intended for Internal / Investor use only.</w:t>
      </w:r>
    </w:p>
    <w:sectPr w:rsidR="00FC693F" w:rsidRPr="0006063C" w:rsidSect="00034616">
      <w:headerReference w:type="default" r:id="rId15"/>
      <w:footerReference w:type="default" r:id="rId16"/>
      <w:pgSz w:w="12240" w:h="15840"/>
      <w:pgMar w:top="1440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120"/>
      <w:gridCol w:w="3120"/>
      <w:gridCol w:w="3120"/>
    </w:tblGrid>
    <w:tr>
      <w:tc>
        <w:tcPr>
          <w:tcW w:type="dxa" w:w="3120"/>
        </w:tcPr>
        <w:p>
          <w:r>
            <w:rPr>
              <w:i/>
              <w:color w:val="94A3B8"/>
              <w:sz w:val="14"/>
            </w:rPr>
            <w:t>Internal / Investor Use</w:t>
          </w:r>
        </w:p>
      </w:tc>
      <w:tc>
        <w:tcPr>
          <w:tcW w:type="dxa" w:w="3120"/>
        </w:tcPr>
        <w:p>
          <w:pPr>
            <w:jc w:val="center"/>
          </w:pPr>
          <w:r>
            <w:rPr>
              <w:rFonts w:ascii="Calibri" w:hAnsi="Calibri"/>
              <w:color w:val="B98B3B"/>
              <w:sz w:val="14"/>
            </w:rPr>
            <w:t>Aravanta Cloud OS   2026 Aravanta Tech</w:t>
          </w:r>
        </w:p>
      </w:tc>
      <w:tc>
        <w:tcPr>
          <w:tcW w:type="dxa" w:w="3120"/>
        </w:tcPr>
        <w:p>
          <w:pPr>
            <w:jc w:val="right"/>
          </w:pPr>
          <w:r>
            <w:rPr>
              <w:color w:val="94A3B8"/>
              <w:sz w:val="14"/>
            </w:rPr>
            <w:t xml:space="preserve">Page </w:t>
            <w:fldChar w:fldCharType="begin"/>
            <w:instrText xml:space="preserve"> PAGE 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</w:tcPr>
        <w:p>
          <w:r>
            <w:drawing>
              <wp:inline xmlns:a="http://schemas.openxmlformats.org/drawingml/2006/main" xmlns:pic="http://schemas.openxmlformats.org/drawingml/2006/picture">
                <wp:extent cx="822960" cy="8229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2960" cy="8229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</w:tcPr>
        <w:p>
          <w:pPr>
            <w:jc w:val="right"/>
          </w:pPr>
          <w:r>
            <w:rPr>
              <w:rFonts w:ascii="Calibri" w:hAnsi="Calibri"/>
              <w:i/>
              <w:color w:val="94A3B8"/>
              <w:sz w:val="16"/>
            </w:rPr>
            <w:t>Product Overview, Vision &amp; Strategy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425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4252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42524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252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