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60" w:type="dxa"/>
        <w:jc w:val="center"/>
        <w:tblBorders>
          <w:top w:val="single" w:sz="6" w:space="0" w:color="B98B3B"/>
          <w:left w:val="single" w:sz="6" w:space="0" w:color="B98B3B"/>
          <w:bottom w:val="single" w:sz="6" w:space="0" w:color="B98B3B"/>
          <w:right w:val="single" w:sz="6" w:space="0" w:color="B98B3B"/>
          <w:insideV w:val="single" w:sz="6" w:space="0" w:color="B98B3B"/>
        </w:tblBorders>
        <w:tblLook w:val="04A0"/>
      </w:tblPr>
      <w:tblGrid>
        <w:gridCol w:w="9360"/>
      </w:tblGrid>
      <w:tr w:rsidR="00312344" w:rsidRPr="005B1357" w:rsidTr="00A9213A">
        <w:trPr>
          <w:cantSplit/>
          <w:jc w:val="center"/>
        </w:trPr>
        <w:tc>
          <w:tcPr>
            <w:tcW w:w="9360" w:type="dxa"/>
            <w:shd w:val="clear" w:color="auto" w:fill="FFFFFF" w:themeFill="background1"/>
            <w:tcMar>
              <w:top w:w="70" w:type="dxa"/>
              <w:left w:w="120" w:type="dxa"/>
              <w:bottom w:w="70" w:type="dxa"/>
              <w:right w:w="120" w:type="dxa"/>
            </w:tcMar>
          </w:tcPr>
          <w:p w:rsidR="00F5445A" w:rsidRPr="00F5445A" w:rsidRDefault="007D490C" w:rsidP="005B1357">
            <w:pPr>
              <w:spacing w:after="0"/>
              <w:jc w:val="center"/>
              <w:rPr>
                <w:rFonts w:ascii="Arial Black" w:hAnsi="Arial Black" w:cs="Arial"/>
                <w:b/>
                <w:color w:val="D4A24C"/>
                <w:sz w:val="18"/>
              </w:rPr>
            </w:pPr>
            <w:r w:rsidRPr="00F5445A">
              <w:rPr>
                <w:rFonts w:ascii="Arial Black" w:hAnsi="Arial Black" w:cs="Arial"/>
                <w:b/>
                <w:color w:val="D4A24C"/>
                <w:sz w:val="28"/>
                <w:szCs w:val="24"/>
              </w:rPr>
              <w:t>ARAVANTA TECH</w:t>
            </w:r>
            <w:r w:rsidRPr="00F5445A">
              <w:rPr>
                <w:rFonts w:ascii="Arial Black" w:hAnsi="Arial Black" w:cs="Arial"/>
                <w:b/>
                <w:color w:val="D4A24C"/>
                <w:sz w:val="18"/>
              </w:rPr>
              <w:t xml:space="preserve"> </w:t>
            </w:r>
          </w:p>
          <w:p w:rsidR="00312344" w:rsidRPr="00F5445A" w:rsidRDefault="007D490C" w:rsidP="005B1357">
            <w:pPr>
              <w:spacing w:after="0"/>
              <w:jc w:val="center"/>
              <w:rPr>
                <w:rFonts w:ascii="Arial" w:hAnsi="Arial" w:cs="Arial"/>
                <w:color w:val="auto"/>
              </w:rPr>
            </w:pPr>
            <w:r w:rsidRPr="00F5445A">
              <w:rPr>
                <w:rFonts w:ascii="Arial" w:hAnsi="Arial" w:cs="Arial"/>
                <w:b/>
                <w:color w:val="auto"/>
                <w:sz w:val="20"/>
              </w:rPr>
              <w:t>EXECUTIVE STRATEGY &amp; ARCHITECTURE SPECIFICATION</w:t>
            </w:r>
          </w:p>
        </w:tc>
      </w:tr>
    </w:tbl>
    <w:p w:rsidR="00312344" w:rsidRPr="005B1357" w:rsidRDefault="00312344">
      <w:pPr>
        <w:rPr>
          <w:rFonts w:ascii="Arial" w:hAnsi="Arial" w:cs="Arial"/>
        </w:rPr>
      </w:pPr>
    </w:p>
    <w:p w:rsidR="00312344" w:rsidRDefault="00312344">
      <w:pPr>
        <w:rPr>
          <w:rFonts w:ascii="Arial" w:hAnsi="Arial" w:cs="Arial"/>
        </w:rPr>
      </w:pPr>
    </w:p>
    <w:p w:rsidR="004B6543" w:rsidRDefault="004B6543">
      <w:pPr>
        <w:rPr>
          <w:rFonts w:ascii="Arial" w:hAnsi="Arial" w:cs="Arial"/>
        </w:rPr>
      </w:pPr>
    </w:p>
    <w:p w:rsidR="004B6543" w:rsidRDefault="004B6543">
      <w:pPr>
        <w:rPr>
          <w:rFonts w:ascii="Arial" w:hAnsi="Arial" w:cs="Arial"/>
        </w:rPr>
      </w:pPr>
    </w:p>
    <w:p w:rsidR="00312344" w:rsidRPr="005B1357" w:rsidRDefault="00312344">
      <w:pPr>
        <w:rPr>
          <w:rFonts w:ascii="Arial" w:hAnsi="Arial" w:cs="Arial"/>
        </w:rPr>
      </w:pPr>
    </w:p>
    <w:p w:rsidR="00312344" w:rsidRPr="005B1357" w:rsidRDefault="007D490C">
      <w:pPr>
        <w:spacing w:after="240"/>
        <w:jc w:val="center"/>
        <w:rPr>
          <w:rFonts w:ascii="Arial" w:hAnsi="Arial" w:cs="Arial"/>
        </w:rPr>
      </w:pPr>
      <w:r w:rsidRPr="005B1357">
        <w:rPr>
          <w:rFonts w:ascii="Arial" w:hAnsi="Arial" w:cs="Arial"/>
          <w:noProof/>
          <w:lang w:bidi="mr-IN"/>
        </w:rPr>
        <w:drawing>
          <wp:inline distT="0" distB="0" distL="0" distR="0">
            <wp:extent cx="2019869" cy="23798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027743" cy="2389089"/>
                    </a:xfrm>
                    <a:prstGeom prst="rect">
                      <a:avLst/>
                    </a:prstGeom>
                  </pic:spPr>
                </pic:pic>
              </a:graphicData>
            </a:graphic>
          </wp:inline>
        </w:drawing>
      </w:r>
    </w:p>
    <w:p w:rsidR="00312344" w:rsidRPr="002471E2" w:rsidRDefault="007D490C" w:rsidP="002471E2">
      <w:pPr>
        <w:spacing w:after="0" w:line="240" w:lineRule="auto"/>
        <w:jc w:val="center"/>
        <w:rPr>
          <w:rFonts w:ascii="Impact" w:hAnsi="Impact" w:cs="Arial"/>
          <w:b/>
          <w:sz w:val="80"/>
          <w:szCs w:val="80"/>
        </w:rPr>
      </w:pPr>
      <w:r w:rsidRPr="002471E2">
        <w:rPr>
          <w:rFonts w:ascii="Impact" w:hAnsi="Impact" w:cs="Arial"/>
          <w:b/>
          <w:sz w:val="80"/>
          <w:szCs w:val="80"/>
        </w:rPr>
        <w:t>Aravanta Cloud OS</w:t>
      </w:r>
    </w:p>
    <w:p w:rsidR="002471E2" w:rsidRPr="00F5445A" w:rsidRDefault="00EF7256" w:rsidP="002471E2">
      <w:pPr>
        <w:spacing w:line="360" w:lineRule="auto"/>
        <w:jc w:val="center"/>
        <w:rPr>
          <w:rFonts w:ascii="Impact" w:hAnsi="Impact" w:cs="Arial"/>
          <w:sz w:val="20"/>
          <w:szCs w:val="20"/>
        </w:rPr>
      </w:pPr>
      <w:r w:rsidRPr="00F5445A">
        <w:rPr>
          <w:rFonts w:ascii="Impact" w:hAnsi="Impact" w:cs="Arial"/>
          <w:noProof/>
          <w:sz w:val="20"/>
          <w:szCs w:val="20"/>
          <w:lang w:bidi="mr-IN"/>
        </w:rPr>
        <w:pict>
          <v:shapetype id="_x0000_t32" coordsize="21600,21600" o:spt="32" o:oned="t" path="m,l21600,21600e" filled="f">
            <v:path arrowok="t" fillok="f" o:connecttype="none"/>
            <o:lock v:ext="edit" shapetype="t"/>
          </v:shapetype>
          <v:shape id="_x0000_s1026" type="#_x0000_t32" style="position:absolute;left:0;text-align:left;margin-left:157.75pt;margin-top:4.15pt;width:171.85pt;height:0;z-index:251658240;mso-position-horizontal-relative:margin" o:connectortype="straight" strokecolor="#b98b3b">
            <w10:wrap anchorx="margin"/>
          </v:shape>
        </w:pict>
      </w:r>
      <w:r w:rsidR="002471E2" w:rsidRPr="00F5445A">
        <w:rPr>
          <w:rFonts w:ascii="Impact" w:hAnsi="Impact" w:cs="Arial"/>
          <w:sz w:val="20"/>
          <w:szCs w:val="20"/>
        </w:rPr>
        <w:tab/>
      </w:r>
    </w:p>
    <w:p w:rsidR="00312344" w:rsidRPr="002471E2" w:rsidRDefault="007D490C" w:rsidP="002471E2">
      <w:pPr>
        <w:spacing w:after="0"/>
        <w:jc w:val="center"/>
        <w:rPr>
          <w:rFonts w:ascii="Arial" w:hAnsi="Arial" w:cs="Arial"/>
          <w:sz w:val="32"/>
          <w:szCs w:val="32"/>
        </w:rPr>
      </w:pPr>
      <w:r w:rsidRPr="002471E2">
        <w:rPr>
          <w:rFonts w:ascii="Arial" w:hAnsi="Arial" w:cs="Arial"/>
          <w:b/>
          <w:color w:val="B98B3B"/>
          <w:sz w:val="44"/>
          <w:szCs w:val="32"/>
        </w:rPr>
        <w:t>Product Overview, Vision &amp; Strategy</w:t>
      </w:r>
    </w:p>
    <w:p w:rsidR="00312344" w:rsidRPr="00496F48" w:rsidRDefault="007D490C" w:rsidP="005B1357">
      <w:pPr>
        <w:spacing w:after="0"/>
        <w:jc w:val="center"/>
        <w:rPr>
          <w:rFonts w:ascii="Arial" w:hAnsi="Arial" w:cs="Arial"/>
          <w:iCs/>
        </w:rPr>
      </w:pPr>
      <w:r w:rsidRPr="00496F48">
        <w:rPr>
          <w:rFonts w:ascii="Arial" w:hAnsi="Arial" w:cs="Arial"/>
          <w:iCs/>
          <w:color w:val="475569"/>
          <w:sz w:val="24"/>
        </w:rPr>
        <w:t>A unified enterprise platform by Aravanta Tech</w:t>
      </w:r>
    </w:p>
    <w:p w:rsidR="00312344" w:rsidRPr="005B1357" w:rsidRDefault="00312344" w:rsidP="005B1357">
      <w:pPr>
        <w:pBdr>
          <w:bottom w:val="single" w:sz="10" w:space="1" w:color="B98B3B"/>
        </w:pBdr>
        <w:spacing w:after="0"/>
        <w:rPr>
          <w:rFonts w:ascii="Arial" w:hAnsi="Arial" w:cs="Arial"/>
        </w:rPr>
      </w:pPr>
    </w:p>
    <w:p w:rsidR="00312344" w:rsidRPr="005B1357" w:rsidRDefault="00312344">
      <w:pPr>
        <w:rPr>
          <w:rFonts w:ascii="Arial" w:hAnsi="Arial" w:cs="Arial"/>
        </w:rPr>
      </w:pPr>
    </w:p>
    <w:tbl>
      <w:tblPr>
        <w:tblW w:w="9360" w:type="dxa"/>
        <w:jc w:val="center"/>
        <w:tblLook w:val="04A0"/>
      </w:tblPr>
      <w:tblGrid>
        <w:gridCol w:w="4244"/>
        <w:gridCol w:w="5116"/>
      </w:tblGrid>
      <w:tr w:rsidR="00312344" w:rsidRPr="002471E2" w:rsidTr="00606AD6">
        <w:trPr>
          <w:cantSplit/>
          <w:jc w:val="center"/>
        </w:trPr>
        <w:tc>
          <w:tcPr>
            <w:tcW w:w="4244" w:type="dxa"/>
            <w:shd w:val="clear" w:color="auto" w:fill="FBF7EE"/>
            <w:tcMar>
              <w:top w:w="35" w:type="dxa"/>
              <w:left w:w="50" w:type="dxa"/>
              <w:bottom w:w="35" w:type="dxa"/>
              <w:right w:w="50" w:type="dxa"/>
            </w:tcMar>
            <w:vAlign w:val="center"/>
          </w:tcPr>
          <w:p w:rsidR="00312344" w:rsidRPr="002471E2" w:rsidRDefault="007D490C" w:rsidP="00606AD6">
            <w:pPr>
              <w:spacing w:after="0" w:line="360" w:lineRule="auto"/>
              <w:jc w:val="center"/>
              <w:rPr>
                <w:rFonts w:ascii="Arial" w:hAnsi="Arial" w:cs="Arial"/>
                <w:b/>
              </w:rPr>
            </w:pPr>
            <w:r w:rsidRPr="002471E2">
              <w:rPr>
                <w:rFonts w:ascii="Arial" w:hAnsi="Arial" w:cs="Arial"/>
                <w:b/>
                <w:color w:val="B98B3B"/>
                <w:sz w:val="19"/>
              </w:rPr>
              <w:t>Document Version</w:t>
            </w:r>
          </w:p>
        </w:tc>
        <w:tc>
          <w:tcPr>
            <w:tcW w:w="5116" w:type="dxa"/>
            <w:shd w:val="clear" w:color="auto" w:fill="FFFFFF"/>
            <w:tcMar>
              <w:top w:w="35" w:type="dxa"/>
              <w:left w:w="50" w:type="dxa"/>
              <w:bottom w:w="35" w:type="dxa"/>
              <w:right w:w="50" w:type="dxa"/>
            </w:tcMar>
            <w:vAlign w:val="center"/>
          </w:tcPr>
          <w:p w:rsidR="00312344" w:rsidRPr="002471E2" w:rsidRDefault="007D490C" w:rsidP="00606AD6">
            <w:pPr>
              <w:spacing w:after="0" w:line="360" w:lineRule="auto"/>
              <w:jc w:val="center"/>
              <w:rPr>
                <w:rFonts w:ascii="Arial" w:hAnsi="Arial" w:cs="Arial"/>
                <w:b/>
              </w:rPr>
            </w:pPr>
            <w:r w:rsidRPr="002471E2">
              <w:rPr>
                <w:rFonts w:ascii="Arial" w:hAnsi="Arial" w:cs="Arial"/>
                <w:b/>
                <w:sz w:val="19"/>
              </w:rPr>
              <w:t>v1.0 GA (Production Release)</w:t>
            </w:r>
          </w:p>
        </w:tc>
      </w:tr>
      <w:tr w:rsidR="00312344" w:rsidRPr="002471E2" w:rsidTr="00606AD6">
        <w:trPr>
          <w:cantSplit/>
          <w:jc w:val="center"/>
        </w:trPr>
        <w:tc>
          <w:tcPr>
            <w:tcW w:w="4244" w:type="dxa"/>
            <w:shd w:val="clear" w:color="auto" w:fill="FBF7EE"/>
            <w:tcMar>
              <w:top w:w="35" w:type="dxa"/>
              <w:left w:w="50" w:type="dxa"/>
              <w:bottom w:w="35" w:type="dxa"/>
              <w:right w:w="50" w:type="dxa"/>
            </w:tcMar>
            <w:vAlign w:val="center"/>
          </w:tcPr>
          <w:p w:rsidR="00312344" w:rsidRPr="002471E2" w:rsidRDefault="007D490C" w:rsidP="00606AD6">
            <w:pPr>
              <w:spacing w:after="0" w:line="360" w:lineRule="auto"/>
              <w:jc w:val="center"/>
              <w:rPr>
                <w:rFonts w:ascii="Arial" w:hAnsi="Arial" w:cs="Arial"/>
                <w:b/>
              </w:rPr>
            </w:pPr>
            <w:r w:rsidRPr="002471E2">
              <w:rPr>
                <w:rFonts w:ascii="Arial" w:hAnsi="Arial" w:cs="Arial"/>
                <w:b/>
                <w:color w:val="B98B3B"/>
                <w:sz w:val="19"/>
              </w:rPr>
              <w:t>Effective Date</w:t>
            </w:r>
          </w:p>
        </w:tc>
        <w:tc>
          <w:tcPr>
            <w:tcW w:w="5116" w:type="dxa"/>
            <w:shd w:val="clear" w:color="auto" w:fill="FFFFFF"/>
            <w:tcMar>
              <w:top w:w="35" w:type="dxa"/>
              <w:left w:w="50" w:type="dxa"/>
              <w:bottom w:w="35" w:type="dxa"/>
              <w:right w:w="50" w:type="dxa"/>
            </w:tcMar>
            <w:vAlign w:val="center"/>
          </w:tcPr>
          <w:p w:rsidR="00312344" w:rsidRPr="002471E2" w:rsidRDefault="007D490C" w:rsidP="00606AD6">
            <w:pPr>
              <w:spacing w:after="0" w:line="360" w:lineRule="auto"/>
              <w:jc w:val="center"/>
              <w:rPr>
                <w:rFonts w:ascii="Arial" w:hAnsi="Arial" w:cs="Arial"/>
                <w:b/>
              </w:rPr>
            </w:pPr>
            <w:r w:rsidRPr="002471E2">
              <w:rPr>
                <w:rFonts w:ascii="Arial" w:hAnsi="Arial" w:cs="Arial"/>
                <w:b/>
                <w:sz w:val="19"/>
              </w:rPr>
              <w:t>September 11, 2026</w:t>
            </w:r>
          </w:p>
        </w:tc>
      </w:tr>
      <w:tr w:rsidR="00312344" w:rsidRPr="002471E2" w:rsidTr="00606AD6">
        <w:trPr>
          <w:cantSplit/>
          <w:jc w:val="center"/>
        </w:trPr>
        <w:tc>
          <w:tcPr>
            <w:tcW w:w="4244" w:type="dxa"/>
            <w:shd w:val="clear" w:color="auto" w:fill="FBF7EE"/>
            <w:tcMar>
              <w:top w:w="35" w:type="dxa"/>
              <w:left w:w="50" w:type="dxa"/>
              <w:bottom w:w="35" w:type="dxa"/>
              <w:right w:w="50" w:type="dxa"/>
            </w:tcMar>
            <w:vAlign w:val="center"/>
          </w:tcPr>
          <w:p w:rsidR="00312344" w:rsidRPr="002471E2" w:rsidRDefault="007D490C" w:rsidP="00606AD6">
            <w:pPr>
              <w:spacing w:after="0" w:line="360" w:lineRule="auto"/>
              <w:jc w:val="center"/>
              <w:rPr>
                <w:rFonts w:ascii="Arial" w:hAnsi="Arial" w:cs="Arial"/>
                <w:b/>
              </w:rPr>
            </w:pPr>
            <w:r w:rsidRPr="002471E2">
              <w:rPr>
                <w:rFonts w:ascii="Arial" w:hAnsi="Arial" w:cs="Arial"/>
                <w:b/>
                <w:color w:val="B98B3B"/>
                <w:sz w:val="19"/>
              </w:rPr>
              <w:t>Classification</w:t>
            </w:r>
          </w:p>
        </w:tc>
        <w:tc>
          <w:tcPr>
            <w:tcW w:w="5116" w:type="dxa"/>
            <w:shd w:val="clear" w:color="auto" w:fill="FFFFFF"/>
            <w:tcMar>
              <w:top w:w="35" w:type="dxa"/>
              <w:left w:w="50" w:type="dxa"/>
              <w:bottom w:w="35" w:type="dxa"/>
              <w:right w:w="50" w:type="dxa"/>
            </w:tcMar>
            <w:vAlign w:val="center"/>
          </w:tcPr>
          <w:p w:rsidR="00312344" w:rsidRPr="002471E2" w:rsidRDefault="007D490C" w:rsidP="00606AD6">
            <w:pPr>
              <w:spacing w:after="0" w:line="360" w:lineRule="auto"/>
              <w:jc w:val="center"/>
              <w:rPr>
                <w:rFonts w:ascii="Arial" w:hAnsi="Arial" w:cs="Arial"/>
                <w:b/>
              </w:rPr>
            </w:pPr>
            <w:r w:rsidRPr="002471E2">
              <w:rPr>
                <w:rFonts w:ascii="Arial" w:hAnsi="Arial" w:cs="Arial"/>
                <w:b/>
                <w:sz w:val="19"/>
              </w:rPr>
              <w:t>Internal / Investor &amp; Strategic Partner Use</w:t>
            </w:r>
          </w:p>
        </w:tc>
      </w:tr>
      <w:tr w:rsidR="00312344" w:rsidRPr="002471E2" w:rsidTr="00606AD6">
        <w:trPr>
          <w:cantSplit/>
          <w:jc w:val="center"/>
        </w:trPr>
        <w:tc>
          <w:tcPr>
            <w:tcW w:w="4244" w:type="dxa"/>
            <w:shd w:val="clear" w:color="auto" w:fill="FBF7EE"/>
            <w:tcMar>
              <w:top w:w="35" w:type="dxa"/>
              <w:left w:w="50" w:type="dxa"/>
              <w:bottom w:w="35" w:type="dxa"/>
              <w:right w:w="50" w:type="dxa"/>
            </w:tcMar>
            <w:vAlign w:val="center"/>
          </w:tcPr>
          <w:p w:rsidR="00312344" w:rsidRPr="002471E2" w:rsidRDefault="007D490C" w:rsidP="00606AD6">
            <w:pPr>
              <w:spacing w:after="0" w:line="360" w:lineRule="auto"/>
              <w:jc w:val="center"/>
              <w:rPr>
                <w:rFonts w:ascii="Arial" w:hAnsi="Arial" w:cs="Arial"/>
                <w:b/>
              </w:rPr>
            </w:pPr>
            <w:r w:rsidRPr="002471E2">
              <w:rPr>
                <w:rFonts w:ascii="Arial" w:hAnsi="Arial" w:cs="Arial"/>
                <w:b/>
                <w:color w:val="B98B3B"/>
                <w:sz w:val="19"/>
              </w:rPr>
              <w:t>Authoring Body</w:t>
            </w:r>
          </w:p>
        </w:tc>
        <w:tc>
          <w:tcPr>
            <w:tcW w:w="5116" w:type="dxa"/>
            <w:shd w:val="clear" w:color="auto" w:fill="FFFFFF"/>
            <w:tcMar>
              <w:top w:w="35" w:type="dxa"/>
              <w:left w:w="50" w:type="dxa"/>
              <w:bottom w:w="35" w:type="dxa"/>
              <w:right w:w="50" w:type="dxa"/>
            </w:tcMar>
            <w:vAlign w:val="center"/>
          </w:tcPr>
          <w:p w:rsidR="00312344" w:rsidRPr="002471E2" w:rsidRDefault="007D490C" w:rsidP="00606AD6">
            <w:pPr>
              <w:spacing w:after="0" w:line="360" w:lineRule="auto"/>
              <w:jc w:val="center"/>
              <w:rPr>
                <w:rFonts w:ascii="Arial" w:hAnsi="Arial" w:cs="Arial"/>
                <w:b/>
              </w:rPr>
            </w:pPr>
            <w:r w:rsidRPr="002471E2">
              <w:rPr>
                <w:rFonts w:ascii="Arial" w:hAnsi="Arial" w:cs="Arial"/>
                <w:b/>
                <w:sz w:val="19"/>
              </w:rPr>
              <w:t>Aravanta Tech - Platform Architecture &amp; Strategy</w:t>
            </w:r>
          </w:p>
        </w:tc>
      </w:tr>
    </w:tbl>
    <w:p w:rsidR="00312344" w:rsidRPr="005B1357" w:rsidRDefault="007D490C">
      <w:pPr>
        <w:rPr>
          <w:rFonts w:ascii="Arial" w:hAnsi="Arial" w:cs="Arial"/>
        </w:rPr>
      </w:pPr>
      <w:r w:rsidRPr="005B1357">
        <w:rPr>
          <w:rFonts w:ascii="Arial" w:hAnsi="Arial" w:cs="Arial"/>
        </w:rPr>
        <w:br w:type="page"/>
      </w:r>
    </w:p>
    <w:p w:rsidR="00312344" w:rsidRPr="005B1357" w:rsidRDefault="00312344">
      <w:pPr>
        <w:pBdr>
          <w:bottom w:val="single" w:sz="10" w:space="1" w:color="B98B3B"/>
        </w:pBdr>
        <w:spacing w:before="160" w:after="80"/>
        <w:rPr>
          <w:rFonts w:ascii="Arial" w:hAnsi="Arial" w:cs="Arial"/>
        </w:rPr>
      </w:pPr>
    </w:p>
    <w:p w:rsidR="00312344" w:rsidRPr="005B1357" w:rsidRDefault="007D490C" w:rsidP="005B1357">
      <w:pPr>
        <w:pStyle w:val="Heading1"/>
        <w:spacing w:after="120"/>
        <w:jc w:val="center"/>
        <w:rPr>
          <w:rFonts w:ascii="Arial" w:hAnsi="Arial" w:cs="Arial"/>
        </w:rPr>
      </w:pPr>
      <w:r w:rsidRPr="005B1357">
        <w:rPr>
          <w:rFonts w:ascii="Arial" w:hAnsi="Arial" w:cs="Arial"/>
        </w:rPr>
        <w:t>Table of Contents</w:t>
      </w:r>
    </w:p>
    <w:tbl>
      <w:tblPr>
        <w:tblW w:w="9360" w:type="dxa"/>
        <w:jc w:val="center"/>
        <w:tblLook w:val="04A0"/>
      </w:tblPr>
      <w:tblGrid>
        <w:gridCol w:w="1008"/>
        <w:gridCol w:w="4379"/>
        <w:gridCol w:w="3973"/>
      </w:tblGrid>
      <w:tr w:rsidR="00312344" w:rsidRPr="005B1357" w:rsidTr="00606AD6">
        <w:trPr>
          <w:cantSplit/>
          <w:jc w:val="center"/>
        </w:trPr>
        <w:tc>
          <w:tcPr>
            <w:tcW w:w="1008" w:type="dxa"/>
            <w:shd w:val="clear" w:color="auto" w:fill="FFFFFF"/>
            <w:tcMar>
              <w:top w:w="35" w:type="dxa"/>
              <w:left w:w="50" w:type="dxa"/>
              <w:bottom w:w="35" w:type="dxa"/>
              <w:right w:w="10" w:type="dxa"/>
            </w:tcMar>
            <w:vAlign w:val="center"/>
          </w:tcPr>
          <w:p w:rsidR="00312344" w:rsidRPr="005B1357" w:rsidRDefault="007D490C" w:rsidP="00387A95">
            <w:pPr>
              <w:spacing w:after="0"/>
              <w:jc w:val="center"/>
              <w:rPr>
                <w:rFonts w:ascii="Arial" w:hAnsi="Arial" w:cs="Arial"/>
              </w:rPr>
            </w:pPr>
            <w:r w:rsidRPr="005B1357">
              <w:rPr>
                <w:rFonts w:ascii="Arial" w:hAnsi="Arial" w:cs="Arial"/>
                <w:b/>
                <w:color w:val="B98B3B"/>
                <w:sz w:val="19"/>
              </w:rPr>
              <w:t>1</w:t>
            </w:r>
            <w:r w:rsidR="00387A95">
              <w:rPr>
                <w:rFonts w:ascii="Arial" w:hAnsi="Arial" w:cs="Arial"/>
                <w:b/>
                <w:color w:val="B98B3B"/>
                <w:sz w:val="19"/>
              </w:rPr>
              <w:t>.</w:t>
            </w:r>
          </w:p>
        </w:tc>
        <w:tc>
          <w:tcPr>
            <w:tcW w:w="4379" w:type="dxa"/>
            <w:shd w:val="clear" w:color="auto" w:fill="FFFFFF"/>
            <w:tcMar>
              <w:top w:w="35" w:type="dxa"/>
              <w:left w:w="10" w:type="dxa"/>
              <w:bottom w:w="35" w:type="dxa"/>
              <w:right w:w="30" w:type="dxa"/>
            </w:tcMar>
            <w:vAlign w:val="center"/>
          </w:tcPr>
          <w:p w:rsidR="00312344" w:rsidRPr="005B1357" w:rsidRDefault="007D490C" w:rsidP="005B1357">
            <w:pPr>
              <w:spacing w:after="0"/>
              <w:ind w:left="152" w:right="186"/>
              <w:rPr>
                <w:rFonts w:ascii="Arial" w:hAnsi="Arial" w:cs="Arial"/>
              </w:rPr>
            </w:pPr>
            <w:r w:rsidRPr="005B1357">
              <w:rPr>
                <w:rFonts w:ascii="Arial" w:hAnsi="Arial" w:cs="Arial"/>
                <w:b/>
                <w:sz w:val="20"/>
              </w:rPr>
              <w:t>Executive Summary</w:t>
            </w:r>
          </w:p>
        </w:tc>
        <w:tc>
          <w:tcPr>
            <w:tcW w:w="3973" w:type="dxa"/>
            <w:shd w:val="clear" w:color="auto" w:fill="FFFFFF"/>
            <w:tcMar>
              <w:top w:w="35" w:type="dxa"/>
              <w:left w:w="30" w:type="dxa"/>
              <w:bottom w:w="35" w:type="dxa"/>
              <w:right w:w="50" w:type="dxa"/>
            </w:tcMar>
            <w:vAlign w:val="center"/>
          </w:tcPr>
          <w:p w:rsidR="00312344" w:rsidRPr="005B1357" w:rsidRDefault="007D490C" w:rsidP="00606AD6">
            <w:pPr>
              <w:spacing w:after="0"/>
              <w:ind w:left="114" w:right="130"/>
              <w:jc w:val="both"/>
              <w:rPr>
                <w:rFonts w:ascii="Arial" w:hAnsi="Arial" w:cs="Arial"/>
              </w:rPr>
            </w:pPr>
            <w:r w:rsidRPr="005B1357">
              <w:rPr>
                <w:rFonts w:ascii="Arial" w:hAnsi="Arial" w:cs="Arial"/>
                <w:i/>
                <w:color w:val="475569"/>
                <w:sz w:val="17"/>
              </w:rPr>
              <w:t>Strategic thesis, problem space, and core value proposition</w:t>
            </w:r>
          </w:p>
        </w:tc>
      </w:tr>
      <w:tr w:rsidR="00312344" w:rsidRPr="005B1357" w:rsidTr="00606AD6">
        <w:trPr>
          <w:cantSplit/>
          <w:jc w:val="center"/>
        </w:trPr>
        <w:tc>
          <w:tcPr>
            <w:tcW w:w="1008" w:type="dxa"/>
            <w:shd w:val="clear" w:color="auto" w:fill="FBF7EE"/>
            <w:tcMar>
              <w:top w:w="35" w:type="dxa"/>
              <w:left w:w="50" w:type="dxa"/>
              <w:bottom w:w="35" w:type="dxa"/>
              <w:right w:w="10" w:type="dxa"/>
            </w:tcMar>
            <w:vAlign w:val="center"/>
          </w:tcPr>
          <w:p w:rsidR="00312344" w:rsidRPr="005B1357" w:rsidRDefault="007D490C" w:rsidP="00387A95">
            <w:pPr>
              <w:spacing w:after="0"/>
              <w:jc w:val="center"/>
              <w:rPr>
                <w:rFonts w:ascii="Arial" w:hAnsi="Arial" w:cs="Arial"/>
              </w:rPr>
            </w:pPr>
            <w:r w:rsidRPr="005B1357">
              <w:rPr>
                <w:rFonts w:ascii="Arial" w:hAnsi="Arial" w:cs="Arial"/>
                <w:b/>
                <w:color w:val="B98B3B"/>
                <w:sz w:val="19"/>
              </w:rPr>
              <w:t>2</w:t>
            </w:r>
            <w:r w:rsidR="00387A95">
              <w:rPr>
                <w:rFonts w:ascii="Arial" w:hAnsi="Arial" w:cs="Arial"/>
                <w:b/>
                <w:color w:val="B98B3B"/>
                <w:sz w:val="19"/>
              </w:rPr>
              <w:t>.</w:t>
            </w:r>
          </w:p>
        </w:tc>
        <w:tc>
          <w:tcPr>
            <w:tcW w:w="4379" w:type="dxa"/>
            <w:shd w:val="clear" w:color="auto" w:fill="FBF7EE"/>
            <w:tcMar>
              <w:top w:w="35" w:type="dxa"/>
              <w:left w:w="10" w:type="dxa"/>
              <w:bottom w:w="35" w:type="dxa"/>
              <w:right w:w="30" w:type="dxa"/>
            </w:tcMar>
            <w:vAlign w:val="center"/>
          </w:tcPr>
          <w:p w:rsidR="00312344" w:rsidRPr="005B1357" w:rsidRDefault="007D490C" w:rsidP="005B1357">
            <w:pPr>
              <w:spacing w:after="0"/>
              <w:ind w:left="152" w:right="186"/>
              <w:rPr>
                <w:rFonts w:ascii="Arial" w:hAnsi="Arial" w:cs="Arial"/>
              </w:rPr>
            </w:pPr>
            <w:r w:rsidRPr="005B1357">
              <w:rPr>
                <w:rFonts w:ascii="Arial" w:hAnsi="Arial" w:cs="Arial"/>
                <w:b/>
                <w:sz w:val="20"/>
              </w:rPr>
              <w:t>About Aravanta Tech (Parent Company)</w:t>
            </w:r>
          </w:p>
        </w:tc>
        <w:tc>
          <w:tcPr>
            <w:tcW w:w="3973" w:type="dxa"/>
            <w:shd w:val="clear" w:color="auto" w:fill="FBF7EE"/>
            <w:tcMar>
              <w:top w:w="35" w:type="dxa"/>
              <w:left w:w="30" w:type="dxa"/>
              <w:bottom w:w="35" w:type="dxa"/>
              <w:right w:w="50" w:type="dxa"/>
            </w:tcMar>
            <w:vAlign w:val="center"/>
          </w:tcPr>
          <w:p w:rsidR="00312344" w:rsidRPr="005B1357" w:rsidRDefault="007D490C" w:rsidP="00606AD6">
            <w:pPr>
              <w:spacing w:after="0"/>
              <w:ind w:left="114" w:right="130"/>
              <w:jc w:val="both"/>
              <w:rPr>
                <w:rFonts w:ascii="Arial" w:hAnsi="Arial" w:cs="Arial"/>
              </w:rPr>
            </w:pPr>
            <w:r w:rsidRPr="005B1357">
              <w:rPr>
                <w:rFonts w:ascii="Arial" w:hAnsi="Arial" w:cs="Arial"/>
                <w:i/>
                <w:color w:val="475569"/>
                <w:sz w:val="17"/>
              </w:rPr>
              <w:t>Corporate genesis, operating philosophy, and executive leadership</w:t>
            </w:r>
          </w:p>
        </w:tc>
      </w:tr>
      <w:tr w:rsidR="00312344" w:rsidRPr="005B1357" w:rsidTr="00606AD6">
        <w:trPr>
          <w:cantSplit/>
          <w:jc w:val="center"/>
        </w:trPr>
        <w:tc>
          <w:tcPr>
            <w:tcW w:w="1008" w:type="dxa"/>
            <w:shd w:val="clear" w:color="auto" w:fill="FFFFFF"/>
            <w:tcMar>
              <w:top w:w="35" w:type="dxa"/>
              <w:left w:w="50" w:type="dxa"/>
              <w:bottom w:w="35" w:type="dxa"/>
              <w:right w:w="10" w:type="dxa"/>
            </w:tcMar>
            <w:vAlign w:val="center"/>
          </w:tcPr>
          <w:p w:rsidR="00312344" w:rsidRPr="005B1357" w:rsidRDefault="007D490C" w:rsidP="00387A95">
            <w:pPr>
              <w:spacing w:after="0"/>
              <w:jc w:val="center"/>
              <w:rPr>
                <w:rFonts w:ascii="Arial" w:hAnsi="Arial" w:cs="Arial"/>
              </w:rPr>
            </w:pPr>
            <w:r w:rsidRPr="005B1357">
              <w:rPr>
                <w:rFonts w:ascii="Arial" w:hAnsi="Arial" w:cs="Arial"/>
                <w:b/>
                <w:color w:val="B98B3B"/>
                <w:sz w:val="19"/>
              </w:rPr>
              <w:t>3</w:t>
            </w:r>
            <w:r w:rsidR="00387A95">
              <w:rPr>
                <w:rFonts w:ascii="Arial" w:hAnsi="Arial" w:cs="Arial"/>
                <w:b/>
                <w:color w:val="B98B3B"/>
                <w:sz w:val="19"/>
              </w:rPr>
              <w:t>.</w:t>
            </w:r>
          </w:p>
        </w:tc>
        <w:tc>
          <w:tcPr>
            <w:tcW w:w="4379" w:type="dxa"/>
            <w:shd w:val="clear" w:color="auto" w:fill="FFFFFF"/>
            <w:tcMar>
              <w:top w:w="35" w:type="dxa"/>
              <w:left w:w="10" w:type="dxa"/>
              <w:bottom w:w="35" w:type="dxa"/>
              <w:right w:w="30" w:type="dxa"/>
            </w:tcMar>
            <w:vAlign w:val="center"/>
          </w:tcPr>
          <w:p w:rsidR="00312344" w:rsidRPr="005B1357" w:rsidRDefault="007D490C" w:rsidP="005B1357">
            <w:pPr>
              <w:spacing w:after="0"/>
              <w:ind w:left="152" w:right="186"/>
              <w:rPr>
                <w:rFonts w:ascii="Arial" w:hAnsi="Arial" w:cs="Arial"/>
              </w:rPr>
            </w:pPr>
            <w:r w:rsidRPr="005B1357">
              <w:rPr>
                <w:rFonts w:ascii="Arial" w:hAnsi="Arial" w:cs="Arial"/>
                <w:b/>
                <w:sz w:val="20"/>
              </w:rPr>
              <w:t>Why Aravanta Cloud OS</w:t>
            </w:r>
          </w:p>
        </w:tc>
        <w:tc>
          <w:tcPr>
            <w:tcW w:w="3973" w:type="dxa"/>
            <w:shd w:val="clear" w:color="auto" w:fill="FFFFFF"/>
            <w:tcMar>
              <w:top w:w="35" w:type="dxa"/>
              <w:left w:w="30" w:type="dxa"/>
              <w:bottom w:w="35" w:type="dxa"/>
              <w:right w:w="50" w:type="dxa"/>
            </w:tcMar>
            <w:vAlign w:val="center"/>
          </w:tcPr>
          <w:p w:rsidR="00312344" w:rsidRPr="005B1357" w:rsidRDefault="007D490C" w:rsidP="00606AD6">
            <w:pPr>
              <w:spacing w:after="0"/>
              <w:ind w:left="114" w:right="130"/>
              <w:jc w:val="both"/>
              <w:rPr>
                <w:rFonts w:ascii="Arial" w:hAnsi="Arial" w:cs="Arial"/>
              </w:rPr>
            </w:pPr>
            <w:r w:rsidRPr="005B1357">
              <w:rPr>
                <w:rFonts w:ascii="Arial" w:hAnsi="Arial" w:cs="Arial"/>
                <w:i/>
                <w:color w:val="475569"/>
                <w:sz w:val="17"/>
              </w:rPr>
              <w:t>The cloud complexity tax &amp; Problem-to-Solution transformation</w:t>
            </w:r>
          </w:p>
        </w:tc>
      </w:tr>
      <w:tr w:rsidR="00312344" w:rsidRPr="005B1357" w:rsidTr="00606AD6">
        <w:trPr>
          <w:cantSplit/>
          <w:jc w:val="center"/>
        </w:trPr>
        <w:tc>
          <w:tcPr>
            <w:tcW w:w="1008" w:type="dxa"/>
            <w:shd w:val="clear" w:color="auto" w:fill="FBF7EE"/>
            <w:tcMar>
              <w:top w:w="35" w:type="dxa"/>
              <w:left w:w="50" w:type="dxa"/>
              <w:bottom w:w="35" w:type="dxa"/>
              <w:right w:w="10" w:type="dxa"/>
            </w:tcMar>
            <w:vAlign w:val="center"/>
          </w:tcPr>
          <w:p w:rsidR="00312344" w:rsidRPr="005B1357" w:rsidRDefault="007D490C" w:rsidP="00387A95">
            <w:pPr>
              <w:spacing w:after="0"/>
              <w:jc w:val="center"/>
              <w:rPr>
                <w:rFonts w:ascii="Arial" w:hAnsi="Arial" w:cs="Arial"/>
              </w:rPr>
            </w:pPr>
            <w:r w:rsidRPr="005B1357">
              <w:rPr>
                <w:rFonts w:ascii="Arial" w:hAnsi="Arial" w:cs="Arial"/>
                <w:b/>
                <w:color w:val="B98B3B"/>
                <w:sz w:val="19"/>
              </w:rPr>
              <w:t>4</w:t>
            </w:r>
            <w:r w:rsidR="00387A95">
              <w:rPr>
                <w:rFonts w:ascii="Arial" w:hAnsi="Arial" w:cs="Arial"/>
                <w:b/>
                <w:color w:val="B98B3B"/>
                <w:sz w:val="19"/>
              </w:rPr>
              <w:t>.</w:t>
            </w:r>
          </w:p>
        </w:tc>
        <w:tc>
          <w:tcPr>
            <w:tcW w:w="4379" w:type="dxa"/>
            <w:shd w:val="clear" w:color="auto" w:fill="FBF7EE"/>
            <w:tcMar>
              <w:top w:w="35" w:type="dxa"/>
              <w:left w:w="10" w:type="dxa"/>
              <w:bottom w:w="35" w:type="dxa"/>
              <w:right w:w="30" w:type="dxa"/>
            </w:tcMar>
            <w:vAlign w:val="center"/>
          </w:tcPr>
          <w:p w:rsidR="00312344" w:rsidRPr="005B1357" w:rsidRDefault="007D490C" w:rsidP="005B1357">
            <w:pPr>
              <w:spacing w:after="0"/>
              <w:ind w:left="152" w:right="186"/>
              <w:rPr>
                <w:rFonts w:ascii="Arial" w:hAnsi="Arial" w:cs="Arial"/>
              </w:rPr>
            </w:pPr>
            <w:r w:rsidRPr="005B1357">
              <w:rPr>
                <w:rFonts w:ascii="Arial" w:hAnsi="Arial" w:cs="Arial"/>
                <w:b/>
                <w:sz w:val="20"/>
              </w:rPr>
              <w:t>Unique Services &amp; Differentiators</w:t>
            </w:r>
          </w:p>
        </w:tc>
        <w:tc>
          <w:tcPr>
            <w:tcW w:w="3973" w:type="dxa"/>
            <w:shd w:val="clear" w:color="auto" w:fill="FBF7EE"/>
            <w:tcMar>
              <w:top w:w="35" w:type="dxa"/>
              <w:left w:w="30" w:type="dxa"/>
              <w:bottom w:w="35" w:type="dxa"/>
              <w:right w:w="50" w:type="dxa"/>
            </w:tcMar>
            <w:vAlign w:val="center"/>
          </w:tcPr>
          <w:p w:rsidR="00312344" w:rsidRPr="005B1357" w:rsidRDefault="007D490C" w:rsidP="00606AD6">
            <w:pPr>
              <w:spacing w:after="0"/>
              <w:ind w:left="114" w:right="130"/>
              <w:jc w:val="both"/>
              <w:rPr>
                <w:rFonts w:ascii="Arial" w:hAnsi="Arial" w:cs="Arial"/>
              </w:rPr>
            </w:pPr>
            <w:r w:rsidRPr="005B1357">
              <w:rPr>
                <w:rFonts w:ascii="Arial" w:hAnsi="Arial" w:cs="Arial"/>
                <w:i/>
                <w:color w:val="475569"/>
                <w:sz w:val="17"/>
              </w:rPr>
              <w:t>8 modular core services &amp; feature-by-feature competitive matrix</w:t>
            </w:r>
          </w:p>
        </w:tc>
      </w:tr>
      <w:tr w:rsidR="00312344" w:rsidRPr="005B1357" w:rsidTr="00606AD6">
        <w:trPr>
          <w:cantSplit/>
          <w:jc w:val="center"/>
        </w:trPr>
        <w:tc>
          <w:tcPr>
            <w:tcW w:w="1008" w:type="dxa"/>
            <w:shd w:val="clear" w:color="auto" w:fill="FFFFFF"/>
            <w:tcMar>
              <w:top w:w="35" w:type="dxa"/>
              <w:left w:w="50" w:type="dxa"/>
              <w:bottom w:w="35" w:type="dxa"/>
              <w:right w:w="10" w:type="dxa"/>
            </w:tcMar>
            <w:vAlign w:val="center"/>
          </w:tcPr>
          <w:p w:rsidR="00312344" w:rsidRPr="005B1357" w:rsidRDefault="007D490C" w:rsidP="00387A95">
            <w:pPr>
              <w:spacing w:after="0"/>
              <w:jc w:val="center"/>
              <w:rPr>
                <w:rFonts w:ascii="Arial" w:hAnsi="Arial" w:cs="Arial"/>
              </w:rPr>
            </w:pPr>
            <w:r w:rsidRPr="005B1357">
              <w:rPr>
                <w:rFonts w:ascii="Arial" w:hAnsi="Arial" w:cs="Arial"/>
                <w:b/>
                <w:color w:val="B98B3B"/>
                <w:sz w:val="19"/>
              </w:rPr>
              <w:t>5</w:t>
            </w:r>
            <w:r w:rsidR="00387A95">
              <w:rPr>
                <w:rFonts w:ascii="Arial" w:hAnsi="Arial" w:cs="Arial"/>
                <w:b/>
                <w:color w:val="B98B3B"/>
                <w:sz w:val="19"/>
              </w:rPr>
              <w:t>.</w:t>
            </w:r>
          </w:p>
        </w:tc>
        <w:tc>
          <w:tcPr>
            <w:tcW w:w="4379" w:type="dxa"/>
            <w:shd w:val="clear" w:color="auto" w:fill="FFFFFF"/>
            <w:tcMar>
              <w:top w:w="35" w:type="dxa"/>
              <w:left w:w="10" w:type="dxa"/>
              <w:bottom w:w="35" w:type="dxa"/>
              <w:right w:w="30" w:type="dxa"/>
            </w:tcMar>
            <w:vAlign w:val="center"/>
          </w:tcPr>
          <w:p w:rsidR="00312344" w:rsidRPr="005B1357" w:rsidRDefault="007D490C" w:rsidP="005B1357">
            <w:pPr>
              <w:spacing w:after="0"/>
              <w:ind w:left="152" w:right="186"/>
              <w:rPr>
                <w:rFonts w:ascii="Arial" w:hAnsi="Arial" w:cs="Arial"/>
              </w:rPr>
            </w:pPr>
            <w:r w:rsidRPr="005B1357">
              <w:rPr>
                <w:rFonts w:ascii="Arial" w:hAnsi="Arial" w:cs="Arial"/>
                <w:b/>
                <w:sz w:val="20"/>
              </w:rPr>
              <w:t>Market Gap Analysis</w:t>
            </w:r>
          </w:p>
        </w:tc>
        <w:tc>
          <w:tcPr>
            <w:tcW w:w="3973" w:type="dxa"/>
            <w:shd w:val="clear" w:color="auto" w:fill="FFFFFF"/>
            <w:tcMar>
              <w:top w:w="35" w:type="dxa"/>
              <w:left w:w="30" w:type="dxa"/>
              <w:bottom w:w="35" w:type="dxa"/>
              <w:right w:w="50" w:type="dxa"/>
            </w:tcMar>
            <w:vAlign w:val="center"/>
          </w:tcPr>
          <w:p w:rsidR="00312344" w:rsidRPr="005B1357" w:rsidRDefault="007D490C" w:rsidP="00606AD6">
            <w:pPr>
              <w:spacing w:after="0"/>
              <w:ind w:left="114" w:right="130"/>
              <w:jc w:val="both"/>
              <w:rPr>
                <w:rFonts w:ascii="Arial" w:hAnsi="Arial" w:cs="Arial"/>
              </w:rPr>
            </w:pPr>
            <w:r w:rsidRPr="005B1357">
              <w:rPr>
                <w:rFonts w:ascii="Arial" w:hAnsi="Arial" w:cs="Arial"/>
                <w:i/>
                <w:color w:val="475569"/>
                <w:sz w:val="17"/>
              </w:rPr>
              <w:t>Market whitespace, 2x2 positioning matrix, and target segments</w:t>
            </w:r>
          </w:p>
        </w:tc>
      </w:tr>
      <w:tr w:rsidR="00312344" w:rsidRPr="005B1357" w:rsidTr="00606AD6">
        <w:trPr>
          <w:cantSplit/>
          <w:jc w:val="center"/>
        </w:trPr>
        <w:tc>
          <w:tcPr>
            <w:tcW w:w="1008" w:type="dxa"/>
            <w:shd w:val="clear" w:color="auto" w:fill="FBF7EE"/>
            <w:tcMar>
              <w:top w:w="35" w:type="dxa"/>
              <w:left w:w="50" w:type="dxa"/>
              <w:bottom w:w="35" w:type="dxa"/>
              <w:right w:w="10" w:type="dxa"/>
            </w:tcMar>
            <w:vAlign w:val="center"/>
          </w:tcPr>
          <w:p w:rsidR="00312344" w:rsidRPr="005B1357" w:rsidRDefault="007D490C" w:rsidP="00387A95">
            <w:pPr>
              <w:spacing w:after="0"/>
              <w:jc w:val="center"/>
              <w:rPr>
                <w:rFonts w:ascii="Arial" w:hAnsi="Arial" w:cs="Arial"/>
              </w:rPr>
            </w:pPr>
            <w:r w:rsidRPr="005B1357">
              <w:rPr>
                <w:rFonts w:ascii="Arial" w:hAnsi="Arial" w:cs="Arial"/>
                <w:b/>
                <w:color w:val="B98B3B"/>
                <w:sz w:val="19"/>
              </w:rPr>
              <w:t>6</w:t>
            </w:r>
            <w:r w:rsidR="00387A95">
              <w:rPr>
                <w:rFonts w:ascii="Arial" w:hAnsi="Arial" w:cs="Arial"/>
                <w:b/>
                <w:color w:val="B98B3B"/>
                <w:sz w:val="19"/>
              </w:rPr>
              <w:t>.</w:t>
            </w:r>
          </w:p>
        </w:tc>
        <w:tc>
          <w:tcPr>
            <w:tcW w:w="4379" w:type="dxa"/>
            <w:shd w:val="clear" w:color="auto" w:fill="FBF7EE"/>
            <w:tcMar>
              <w:top w:w="35" w:type="dxa"/>
              <w:left w:w="10" w:type="dxa"/>
              <w:bottom w:w="35" w:type="dxa"/>
              <w:right w:w="30" w:type="dxa"/>
            </w:tcMar>
            <w:vAlign w:val="center"/>
          </w:tcPr>
          <w:p w:rsidR="00312344" w:rsidRPr="005B1357" w:rsidRDefault="007D490C" w:rsidP="005B1357">
            <w:pPr>
              <w:spacing w:after="0"/>
              <w:ind w:left="152" w:right="186"/>
              <w:rPr>
                <w:rFonts w:ascii="Arial" w:hAnsi="Arial" w:cs="Arial"/>
              </w:rPr>
            </w:pPr>
            <w:r w:rsidRPr="005B1357">
              <w:rPr>
                <w:rFonts w:ascii="Arial" w:hAnsi="Arial" w:cs="Arial"/>
                <w:b/>
                <w:sz w:val="20"/>
              </w:rPr>
              <w:t>Vision &amp; Mission</w:t>
            </w:r>
          </w:p>
        </w:tc>
        <w:tc>
          <w:tcPr>
            <w:tcW w:w="3973" w:type="dxa"/>
            <w:shd w:val="clear" w:color="auto" w:fill="FBF7EE"/>
            <w:tcMar>
              <w:top w:w="35" w:type="dxa"/>
              <w:left w:w="30" w:type="dxa"/>
              <w:bottom w:w="35" w:type="dxa"/>
              <w:right w:w="50" w:type="dxa"/>
            </w:tcMar>
            <w:vAlign w:val="center"/>
          </w:tcPr>
          <w:p w:rsidR="00312344" w:rsidRPr="005B1357" w:rsidRDefault="007D490C" w:rsidP="00606AD6">
            <w:pPr>
              <w:spacing w:after="0"/>
              <w:ind w:left="114" w:right="130"/>
              <w:jc w:val="both"/>
              <w:rPr>
                <w:rFonts w:ascii="Arial" w:hAnsi="Arial" w:cs="Arial"/>
              </w:rPr>
            </w:pPr>
            <w:r w:rsidRPr="005B1357">
              <w:rPr>
                <w:rFonts w:ascii="Arial" w:hAnsi="Arial" w:cs="Arial"/>
                <w:i/>
                <w:color w:val="475569"/>
                <w:sz w:val="17"/>
              </w:rPr>
              <w:t>3-5 year strategic horizon, vision pillars, and operating commitments</w:t>
            </w:r>
          </w:p>
        </w:tc>
      </w:tr>
      <w:tr w:rsidR="00312344" w:rsidRPr="005B1357" w:rsidTr="00606AD6">
        <w:trPr>
          <w:cantSplit/>
          <w:jc w:val="center"/>
        </w:trPr>
        <w:tc>
          <w:tcPr>
            <w:tcW w:w="1008" w:type="dxa"/>
            <w:shd w:val="clear" w:color="auto" w:fill="FFFFFF"/>
            <w:tcMar>
              <w:top w:w="35" w:type="dxa"/>
              <w:left w:w="50" w:type="dxa"/>
              <w:bottom w:w="35" w:type="dxa"/>
              <w:right w:w="10" w:type="dxa"/>
            </w:tcMar>
            <w:vAlign w:val="center"/>
          </w:tcPr>
          <w:p w:rsidR="00312344" w:rsidRPr="005B1357" w:rsidRDefault="00387A95">
            <w:pPr>
              <w:spacing w:after="0"/>
              <w:jc w:val="center"/>
              <w:rPr>
                <w:rFonts w:ascii="Arial" w:hAnsi="Arial" w:cs="Arial"/>
              </w:rPr>
            </w:pPr>
            <w:r>
              <w:rPr>
                <w:rFonts w:ascii="Arial" w:hAnsi="Arial" w:cs="Arial"/>
                <w:b/>
                <w:color w:val="B98B3B"/>
                <w:sz w:val="19"/>
              </w:rPr>
              <w:t>7.</w:t>
            </w:r>
          </w:p>
        </w:tc>
        <w:tc>
          <w:tcPr>
            <w:tcW w:w="4379" w:type="dxa"/>
            <w:shd w:val="clear" w:color="auto" w:fill="FFFFFF"/>
            <w:tcMar>
              <w:top w:w="35" w:type="dxa"/>
              <w:left w:w="10" w:type="dxa"/>
              <w:bottom w:w="35" w:type="dxa"/>
              <w:right w:w="30" w:type="dxa"/>
            </w:tcMar>
            <w:vAlign w:val="center"/>
          </w:tcPr>
          <w:p w:rsidR="00312344" w:rsidRPr="005B1357" w:rsidRDefault="007D490C" w:rsidP="005B1357">
            <w:pPr>
              <w:spacing w:after="0"/>
              <w:ind w:left="152" w:right="186"/>
              <w:rPr>
                <w:rFonts w:ascii="Arial" w:hAnsi="Arial" w:cs="Arial"/>
              </w:rPr>
            </w:pPr>
            <w:r w:rsidRPr="005B1357">
              <w:rPr>
                <w:rFonts w:ascii="Arial" w:hAnsi="Arial" w:cs="Arial"/>
                <w:b/>
                <w:sz w:val="20"/>
              </w:rPr>
              <w:t>Product Architecture Overview</w:t>
            </w:r>
          </w:p>
        </w:tc>
        <w:tc>
          <w:tcPr>
            <w:tcW w:w="3973" w:type="dxa"/>
            <w:shd w:val="clear" w:color="auto" w:fill="FFFFFF"/>
            <w:tcMar>
              <w:top w:w="35" w:type="dxa"/>
              <w:left w:w="30" w:type="dxa"/>
              <w:bottom w:w="35" w:type="dxa"/>
              <w:right w:w="50" w:type="dxa"/>
            </w:tcMar>
            <w:vAlign w:val="center"/>
          </w:tcPr>
          <w:p w:rsidR="00312344" w:rsidRPr="005B1357" w:rsidRDefault="007D490C" w:rsidP="00606AD6">
            <w:pPr>
              <w:spacing w:after="0"/>
              <w:ind w:left="114" w:right="130"/>
              <w:jc w:val="both"/>
              <w:rPr>
                <w:rFonts w:ascii="Arial" w:hAnsi="Arial" w:cs="Arial"/>
              </w:rPr>
            </w:pPr>
            <w:r w:rsidRPr="005B1357">
              <w:rPr>
                <w:rFonts w:ascii="Arial" w:hAnsi="Arial" w:cs="Arial"/>
                <w:i/>
                <w:color w:val="475569"/>
                <w:sz w:val="17"/>
              </w:rPr>
              <w:t>Decoupled 3-tier architecture diagram &amp; detailed tier breakdown</w:t>
            </w:r>
          </w:p>
        </w:tc>
      </w:tr>
      <w:tr w:rsidR="00312344" w:rsidRPr="005B1357" w:rsidTr="00606AD6">
        <w:trPr>
          <w:cantSplit/>
          <w:jc w:val="center"/>
        </w:trPr>
        <w:tc>
          <w:tcPr>
            <w:tcW w:w="1008" w:type="dxa"/>
            <w:shd w:val="clear" w:color="auto" w:fill="FBF7EE"/>
            <w:tcMar>
              <w:top w:w="35" w:type="dxa"/>
              <w:left w:w="50" w:type="dxa"/>
              <w:bottom w:w="35" w:type="dxa"/>
              <w:right w:w="10" w:type="dxa"/>
            </w:tcMar>
            <w:vAlign w:val="center"/>
          </w:tcPr>
          <w:p w:rsidR="00312344" w:rsidRPr="005B1357" w:rsidRDefault="007D490C" w:rsidP="00387A95">
            <w:pPr>
              <w:spacing w:after="0"/>
              <w:jc w:val="center"/>
              <w:rPr>
                <w:rFonts w:ascii="Arial" w:hAnsi="Arial" w:cs="Arial"/>
              </w:rPr>
            </w:pPr>
            <w:r w:rsidRPr="005B1357">
              <w:rPr>
                <w:rFonts w:ascii="Arial" w:hAnsi="Arial" w:cs="Arial"/>
                <w:b/>
                <w:color w:val="B98B3B"/>
                <w:sz w:val="19"/>
              </w:rPr>
              <w:t>8</w:t>
            </w:r>
            <w:r w:rsidR="00387A95">
              <w:rPr>
                <w:rFonts w:ascii="Arial" w:hAnsi="Arial" w:cs="Arial"/>
                <w:b/>
                <w:color w:val="B98B3B"/>
                <w:sz w:val="19"/>
              </w:rPr>
              <w:t>.</w:t>
            </w:r>
          </w:p>
        </w:tc>
        <w:tc>
          <w:tcPr>
            <w:tcW w:w="4379" w:type="dxa"/>
            <w:shd w:val="clear" w:color="auto" w:fill="FBF7EE"/>
            <w:tcMar>
              <w:top w:w="35" w:type="dxa"/>
              <w:left w:w="10" w:type="dxa"/>
              <w:bottom w:w="35" w:type="dxa"/>
              <w:right w:w="30" w:type="dxa"/>
            </w:tcMar>
            <w:vAlign w:val="center"/>
          </w:tcPr>
          <w:p w:rsidR="00312344" w:rsidRPr="005B1357" w:rsidRDefault="007D490C" w:rsidP="005B1357">
            <w:pPr>
              <w:spacing w:after="0"/>
              <w:ind w:left="152" w:right="186"/>
              <w:rPr>
                <w:rFonts w:ascii="Arial" w:hAnsi="Arial" w:cs="Arial"/>
              </w:rPr>
            </w:pPr>
            <w:r w:rsidRPr="005B1357">
              <w:rPr>
                <w:rFonts w:ascii="Arial" w:hAnsi="Arial" w:cs="Arial"/>
                <w:b/>
                <w:sz w:val="20"/>
              </w:rPr>
              <w:t>Strategic Roadmap &amp; Go-to-Market</w:t>
            </w:r>
          </w:p>
        </w:tc>
        <w:tc>
          <w:tcPr>
            <w:tcW w:w="3973" w:type="dxa"/>
            <w:shd w:val="clear" w:color="auto" w:fill="FBF7EE"/>
            <w:tcMar>
              <w:top w:w="35" w:type="dxa"/>
              <w:left w:w="30" w:type="dxa"/>
              <w:bottom w:w="35" w:type="dxa"/>
              <w:right w:w="50" w:type="dxa"/>
            </w:tcMar>
            <w:vAlign w:val="center"/>
          </w:tcPr>
          <w:p w:rsidR="00312344" w:rsidRPr="005B1357" w:rsidRDefault="007D490C" w:rsidP="00606AD6">
            <w:pPr>
              <w:spacing w:after="0"/>
              <w:ind w:left="114" w:right="130"/>
              <w:jc w:val="both"/>
              <w:rPr>
                <w:rFonts w:ascii="Arial" w:hAnsi="Arial" w:cs="Arial"/>
              </w:rPr>
            </w:pPr>
            <w:r w:rsidRPr="005B1357">
              <w:rPr>
                <w:rFonts w:ascii="Arial" w:hAnsi="Arial" w:cs="Arial"/>
                <w:i/>
                <w:color w:val="475569"/>
                <w:sz w:val="17"/>
              </w:rPr>
              <w:t>Phased product milestones timeline &amp; enterprise GTM initiatives</w:t>
            </w:r>
          </w:p>
        </w:tc>
      </w:tr>
      <w:tr w:rsidR="00312344" w:rsidRPr="005B1357" w:rsidTr="00606AD6">
        <w:trPr>
          <w:cantSplit/>
          <w:jc w:val="center"/>
        </w:trPr>
        <w:tc>
          <w:tcPr>
            <w:tcW w:w="1008" w:type="dxa"/>
            <w:shd w:val="clear" w:color="auto" w:fill="FFFFFF"/>
            <w:tcMar>
              <w:top w:w="35" w:type="dxa"/>
              <w:left w:w="50" w:type="dxa"/>
              <w:bottom w:w="35" w:type="dxa"/>
              <w:right w:w="10" w:type="dxa"/>
            </w:tcMar>
            <w:vAlign w:val="center"/>
          </w:tcPr>
          <w:p w:rsidR="00312344" w:rsidRPr="005B1357" w:rsidRDefault="007D490C" w:rsidP="00387A95">
            <w:pPr>
              <w:spacing w:after="0"/>
              <w:jc w:val="center"/>
              <w:rPr>
                <w:rFonts w:ascii="Arial" w:hAnsi="Arial" w:cs="Arial"/>
              </w:rPr>
            </w:pPr>
            <w:r w:rsidRPr="005B1357">
              <w:rPr>
                <w:rFonts w:ascii="Arial" w:hAnsi="Arial" w:cs="Arial"/>
                <w:b/>
                <w:color w:val="B98B3B"/>
                <w:sz w:val="19"/>
              </w:rPr>
              <w:t>9</w:t>
            </w:r>
            <w:r w:rsidR="00387A95">
              <w:rPr>
                <w:rFonts w:ascii="Arial" w:hAnsi="Arial" w:cs="Arial"/>
                <w:b/>
                <w:color w:val="B98B3B"/>
                <w:sz w:val="19"/>
              </w:rPr>
              <w:t>.</w:t>
            </w:r>
          </w:p>
        </w:tc>
        <w:tc>
          <w:tcPr>
            <w:tcW w:w="4379" w:type="dxa"/>
            <w:shd w:val="clear" w:color="auto" w:fill="FFFFFF"/>
            <w:tcMar>
              <w:top w:w="35" w:type="dxa"/>
              <w:left w:w="10" w:type="dxa"/>
              <w:bottom w:w="35" w:type="dxa"/>
              <w:right w:w="30" w:type="dxa"/>
            </w:tcMar>
            <w:vAlign w:val="center"/>
          </w:tcPr>
          <w:p w:rsidR="00312344" w:rsidRPr="005B1357" w:rsidRDefault="007D490C" w:rsidP="005B1357">
            <w:pPr>
              <w:spacing w:after="0"/>
              <w:ind w:left="152" w:right="186"/>
              <w:rPr>
                <w:rFonts w:ascii="Arial" w:hAnsi="Arial" w:cs="Arial"/>
              </w:rPr>
            </w:pPr>
            <w:r w:rsidRPr="005B1357">
              <w:rPr>
                <w:rFonts w:ascii="Arial" w:hAnsi="Arial" w:cs="Arial"/>
                <w:b/>
                <w:sz w:val="20"/>
              </w:rPr>
              <w:t>Why Invest / Why Partner</w:t>
            </w:r>
          </w:p>
        </w:tc>
        <w:tc>
          <w:tcPr>
            <w:tcW w:w="3973" w:type="dxa"/>
            <w:shd w:val="clear" w:color="auto" w:fill="FFFFFF"/>
            <w:tcMar>
              <w:top w:w="35" w:type="dxa"/>
              <w:left w:w="30" w:type="dxa"/>
              <w:bottom w:w="35" w:type="dxa"/>
              <w:right w:w="50" w:type="dxa"/>
            </w:tcMar>
            <w:vAlign w:val="center"/>
          </w:tcPr>
          <w:p w:rsidR="00312344" w:rsidRPr="005B1357" w:rsidRDefault="007D490C" w:rsidP="00606AD6">
            <w:pPr>
              <w:spacing w:after="0"/>
              <w:ind w:left="114" w:right="130"/>
              <w:jc w:val="both"/>
              <w:rPr>
                <w:rFonts w:ascii="Arial" w:hAnsi="Arial" w:cs="Arial"/>
              </w:rPr>
            </w:pPr>
            <w:r w:rsidRPr="005B1357">
              <w:rPr>
                <w:rFonts w:ascii="Arial" w:hAnsi="Arial" w:cs="Arial"/>
                <w:i/>
                <w:color w:val="475569"/>
                <w:sz w:val="17"/>
              </w:rPr>
              <w:t>Growth metrics, investment thesis, unit economics, and CTA</w:t>
            </w:r>
          </w:p>
        </w:tc>
      </w:tr>
      <w:tr w:rsidR="00312344" w:rsidRPr="005B1357" w:rsidTr="00606AD6">
        <w:trPr>
          <w:cantSplit/>
          <w:jc w:val="center"/>
        </w:trPr>
        <w:tc>
          <w:tcPr>
            <w:tcW w:w="1008" w:type="dxa"/>
            <w:shd w:val="clear" w:color="auto" w:fill="FBF7EE"/>
            <w:tcMar>
              <w:top w:w="35" w:type="dxa"/>
              <w:left w:w="50" w:type="dxa"/>
              <w:bottom w:w="35" w:type="dxa"/>
              <w:right w:w="10" w:type="dxa"/>
            </w:tcMar>
            <w:vAlign w:val="center"/>
          </w:tcPr>
          <w:p w:rsidR="00312344" w:rsidRPr="005B1357" w:rsidRDefault="007D490C" w:rsidP="00387A95">
            <w:pPr>
              <w:spacing w:after="0"/>
              <w:jc w:val="center"/>
              <w:rPr>
                <w:rFonts w:ascii="Arial" w:hAnsi="Arial" w:cs="Arial"/>
              </w:rPr>
            </w:pPr>
            <w:r w:rsidRPr="005B1357">
              <w:rPr>
                <w:rFonts w:ascii="Arial" w:hAnsi="Arial" w:cs="Arial"/>
                <w:b/>
                <w:color w:val="B98B3B"/>
                <w:sz w:val="19"/>
              </w:rPr>
              <w:t>10</w:t>
            </w:r>
            <w:r w:rsidR="00387A95">
              <w:rPr>
                <w:rFonts w:ascii="Arial" w:hAnsi="Arial" w:cs="Arial"/>
                <w:b/>
                <w:color w:val="B98B3B"/>
                <w:sz w:val="19"/>
              </w:rPr>
              <w:t>.</w:t>
            </w:r>
          </w:p>
        </w:tc>
        <w:tc>
          <w:tcPr>
            <w:tcW w:w="4379" w:type="dxa"/>
            <w:shd w:val="clear" w:color="auto" w:fill="FBF7EE"/>
            <w:tcMar>
              <w:top w:w="35" w:type="dxa"/>
              <w:left w:w="10" w:type="dxa"/>
              <w:bottom w:w="35" w:type="dxa"/>
              <w:right w:w="30" w:type="dxa"/>
            </w:tcMar>
            <w:vAlign w:val="center"/>
          </w:tcPr>
          <w:p w:rsidR="00312344" w:rsidRPr="005B1357" w:rsidRDefault="007D490C" w:rsidP="005B1357">
            <w:pPr>
              <w:spacing w:after="0"/>
              <w:ind w:left="152" w:right="186"/>
              <w:rPr>
                <w:rFonts w:ascii="Arial" w:hAnsi="Arial" w:cs="Arial"/>
              </w:rPr>
            </w:pPr>
            <w:r w:rsidRPr="005B1357">
              <w:rPr>
                <w:rFonts w:ascii="Arial" w:hAnsi="Arial" w:cs="Arial"/>
                <w:b/>
                <w:sz w:val="20"/>
              </w:rPr>
              <w:t>Appendix</w:t>
            </w:r>
          </w:p>
        </w:tc>
        <w:tc>
          <w:tcPr>
            <w:tcW w:w="3973" w:type="dxa"/>
            <w:shd w:val="clear" w:color="auto" w:fill="FBF7EE"/>
            <w:tcMar>
              <w:top w:w="35" w:type="dxa"/>
              <w:left w:w="30" w:type="dxa"/>
              <w:bottom w:w="35" w:type="dxa"/>
              <w:right w:w="50" w:type="dxa"/>
            </w:tcMar>
            <w:vAlign w:val="center"/>
          </w:tcPr>
          <w:p w:rsidR="00312344" w:rsidRPr="005B1357" w:rsidRDefault="007D490C" w:rsidP="00606AD6">
            <w:pPr>
              <w:spacing w:after="0"/>
              <w:ind w:left="114" w:right="130"/>
              <w:jc w:val="both"/>
              <w:rPr>
                <w:rFonts w:ascii="Arial" w:hAnsi="Arial" w:cs="Arial"/>
              </w:rPr>
            </w:pPr>
            <w:r w:rsidRPr="005B1357">
              <w:rPr>
                <w:rFonts w:ascii="Arial" w:hAnsi="Arial" w:cs="Arial"/>
                <w:i/>
                <w:color w:val="475569"/>
                <w:sz w:val="17"/>
              </w:rPr>
              <w:t>Comprehensive technical glossary &amp; corporate contact directory</w:t>
            </w:r>
          </w:p>
        </w:tc>
      </w:tr>
    </w:tbl>
    <w:p w:rsidR="00312344" w:rsidRPr="005B1357" w:rsidRDefault="007D490C">
      <w:pPr>
        <w:rPr>
          <w:rFonts w:ascii="Arial" w:hAnsi="Arial" w:cs="Arial"/>
        </w:rPr>
      </w:pPr>
      <w:r w:rsidRPr="005B1357">
        <w:rPr>
          <w:rFonts w:ascii="Arial" w:hAnsi="Arial" w:cs="Arial"/>
        </w:rPr>
        <w:br w:type="page"/>
      </w:r>
    </w:p>
    <w:p w:rsidR="00312344" w:rsidRPr="005B1357" w:rsidRDefault="00312344">
      <w:pPr>
        <w:pBdr>
          <w:bottom w:val="single" w:sz="10" w:space="1" w:color="B98B3B"/>
        </w:pBdr>
        <w:spacing w:before="160" w:after="80"/>
        <w:rPr>
          <w:rFonts w:ascii="Arial" w:hAnsi="Arial" w:cs="Arial"/>
        </w:rPr>
      </w:pPr>
    </w:p>
    <w:p w:rsidR="005B1357" w:rsidRPr="005B1357" w:rsidRDefault="005B1357">
      <w:pPr>
        <w:pStyle w:val="Heading1"/>
        <w:spacing w:before="40" w:after="120"/>
        <w:rPr>
          <w:rFonts w:ascii="Arial" w:hAnsi="Arial" w:cs="Arial"/>
          <w:color w:val="B98B3B"/>
          <w:sz w:val="20"/>
          <w:szCs w:val="20"/>
        </w:rPr>
      </w:pPr>
    </w:p>
    <w:p w:rsidR="00312344" w:rsidRPr="00623C27" w:rsidRDefault="007D490C" w:rsidP="00387A95">
      <w:pPr>
        <w:pStyle w:val="Heading1"/>
        <w:spacing w:before="40" w:after="120"/>
        <w:jc w:val="both"/>
        <w:rPr>
          <w:rFonts w:ascii="Arial" w:hAnsi="Arial" w:cs="Arial"/>
        </w:rPr>
      </w:pPr>
      <w:r w:rsidRPr="00623C27">
        <w:rPr>
          <w:rFonts w:ascii="Arial" w:hAnsi="Arial" w:cs="Arial"/>
          <w:color w:val="B98B3B"/>
        </w:rPr>
        <w:t xml:space="preserve">1.0 </w:t>
      </w:r>
      <w:r w:rsidRPr="00623C27">
        <w:rPr>
          <w:rFonts w:ascii="Arial" w:hAnsi="Arial" w:cs="Arial"/>
        </w:rPr>
        <w:t>Executive Summary</w:t>
      </w:r>
    </w:p>
    <w:p w:rsidR="00623C27" w:rsidRPr="00623C27" w:rsidRDefault="005B1357" w:rsidP="002471E2">
      <w:pPr>
        <w:pStyle w:val="NormalWeb"/>
        <w:jc w:val="both"/>
        <w:rPr>
          <w:rFonts w:ascii="Arial" w:hAnsi="Arial" w:cs="Arial"/>
        </w:rPr>
      </w:pPr>
      <w:r w:rsidRPr="00623C27">
        <w:rPr>
          <w:rFonts w:ascii="Arial" w:hAnsi="Arial" w:cs="Arial"/>
        </w:rPr>
        <w:tab/>
      </w:r>
      <w:r w:rsidR="00623C27" w:rsidRPr="00623C27">
        <w:rPr>
          <w:rFonts w:ascii="Arial" w:hAnsi="Arial" w:cs="Arial"/>
        </w:rPr>
        <w:t xml:space="preserve">Most enterprise infrastructure teams are drowning in tooling. It's not unusual to find platform engineers juggling fifteen or more dashboards, APIs, and telemetry consoles just to keep AWS, GCP, Azure, and on-prem systems talking to each other. The cost isn't abstract </w:t>
      </w:r>
      <w:r w:rsidR="00623C27">
        <w:rPr>
          <w:rFonts w:ascii="Arial" w:hAnsi="Arial" w:cs="Arial"/>
        </w:rPr>
        <w:t>-</w:t>
      </w:r>
      <w:r w:rsidR="00623C27" w:rsidRPr="00623C27">
        <w:rPr>
          <w:rFonts w:ascii="Arial" w:hAnsi="Arial" w:cs="Arial"/>
        </w:rPr>
        <w:t xml:space="preserve"> it shows up as inflated data egress bills, security gaps between systems that were never designed to share a perimeter, and engineering teams spending the majority of their time (by some estimates, 60-70%) wiring infrastructure together instead of building product.</w:t>
      </w:r>
    </w:p>
    <w:p w:rsidR="00623C27" w:rsidRPr="00623C27" w:rsidRDefault="00A35DE0" w:rsidP="00623C27">
      <w:pPr>
        <w:spacing w:before="100" w:beforeAutospacing="1" w:after="100" w:afterAutospacing="1" w:line="240" w:lineRule="auto"/>
        <w:jc w:val="both"/>
        <w:rPr>
          <w:rFonts w:ascii="Arial" w:eastAsia="Times New Roman" w:hAnsi="Arial" w:cs="Arial"/>
          <w:color w:val="auto"/>
          <w:sz w:val="24"/>
          <w:szCs w:val="24"/>
          <w:lang w:bidi="mr-IN"/>
        </w:rPr>
      </w:pPr>
      <w:r>
        <w:rPr>
          <w:rFonts w:ascii="Arial" w:eastAsia="Times New Roman" w:hAnsi="Arial" w:cs="Arial"/>
          <w:color w:val="auto"/>
          <w:sz w:val="24"/>
          <w:szCs w:val="24"/>
          <w:lang w:bidi="mr-IN"/>
        </w:rPr>
        <w:tab/>
      </w:r>
      <w:r w:rsidR="00623C27" w:rsidRPr="00623C27">
        <w:rPr>
          <w:rFonts w:ascii="Arial" w:eastAsia="Times New Roman" w:hAnsi="Arial" w:cs="Arial"/>
          <w:color w:val="auto"/>
          <w:sz w:val="24"/>
          <w:szCs w:val="24"/>
          <w:lang w:bidi="mr-IN"/>
        </w:rPr>
        <w:t xml:space="preserve">Aravanta Cloud OS, built by Aravanta Tech, exists to fix that. It's a Kubernetes-native control plane that brings virtual machines, Kubernetes clusters, managed databases, S3-compatible storage, GitOps pipelines, and observability under one roof </w:t>
      </w:r>
      <w:r>
        <w:rPr>
          <w:rFonts w:ascii="Arial" w:eastAsia="Times New Roman" w:hAnsi="Arial" w:cs="Arial"/>
          <w:color w:val="auto"/>
          <w:sz w:val="24"/>
          <w:szCs w:val="24"/>
          <w:lang w:bidi="mr-IN"/>
        </w:rPr>
        <w:t>-</w:t>
      </w:r>
      <w:r w:rsidR="00623C27" w:rsidRPr="00623C27">
        <w:rPr>
          <w:rFonts w:ascii="Arial" w:eastAsia="Times New Roman" w:hAnsi="Arial" w:cs="Arial"/>
          <w:color w:val="auto"/>
          <w:sz w:val="24"/>
          <w:szCs w:val="24"/>
          <w:lang w:bidi="mr-IN"/>
        </w:rPr>
        <w:t xml:space="preserve"> across every major cloud and private datacenters alike.</w:t>
      </w:r>
    </w:p>
    <w:p w:rsidR="00623C27" w:rsidRPr="00623C27" w:rsidRDefault="00A35DE0" w:rsidP="00623C27">
      <w:pPr>
        <w:spacing w:before="100" w:beforeAutospacing="1" w:after="100" w:afterAutospacing="1" w:line="240" w:lineRule="auto"/>
        <w:jc w:val="both"/>
        <w:rPr>
          <w:rFonts w:ascii="Arial" w:eastAsia="Times New Roman" w:hAnsi="Arial" w:cs="Arial"/>
          <w:color w:val="auto"/>
          <w:sz w:val="24"/>
          <w:szCs w:val="24"/>
          <w:lang w:bidi="mr-IN"/>
        </w:rPr>
      </w:pPr>
      <w:r>
        <w:rPr>
          <w:rFonts w:ascii="Arial" w:eastAsia="Times New Roman" w:hAnsi="Arial" w:cs="Arial"/>
          <w:color w:val="auto"/>
          <w:sz w:val="24"/>
          <w:szCs w:val="24"/>
          <w:lang w:bidi="mr-IN"/>
        </w:rPr>
        <w:tab/>
      </w:r>
      <w:r w:rsidR="00623C27" w:rsidRPr="00623C27">
        <w:rPr>
          <w:rFonts w:ascii="Arial" w:eastAsia="Times New Roman" w:hAnsi="Arial" w:cs="Arial"/>
          <w:color w:val="auto"/>
          <w:sz w:val="24"/>
          <w:szCs w:val="24"/>
          <w:lang w:bidi="mr-IN"/>
        </w:rPr>
        <w:t xml:space="preserve">A few things set it apart in practice. Telemetry streams via eBPF in under 10 milliseconds. Canary releases roll back automatically in 1.2 seconds if something goes wrong. Access control runs on a four-tier, zero-trust RBAC model with TOTP multi-factor authentication required, not optional. Every action </w:t>
      </w:r>
      <w:r>
        <w:rPr>
          <w:rFonts w:ascii="Arial" w:eastAsia="Times New Roman" w:hAnsi="Arial" w:cs="Arial"/>
          <w:color w:val="auto"/>
          <w:sz w:val="24"/>
          <w:szCs w:val="24"/>
          <w:lang w:bidi="mr-IN"/>
        </w:rPr>
        <w:t>-</w:t>
      </w:r>
      <w:r w:rsidR="00623C27" w:rsidRPr="00623C27">
        <w:rPr>
          <w:rFonts w:ascii="Arial" w:eastAsia="Times New Roman" w:hAnsi="Arial" w:cs="Arial"/>
          <w:color w:val="auto"/>
          <w:sz w:val="24"/>
          <w:szCs w:val="24"/>
          <w:lang w:bidi="mr-IN"/>
        </w:rPr>
        <w:t xml:space="preserve"> operational or administrative </w:t>
      </w:r>
      <w:r>
        <w:rPr>
          <w:rFonts w:ascii="Arial" w:eastAsia="Times New Roman" w:hAnsi="Arial" w:cs="Arial"/>
          <w:color w:val="auto"/>
          <w:sz w:val="24"/>
          <w:szCs w:val="24"/>
          <w:lang w:bidi="mr-IN"/>
        </w:rPr>
        <w:t>-</w:t>
      </w:r>
      <w:r w:rsidR="00623C27" w:rsidRPr="00623C27">
        <w:rPr>
          <w:rFonts w:ascii="Arial" w:eastAsia="Times New Roman" w:hAnsi="Arial" w:cs="Arial"/>
          <w:color w:val="auto"/>
          <w:sz w:val="24"/>
          <w:szCs w:val="24"/>
          <w:lang w:bidi="mr-IN"/>
        </w:rPr>
        <w:t xml:space="preserve"> lands in an audit trail retained for 365 days, which is part of why the platform meets SOC 2 Type II and India's DPDPA 2023 requirements out of the box. Billing runs per-second, in INR or USD.</w:t>
      </w:r>
    </w:p>
    <w:p w:rsidR="00623C27" w:rsidRPr="00623C27" w:rsidRDefault="00A35DE0" w:rsidP="00623C27">
      <w:pPr>
        <w:spacing w:before="100" w:beforeAutospacing="1" w:after="100" w:afterAutospacing="1" w:line="240" w:lineRule="auto"/>
        <w:jc w:val="both"/>
        <w:rPr>
          <w:rFonts w:ascii="Arial" w:eastAsia="Times New Roman" w:hAnsi="Arial" w:cs="Arial"/>
          <w:color w:val="auto"/>
          <w:sz w:val="24"/>
          <w:szCs w:val="24"/>
          <w:lang w:bidi="mr-IN"/>
        </w:rPr>
      </w:pPr>
      <w:r>
        <w:rPr>
          <w:rFonts w:ascii="Arial" w:eastAsia="Times New Roman" w:hAnsi="Arial" w:cs="Arial"/>
          <w:color w:val="auto"/>
          <w:sz w:val="24"/>
          <w:szCs w:val="24"/>
          <w:lang w:bidi="mr-IN"/>
        </w:rPr>
        <w:tab/>
      </w:r>
      <w:r w:rsidR="00623C27" w:rsidRPr="00623C27">
        <w:rPr>
          <w:rFonts w:ascii="Arial" w:eastAsia="Times New Roman" w:hAnsi="Arial" w:cs="Arial"/>
          <w:color w:val="auto"/>
          <w:sz w:val="24"/>
          <w:szCs w:val="24"/>
          <w:lang w:bidi="mr-IN"/>
        </w:rPr>
        <w:t xml:space="preserve">The platform currently runs across four production regions </w:t>
      </w:r>
      <w:r w:rsidR="00496F48">
        <w:rPr>
          <w:rFonts w:ascii="Arial" w:eastAsia="Times New Roman" w:hAnsi="Arial" w:cs="Arial"/>
          <w:color w:val="auto"/>
          <w:sz w:val="24"/>
          <w:szCs w:val="24"/>
          <w:lang w:bidi="mr-IN"/>
        </w:rPr>
        <w:t>-</w:t>
      </w:r>
      <w:r w:rsidR="00623C27" w:rsidRPr="00623C27">
        <w:rPr>
          <w:rFonts w:ascii="Arial" w:eastAsia="Times New Roman" w:hAnsi="Arial" w:cs="Arial"/>
          <w:color w:val="auto"/>
          <w:sz w:val="24"/>
          <w:szCs w:val="24"/>
          <w:lang w:bidi="mr-IN"/>
        </w:rPr>
        <w:t xml:space="preserve"> Mumbai, Chennai, Singapore, and Frankfurt </w:t>
      </w:r>
      <w:r w:rsidR="00496F48">
        <w:rPr>
          <w:rFonts w:ascii="Arial" w:eastAsia="Times New Roman" w:hAnsi="Arial" w:cs="Arial"/>
          <w:color w:val="auto"/>
          <w:sz w:val="24"/>
          <w:szCs w:val="24"/>
          <w:lang w:bidi="mr-IN"/>
        </w:rPr>
        <w:t>-</w:t>
      </w:r>
      <w:r w:rsidR="00623C27" w:rsidRPr="00623C27">
        <w:rPr>
          <w:rFonts w:ascii="Arial" w:eastAsia="Times New Roman" w:hAnsi="Arial" w:cs="Arial"/>
          <w:color w:val="auto"/>
          <w:sz w:val="24"/>
          <w:szCs w:val="24"/>
          <w:lang w:bidi="mr-IN"/>
        </w:rPr>
        <w:t xml:space="preserve"> and it's built entirely on open CNCF standards: upstream Kubernetes, OpenTelemetry, Prometheus, Terraform. No proprietary forks, no lock-in by design. Workloads move freely, which means engineering leadership keeps real leverage over both infrastructure decisions and vendor contracts.</w:t>
      </w:r>
    </w:p>
    <w:p w:rsidR="00623C27" w:rsidRPr="00623C27" w:rsidRDefault="00A35DE0" w:rsidP="00623C27">
      <w:pPr>
        <w:spacing w:before="100" w:beforeAutospacing="1" w:after="100" w:afterAutospacing="1" w:line="240" w:lineRule="auto"/>
        <w:jc w:val="both"/>
        <w:rPr>
          <w:rFonts w:ascii="Arial" w:eastAsia="Times New Roman" w:hAnsi="Arial" w:cs="Arial"/>
          <w:color w:val="auto"/>
          <w:sz w:val="24"/>
          <w:szCs w:val="24"/>
          <w:lang w:bidi="mr-IN"/>
        </w:rPr>
      </w:pPr>
      <w:r>
        <w:rPr>
          <w:rFonts w:ascii="Arial" w:eastAsia="Times New Roman" w:hAnsi="Arial" w:cs="Arial"/>
          <w:color w:val="auto"/>
          <w:sz w:val="24"/>
          <w:szCs w:val="24"/>
          <w:lang w:bidi="mr-IN"/>
        </w:rPr>
        <w:tab/>
      </w:r>
      <w:r w:rsidR="00623C27" w:rsidRPr="00623C27">
        <w:rPr>
          <w:rFonts w:ascii="Arial" w:eastAsia="Times New Roman" w:hAnsi="Arial" w:cs="Arial"/>
          <w:color w:val="auto"/>
          <w:sz w:val="24"/>
          <w:szCs w:val="24"/>
          <w:lang w:bidi="mr-IN"/>
        </w:rPr>
        <w:t xml:space="preserve">This isn't a better dashboard bolted onto existing cloud accounts. It's an attempt to make the "multi-cloud operating layer" concept </w:t>
      </w:r>
      <w:r w:rsidR="00496F48">
        <w:rPr>
          <w:rFonts w:ascii="Arial" w:eastAsia="Times New Roman" w:hAnsi="Arial" w:cs="Arial"/>
          <w:color w:val="auto"/>
          <w:sz w:val="24"/>
          <w:szCs w:val="24"/>
          <w:lang w:bidi="mr-IN"/>
        </w:rPr>
        <w:t>-</w:t>
      </w:r>
      <w:r w:rsidR="00623C27" w:rsidRPr="00623C27">
        <w:rPr>
          <w:rFonts w:ascii="Arial" w:eastAsia="Times New Roman" w:hAnsi="Arial" w:cs="Arial"/>
          <w:color w:val="auto"/>
          <w:sz w:val="24"/>
          <w:szCs w:val="24"/>
          <w:lang w:bidi="mr-IN"/>
        </w:rPr>
        <w:t xml:space="preserve"> talked about for years </w:t>
      </w:r>
      <w:r w:rsidR="00496F48">
        <w:rPr>
          <w:rFonts w:ascii="Arial" w:eastAsia="Times New Roman" w:hAnsi="Arial" w:cs="Arial"/>
          <w:color w:val="auto"/>
          <w:sz w:val="24"/>
          <w:szCs w:val="24"/>
          <w:lang w:bidi="mr-IN"/>
        </w:rPr>
        <w:t>-</w:t>
      </w:r>
      <w:r w:rsidR="00623C27" w:rsidRPr="00623C27">
        <w:rPr>
          <w:rFonts w:ascii="Arial" w:eastAsia="Times New Roman" w:hAnsi="Arial" w:cs="Arial"/>
          <w:color w:val="auto"/>
          <w:sz w:val="24"/>
          <w:szCs w:val="24"/>
          <w:lang w:bidi="mr-IN"/>
        </w:rPr>
        <w:t xml:space="preserve"> actually work.</w:t>
      </w:r>
    </w:p>
    <w:p w:rsidR="00A35DE0" w:rsidRDefault="00A35DE0">
      <w:pPr>
        <w:spacing w:after="200"/>
        <w:rPr>
          <w:rFonts w:ascii="Arial" w:hAnsi="Arial" w:cs="Arial"/>
        </w:rPr>
      </w:pPr>
      <w:r>
        <w:rPr>
          <w:rFonts w:ascii="Arial" w:hAnsi="Arial" w:cs="Arial"/>
        </w:rPr>
        <w:br w:type="page"/>
      </w:r>
    </w:p>
    <w:p w:rsidR="00312344" w:rsidRPr="005B1357" w:rsidRDefault="00312344">
      <w:pPr>
        <w:pBdr>
          <w:bottom w:val="single" w:sz="10" w:space="1" w:color="B98B3B"/>
        </w:pBdr>
        <w:spacing w:before="160" w:after="80"/>
        <w:rPr>
          <w:rFonts w:ascii="Arial" w:hAnsi="Arial" w:cs="Arial"/>
        </w:rPr>
      </w:pPr>
    </w:p>
    <w:p w:rsidR="005B1357" w:rsidRPr="005B1357" w:rsidRDefault="005B1357">
      <w:pPr>
        <w:pStyle w:val="Heading1"/>
        <w:spacing w:before="40" w:after="120"/>
        <w:rPr>
          <w:rFonts w:ascii="Arial" w:hAnsi="Arial" w:cs="Arial"/>
          <w:color w:val="B98B3B"/>
          <w:sz w:val="20"/>
          <w:szCs w:val="20"/>
        </w:rPr>
      </w:pPr>
    </w:p>
    <w:p w:rsidR="00312344" w:rsidRPr="005B1357" w:rsidRDefault="007D490C" w:rsidP="00606AD6">
      <w:pPr>
        <w:pStyle w:val="Heading1"/>
        <w:spacing w:before="40" w:after="120"/>
        <w:rPr>
          <w:rFonts w:ascii="Arial" w:hAnsi="Arial" w:cs="Arial"/>
        </w:rPr>
      </w:pPr>
      <w:r w:rsidRPr="005B1357">
        <w:rPr>
          <w:rFonts w:ascii="Arial" w:hAnsi="Arial" w:cs="Arial"/>
          <w:color w:val="B98B3B"/>
        </w:rPr>
        <w:t xml:space="preserve">2.0 </w:t>
      </w:r>
      <w:r w:rsidRPr="005B1357">
        <w:rPr>
          <w:rFonts w:ascii="Arial" w:hAnsi="Arial" w:cs="Arial"/>
        </w:rPr>
        <w:t>About Aravanta Tech (Parent Company)</w:t>
      </w:r>
    </w:p>
    <w:p w:rsidR="00312344" w:rsidRPr="005B1357" w:rsidRDefault="007D490C">
      <w:pPr>
        <w:pStyle w:val="Heading2"/>
        <w:spacing w:before="200"/>
        <w:rPr>
          <w:rFonts w:ascii="Arial" w:hAnsi="Arial" w:cs="Arial"/>
        </w:rPr>
      </w:pPr>
      <w:r w:rsidRPr="005B1357">
        <w:rPr>
          <w:rFonts w:ascii="Arial" w:hAnsi="Arial" w:cs="Arial"/>
          <w:color w:val="B98B3B"/>
        </w:rPr>
        <w:t>2.1</w:t>
      </w:r>
      <w:r w:rsidR="00A35DE0">
        <w:rPr>
          <w:rFonts w:ascii="Arial" w:hAnsi="Arial" w:cs="Arial"/>
          <w:color w:val="B98B3B"/>
        </w:rPr>
        <w:t xml:space="preserve"> </w:t>
      </w:r>
      <w:r w:rsidRPr="005B1357">
        <w:rPr>
          <w:rFonts w:ascii="Arial" w:hAnsi="Arial" w:cs="Arial"/>
        </w:rPr>
        <w:t>Corporate Genesis &amp; Background</w:t>
      </w:r>
    </w:p>
    <w:p w:rsidR="00A35DE0" w:rsidRPr="00A35DE0" w:rsidRDefault="00A35DE0" w:rsidP="005B1357">
      <w:pPr>
        <w:spacing w:after="140"/>
        <w:jc w:val="both"/>
        <w:rPr>
          <w:rFonts w:ascii="Arial" w:hAnsi="Arial" w:cs="Arial"/>
          <w:sz w:val="24"/>
          <w:szCs w:val="24"/>
        </w:rPr>
      </w:pPr>
      <w:r>
        <w:rPr>
          <w:rFonts w:ascii="Arial" w:hAnsi="Arial" w:cs="Arial"/>
          <w:sz w:val="24"/>
          <w:szCs w:val="24"/>
        </w:rPr>
        <w:tab/>
      </w:r>
      <w:r w:rsidRPr="00A35DE0">
        <w:rPr>
          <w:rFonts w:ascii="Arial" w:hAnsi="Arial" w:cs="Arial"/>
          <w:sz w:val="24"/>
          <w:szCs w:val="24"/>
        </w:rPr>
        <w:t xml:space="preserve">Aravanta Tech was founded by a group of former hyperscaler architects and distributed systems engineers, people who spent the better part of a decade building and operating infrastructure for millions of production workloads across AWS, Google Cloud, and Azure. The company is headquartered in </w:t>
      </w:r>
      <w:r>
        <w:rPr>
          <w:rFonts w:ascii="Arial" w:hAnsi="Arial" w:cs="Arial"/>
          <w:sz w:val="24"/>
          <w:szCs w:val="24"/>
        </w:rPr>
        <w:t>Jalgaon</w:t>
      </w:r>
      <w:r w:rsidRPr="00A35DE0">
        <w:rPr>
          <w:rFonts w:ascii="Arial" w:hAnsi="Arial" w:cs="Arial"/>
          <w:sz w:val="24"/>
          <w:szCs w:val="24"/>
        </w:rPr>
        <w:t>, positioning it at the intersection of global platform engineering practice and India's fast-growing digital economy, now well past the $10B mark.</w:t>
      </w:r>
    </w:p>
    <w:p w:rsidR="00312344" w:rsidRPr="00A35DE0" w:rsidRDefault="00A35DE0" w:rsidP="005B1357">
      <w:pPr>
        <w:spacing w:after="140"/>
        <w:jc w:val="both"/>
        <w:rPr>
          <w:rFonts w:ascii="Arial" w:hAnsi="Arial" w:cs="Arial"/>
          <w:sz w:val="24"/>
          <w:szCs w:val="24"/>
        </w:rPr>
      </w:pPr>
      <w:r>
        <w:rPr>
          <w:rFonts w:ascii="Arial" w:hAnsi="Arial" w:cs="Arial"/>
          <w:sz w:val="24"/>
          <w:szCs w:val="24"/>
        </w:rPr>
        <w:tab/>
      </w:r>
      <w:r w:rsidRPr="00A35DE0">
        <w:rPr>
          <w:rFonts w:ascii="Arial" w:hAnsi="Arial" w:cs="Arial"/>
          <w:sz w:val="24"/>
          <w:szCs w:val="24"/>
        </w:rPr>
        <w:t xml:space="preserve">The founders didn't arrive at this idea in the abstract </w:t>
      </w:r>
      <w:r>
        <w:rPr>
          <w:rFonts w:ascii="Arial" w:hAnsi="Arial" w:cs="Arial"/>
          <w:sz w:val="24"/>
          <w:szCs w:val="24"/>
        </w:rPr>
        <w:t>-</w:t>
      </w:r>
      <w:r w:rsidRPr="00A35DE0">
        <w:rPr>
          <w:rFonts w:ascii="Arial" w:hAnsi="Arial" w:cs="Arial"/>
          <w:sz w:val="24"/>
          <w:szCs w:val="24"/>
        </w:rPr>
        <w:t xml:space="preserve"> they lived the problem first. Years spent inside hyperscaler environments showed them how much the public cloud business model depends on friction: proprietary APIs that don't translate elsewhere, networking fee structures that punish you for moving data, consoles designed to keep you inside one walled garden rather than make your life easier. Aravanta Tech was built specifically to push back against that.</w:t>
      </w:r>
    </w:p>
    <w:p w:rsidR="00312344" w:rsidRPr="005B1357" w:rsidRDefault="007D490C">
      <w:pPr>
        <w:pStyle w:val="Heading2"/>
        <w:spacing w:before="200"/>
        <w:rPr>
          <w:rFonts w:ascii="Arial" w:hAnsi="Arial" w:cs="Arial"/>
        </w:rPr>
      </w:pPr>
      <w:r w:rsidRPr="005B1357">
        <w:rPr>
          <w:rFonts w:ascii="Arial" w:hAnsi="Arial" w:cs="Arial"/>
          <w:color w:val="B98B3B"/>
        </w:rPr>
        <w:t xml:space="preserve">2.2 </w:t>
      </w:r>
      <w:r w:rsidRPr="005B1357">
        <w:rPr>
          <w:rFonts w:ascii="Arial" w:hAnsi="Arial" w:cs="Arial"/>
        </w:rPr>
        <w:t>Operating Philosophy &amp; Core Thesis</w:t>
      </w:r>
    </w:p>
    <w:tbl>
      <w:tblPr>
        <w:tblW w:w="9360" w:type="dxa"/>
        <w:jc w:val="center"/>
        <w:tblBorders>
          <w:top w:val="single" w:sz="4" w:space="0" w:color="B98B3B"/>
          <w:left w:val="single" w:sz="4" w:space="0" w:color="B98B3B"/>
          <w:bottom w:val="single" w:sz="4" w:space="0" w:color="B98B3B"/>
          <w:right w:val="single" w:sz="4" w:space="0" w:color="B98B3B"/>
        </w:tblBorders>
        <w:tblLook w:val="04A0"/>
      </w:tblPr>
      <w:tblGrid>
        <w:gridCol w:w="9360"/>
      </w:tblGrid>
      <w:tr w:rsidR="00312344" w:rsidRPr="005B1357" w:rsidTr="00496F48">
        <w:trPr>
          <w:cantSplit/>
          <w:jc w:val="center"/>
        </w:trPr>
        <w:tc>
          <w:tcPr>
            <w:tcW w:w="9360" w:type="dxa"/>
            <w:shd w:val="clear" w:color="auto" w:fill="FBF7EE"/>
            <w:tcMar>
              <w:top w:w="140" w:type="dxa"/>
              <w:left w:w="200" w:type="dxa"/>
              <w:bottom w:w="140" w:type="dxa"/>
              <w:right w:w="160" w:type="dxa"/>
            </w:tcMar>
          </w:tcPr>
          <w:p w:rsidR="00312344" w:rsidRPr="00A35DE0" w:rsidRDefault="007D490C" w:rsidP="005B1357">
            <w:pPr>
              <w:spacing w:before="40" w:after="40"/>
              <w:jc w:val="both"/>
              <w:rPr>
                <w:rFonts w:ascii="Arial" w:hAnsi="Arial" w:cs="Arial"/>
                <w:i/>
                <w:sz w:val="24"/>
                <w:szCs w:val="24"/>
              </w:rPr>
            </w:pPr>
            <w:r w:rsidRPr="00A35DE0">
              <w:rPr>
                <w:rFonts w:ascii="Arial" w:hAnsi="Arial" w:cs="Arial"/>
                <w:i/>
                <w:sz w:val="24"/>
                <w:szCs w:val="24"/>
              </w:rPr>
              <w:t>"</w:t>
            </w:r>
            <w:r w:rsidR="00A35DE0" w:rsidRPr="00A35DE0">
              <w:rPr>
                <w:rFonts w:ascii="Arial" w:hAnsi="Arial" w:cs="Arial"/>
                <w:i/>
                <w:sz w:val="24"/>
                <w:szCs w:val="24"/>
              </w:rPr>
              <w:t>Infrastructure should fade into the background. Engineering teams have better things to do than maintain brittle multi-cloud glue code, chase down IAM misconfigurations, or decode egress bills that seem designed to confuse. The operating system for modern infrastructure needs to be open, unified, and boringly reliable.</w:t>
            </w:r>
            <w:r w:rsidRPr="00A35DE0">
              <w:rPr>
                <w:rFonts w:ascii="Arial" w:hAnsi="Arial" w:cs="Arial"/>
                <w:i/>
                <w:sz w:val="24"/>
                <w:szCs w:val="24"/>
              </w:rPr>
              <w:t>"</w:t>
            </w:r>
          </w:p>
        </w:tc>
      </w:tr>
    </w:tbl>
    <w:p w:rsidR="00312344" w:rsidRPr="005B1357" w:rsidRDefault="00312344">
      <w:pPr>
        <w:rPr>
          <w:rFonts w:ascii="Arial" w:hAnsi="Arial" w:cs="Arial"/>
        </w:rPr>
      </w:pPr>
    </w:p>
    <w:p w:rsidR="00312344" w:rsidRPr="005B1357" w:rsidRDefault="007D490C">
      <w:pPr>
        <w:pStyle w:val="Heading2"/>
        <w:spacing w:before="200"/>
        <w:rPr>
          <w:rFonts w:ascii="Arial" w:hAnsi="Arial" w:cs="Arial"/>
        </w:rPr>
      </w:pPr>
      <w:r w:rsidRPr="005B1357">
        <w:rPr>
          <w:rFonts w:ascii="Arial" w:hAnsi="Arial" w:cs="Arial"/>
          <w:color w:val="B98B3B"/>
        </w:rPr>
        <w:t xml:space="preserve">2.3 </w:t>
      </w:r>
      <w:r w:rsidRPr="005B1357">
        <w:rPr>
          <w:rFonts w:ascii="Arial" w:hAnsi="Arial" w:cs="Arial"/>
        </w:rPr>
        <w:t>Executive Leadership &amp; Governance</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592"/>
        <w:gridCol w:w="2592"/>
        <w:gridCol w:w="4176"/>
      </w:tblGrid>
      <w:tr w:rsidR="00312344" w:rsidRPr="005B1357">
        <w:trPr>
          <w:cantSplit/>
          <w:tblHeader/>
          <w:jc w:val="center"/>
        </w:trPr>
        <w:tc>
          <w:tcPr>
            <w:tcW w:w="2592"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Executive Role</w:t>
            </w:r>
          </w:p>
        </w:tc>
        <w:tc>
          <w:tcPr>
            <w:tcW w:w="2592"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Leadership Profile</w:t>
            </w:r>
          </w:p>
        </w:tc>
        <w:tc>
          <w:tcPr>
            <w:tcW w:w="4176"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Engineering Pedigree &amp; Domain Expertise</w:t>
            </w:r>
          </w:p>
        </w:tc>
      </w:tr>
      <w:tr w:rsidR="00312344" w:rsidRPr="005B1357">
        <w:trPr>
          <w:cantSplit/>
          <w:jc w:val="center"/>
        </w:trPr>
        <w:tc>
          <w:tcPr>
            <w:tcW w:w="2592"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Head of Enterprise Product</w:t>
            </w:r>
          </w:p>
        </w:tc>
        <w:tc>
          <w:tcPr>
            <w:tcW w:w="2592" w:type="dxa"/>
            <w:shd w:val="clear" w:color="auto" w:fill="FBF7EE"/>
            <w:tcMar>
              <w:top w:w="55" w:type="dxa"/>
              <w:left w:w="90" w:type="dxa"/>
              <w:bottom w:w="55" w:type="dxa"/>
              <w:right w:w="90" w:type="dxa"/>
            </w:tcMar>
            <w:vAlign w:val="center"/>
          </w:tcPr>
          <w:p w:rsidR="00312344" w:rsidRPr="005B1357" w:rsidRDefault="00387A95">
            <w:pPr>
              <w:spacing w:after="0"/>
              <w:rPr>
                <w:rFonts w:ascii="Arial" w:hAnsi="Arial" w:cs="Arial"/>
              </w:rPr>
            </w:pPr>
            <w:r>
              <w:rPr>
                <w:rFonts w:ascii="Arial" w:hAnsi="Arial" w:cs="Arial"/>
                <w:sz w:val="19"/>
              </w:rPr>
              <w:t>Mr. Yash Naresh Baviskar</w:t>
            </w:r>
          </w:p>
        </w:tc>
        <w:tc>
          <w:tcPr>
            <w:tcW w:w="4176"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Infrastructure product veteran; scaled enterprise developer platforms from $0 to $40M ARR.</w:t>
            </w:r>
          </w:p>
        </w:tc>
      </w:tr>
    </w:tbl>
    <w:p w:rsidR="00496F48" w:rsidRDefault="00496F48">
      <w:pPr>
        <w:spacing w:after="200"/>
        <w:rPr>
          <w:rFonts w:ascii="Arial" w:hAnsi="Arial" w:cs="Arial"/>
        </w:rPr>
      </w:pPr>
      <w:r>
        <w:rPr>
          <w:rFonts w:ascii="Arial" w:hAnsi="Arial" w:cs="Arial"/>
        </w:rPr>
        <w:br w:type="page"/>
      </w:r>
    </w:p>
    <w:p w:rsidR="00312344" w:rsidRPr="005B1357" w:rsidRDefault="00312344">
      <w:pPr>
        <w:pBdr>
          <w:bottom w:val="single" w:sz="10" w:space="1" w:color="B98B3B"/>
        </w:pBdr>
        <w:spacing w:before="160" w:after="80"/>
        <w:rPr>
          <w:rFonts w:ascii="Arial" w:hAnsi="Arial" w:cs="Arial"/>
        </w:rPr>
      </w:pPr>
    </w:p>
    <w:p w:rsidR="005B1357" w:rsidRPr="005B1357" w:rsidRDefault="005B1357">
      <w:pPr>
        <w:pStyle w:val="Heading1"/>
        <w:spacing w:before="40" w:after="120"/>
        <w:rPr>
          <w:rFonts w:ascii="Arial" w:hAnsi="Arial" w:cs="Arial"/>
          <w:color w:val="B98B3B"/>
          <w:sz w:val="20"/>
          <w:szCs w:val="20"/>
        </w:rPr>
      </w:pPr>
    </w:p>
    <w:p w:rsidR="00312344" w:rsidRPr="005B1357" w:rsidRDefault="007D490C" w:rsidP="00606AD6">
      <w:pPr>
        <w:pStyle w:val="Heading1"/>
        <w:spacing w:before="40" w:after="120"/>
        <w:rPr>
          <w:rFonts w:ascii="Arial" w:hAnsi="Arial" w:cs="Arial"/>
        </w:rPr>
      </w:pPr>
      <w:r w:rsidRPr="005B1357">
        <w:rPr>
          <w:rFonts w:ascii="Arial" w:hAnsi="Arial" w:cs="Arial"/>
          <w:color w:val="B98B3B"/>
        </w:rPr>
        <w:t xml:space="preserve">3.0 </w:t>
      </w:r>
      <w:r w:rsidRPr="005B1357">
        <w:rPr>
          <w:rFonts w:ascii="Arial" w:hAnsi="Arial" w:cs="Arial"/>
        </w:rPr>
        <w:t>Why Aravanta Cloud OS</w:t>
      </w:r>
    </w:p>
    <w:p w:rsidR="00312344" w:rsidRPr="005B1357" w:rsidRDefault="007D490C">
      <w:pPr>
        <w:pStyle w:val="Heading2"/>
        <w:spacing w:before="200"/>
        <w:rPr>
          <w:rFonts w:ascii="Arial" w:hAnsi="Arial" w:cs="Arial"/>
        </w:rPr>
      </w:pPr>
      <w:r w:rsidRPr="005B1357">
        <w:rPr>
          <w:rFonts w:ascii="Arial" w:hAnsi="Arial" w:cs="Arial"/>
          <w:color w:val="B98B3B"/>
        </w:rPr>
        <w:t xml:space="preserve">3.1 </w:t>
      </w:r>
      <w:r w:rsidRPr="005B1357">
        <w:rPr>
          <w:rFonts w:ascii="Arial" w:hAnsi="Arial" w:cs="Arial"/>
        </w:rPr>
        <w:t>The Enterprise Cloud Complexity Tax</w:t>
      </w:r>
    </w:p>
    <w:p w:rsidR="00312344" w:rsidRPr="00DC1394" w:rsidRDefault="00DC1394" w:rsidP="00DC1394">
      <w:pPr>
        <w:jc w:val="both"/>
        <w:rPr>
          <w:rFonts w:ascii="Arial" w:hAnsi="Arial" w:cs="Arial"/>
          <w:sz w:val="24"/>
          <w:szCs w:val="24"/>
        </w:rPr>
      </w:pPr>
      <w:r>
        <w:rPr>
          <w:rFonts w:ascii="Arial" w:hAnsi="Arial" w:cs="Arial"/>
          <w:sz w:val="24"/>
          <w:szCs w:val="24"/>
        </w:rPr>
        <w:tab/>
      </w:r>
      <w:r w:rsidR="00A35DE0" w:rsidRPr="00DC1394">
        <w:rPr>
          <w:rFonts w:ascii="Arial" w:hAnsi="Arial" w:cs="Arial"/>
          <w:sz w:val="24"/>
          <w:szCs w:val="24"/>
        </w:rPr>
        <w:t xml:space="preserve">Complexity doesn't scale gracefully in multi-cloud environments </w:t>
      </w:r>
      <w:r>
        <w:rPr>
          <w:rFonts w:ascii="Arial" w:hAnsi="Arial" w:cs="Arial"/>
          <w:sz w:val="24"/>
          <w:szCs w:val="24"/>
        </w:rPr>
        <w:t>-</w:t>
      </w:r>
      <w:r w:rsidR="00A35DE0" w:rsidRPr="00DC1394">
        <w:rPr>
          <w:rFonts w:ascii="Arial" w:hAnsi="Arial" w:cs="Arial"/>
          <w:sz w:val="24"/>
          <w:szCs w:val="24"/>
        </w:rPr>
        <w:t xml:space="preserve"> it compounds. Add a second cloud provider and you don't get double the work; you get something closer to exponential drag, as every new system has to be wired into everything that came before it. Platform teams running multi-cloud or hybrid setups tend to run into the same six problems, over and over:</w:t>
      </w:r>
    </w:p>
    <w:p w:rsidR="00496F48" w:rsidRPr="00496F48" w:rsidRDefault="00A35DE0" w:rsidP="00496F48">
      <w:pPr>
        <w:pStyle w:val="ListParagraph"/>
        <w:numPr>
          <w:ilvl w:val="0"/>
          <w:numId w:val="12"/>
        </w:numPr>
        <w:spacing w:line="360" w:lineRule="auto"/>
        <w:jc w:val="both"/>
        <w:rPr>
          <w:rFonts w:ascii="Arial" w:eastAsia="Times New Roman" w:hAnsi="Arial" w:cs="Arial"/>
          <w:color w:val="auto"/>
          <w:sz w:val="24"/>
          <w:szCs w:val="24"/>
          <w:lang w:bidi="mr-IN"/>
        </w:rPr>
      </w:pPr>
      <w:r w:rsidRPr="00496F48">
        <w:rPr>
          <w:rFonts w:ascii="Arial" w:eastAsia="Times New Roman" w:hAnsi="Arial" w:cs="Arial"/>
          <w:b/>
          <w:bCs/>
          <w:color w:val="auto"/>
          <w:sz w:val="24"/>
          <w:szCs w:val="24"/>
          <w:lang w:bidi="mr-IN"/>
        </w:rPr>
        <w:t>Console fatigue.</w:t>
      </w:r>
      <w:r w:rsidRPr="00496F48">
        <w:rPr>
          <w:rFonts w:ascii="Arial" w:eastAsia="Times New Roman" w:hAnsi="Arial" w:cs="Arial"/>
          <w:color w:val="auto"/>
          <w:sz w:val="24"/>
          <w:szCs w:val="24"/>
          <w:lang w:bidi="mr-IN"/>
        </w:rPr>
        <w:t xml:space="preserve"> It's common for engineers to bounce between fifteen or more disconnected tools in a single day </w:t>
      </w:r>
      <w:r w:rsidR="00DC1394" w:rsidRPr="00496F48">
        <w:rPr>
          <w:rFonts w:ascii="Arial" w:eastAsia="Times New Roman" w:hAnsi="Arial" w:cs="Arial"/>
          <w:color w:val="auto"/>
          <w:sz w:val="24"/>
          <w:szCs w:val="24"/>
          <w:lang w:bidi="mr-IN"/>
        </w:rPr>
        <w:t>-</w:t>
      </w:r>
      <w:r w:rsidRPr="00496F48">
        <w:rPr>
          <w:rFonts w:ascii="Arial" w:eastAsia="Times New Roman" w:hAnsi="Arial" w:cs="Arial"/>
          <w:color w:val="auto"/>
          <w:sz w:val="24"/>
          <w:szCs w:val="24"/>
          <w:lang w:bidi="mr-IN"/>
        </w:rPr>
        <w:t xml:space="preserve"> the AWS Console, GCP Console, Azure Portal, Terraform Cloud, Datadog, PagerDuty, ArgoCD, Vault </w:t>
      </w:r>
      <w:r w:rsidR="00DC1394" w:rsidRPr="00496F48">
        <w:rPr>
          <w:rFonts w:ascii="Arial" w:eastAsia="Times New Roman" w:hAnsi="Arial" w:cs="Arial"/>
          <w:color w:val="auto"/>
          <w:sz w:val="24"/>
          <w:szCs w:val="24"/>
          <w:lang w:bidi="mr-IN"/>
        </w:rPr>
        <w:t>-</w:t>
      </w:r>
      <w:r w:rsidRPr="00496F48">
        <w:rPr>
          <w:rFonts w:ascii="Arial" w:eastAsia="Times New Roman" w:hAnsi="Arial" w:cs="Arial"/>
          <w:color w:val="auto"/>
          <w:sz w:val="24"/>
          <w:szCs w:val="24"/>
          <w:lang w:bidi="mr-IN"/>
        </w:rPr>
        <w:t xml:space="preserve"> none of which share context with each other. </w:t>
      </w:r>
    </w:p>
    <w:p w:rsidR="00A35DE0" w:rsidRPr="00DC1394" w:rsidRDefault="00A35DE0" w:rsidP="00496F48">
      <w:pPr>
        <w:pStyle w:val="ListParagraph"/>
        <w:numPr>
          <w:ilvl w:val="0"/>
          <w:numId w:val="12"/>
        </w:numPr>
        <w:spacing w:after="0" w:line="360" w:lineRule="auto"/>
        <w:jc w:val="both"/>
        <w:rPr>
          <w:rFonts w:ascii="Arial" w:eastAsia="Times New Roman" w:hAnsi="Arial" w:cs="Arial"/>
          <w:color w:val="auto"/>
          <w:sz w:val="24"/>
          <w:szCs w:val="24"/>
          <w:lang w:bidi="mr-IN"/>
        </w:rPr>
      </w:pPr>
      <w:r w:rsidRPr="00DC1394">
        <w:rPr>
          <w:rFonts w:ascii="Arial" w:eastAsia="Times New Roman" w:hAnsi="Arial" w:cs="Arial"/>
          <w:b/>
          <w:bCs/>
          <w:color w:val="auto"/>
          <w:sz w:val="24"/>
          <w:szCs w:val="24"/>
          <w:lang w:bidi="mr-IN"/>
        </w:rPr>
        <w:t>Vendor lock-in by design.</w:t>
      </w:r>
      <w:r w:rsidRPr="00DC1394">
        <w:rPr>
          <w:rFonts w:ascii="Arial" w:eastAsia="Times New Roman" w:hAnsi="Arial" w:cs="Arial"/>
          <w:color w:val="auto"/>
          <w:sz w:val="24"/>
          <w:szCs w:val="24"/>
          <w:lang w:bidi="mr-IN"/>
        </w:rPr>
        <w:t xml:space="preserve"> Proprietary managed services and cloud-specific SDKs are convenient right up until you try to leave. Then they become negotiating leverage the vendor holds over you at contract renewal time, not the other way around. </w:t>
      </w:r>
    </w:p>
    <w:p w:rsidR="00A35DE0" w:rsidRPr="00DC1394" w:rsidRDefault="00A35DE0" w:rsidP="00496F48">
      <w:pPr>
        <w:pStyle w:val="ListParagraph"/>
        <w:numPr>
          <w:ilvl w:val="0"/>
          <w:numId w:val="12"/>
        </w:numPr>
        <w:spacing w:after="0" w:line="360" w:lineRule="auto"/>
        <w:jc w:val="both"/>
        <w:rPr>
          <w:rFonts w:ascii="Arial" w:eastAsia="Times New Roman" w:hAnsi="Arial" w:cs="Arial"/>
          <w:color w:val="auto"/>
          <w:sz w:val="24"/>
          <w:szCs w:val="24"/>
          <w:lang w:bidi="mr-IN"/>
        </w:rPr>
      </w:pPr>
      <w:r w:rsidRPr="00DC1394">
        <w:rPr>
          <w:rFonts w:ascii="Arial" w:eastAsia="Times New Roman" w:hAnsi="Arial" w:cs="Arial"/>
          <w:b/>
          <w:bCs/>
          <w:color w:val="auto"/>
          <w:sz w:val="24"/>
          <w:szCs w:val="24"/>
          <w:lang w:bidi="mr-IN"/>
        </w:rPr>
        <w:t>Cost opacity.</w:t>
      </w:r>
      <w:r w:rsidRPr="00DC1394">
        <w:rPr>
          <w:rFonts w:ascii="Arial" w:eastAsia="Times New Roman" w:hAnsi="Arial" w:cs="Arial"/>
          <w:color w:val="auto"/>
          <w:sz w:val="24"/>
          <w:szCs w:val="24"/>
          <w:lang w:bidi="mr-IN"/>
        </w:rPr>
        <w:t xml:space="preserve"> Egress fees and cross-zone networking charges are structured in ways that make forecasting genuinely difficult </w:t>
      </w:r>
      <w:r w:rsidR="00DC1394">
        <w:rPr>
          <w:rFonts w:ascii="Arial" w:eastAsia="Times New Roman" w:hAnsi="Arial" w:cs="Arial"/>
          <w:color w:val="auto"/>
          <w:sz w:val="24"/>
          <w:szCs w:val="24"/>
          <w:lang w:bidi="mr-IN"/>
        </w:rPr>
        <w:t>-</w:t>
      </w:r>
      <w:r w:rsidRPr="00DC1394">
        <w:rPr>
          <w:rFonts w:ascii="Arial" w:eastAsia="Times New Roman" w:hAnsi="Arial" w:cs="Arial"/>
          <w:color w:val="auto"/>
          <w:sz w:val="24"/>
          <w:szCs w:val="24"/>
          <w:lang w:bidi="mr-IN"/>
        </w:rPr>
        <w:t xml:space="preserve"> FinOps teams are often reconstructing costs after the fact rather than predicting them. </w:t>
      </w:r>
    </w:p>
    <w:p w:rsidR="00A35DE0" w:rsidRPr="00DC1394" w:rsidRDefault="00A35DE0" w:rsidP="00496F48">
      <w:pPr>
        <w:pStyle w:val="ListParagraph"/>
        <w:numPr>
          <w:ilvl w:val="0"/>
          <w:numId w:val="12"/>
        </w:numPr>
        <w:spacing w:after="0" w:line="360" w:lineRule="auto"/>
        <w:jc w:val="both"/>
        <w:rPr>
          <w:rFonts w:ascii="Arial" w:eastAsia="Times New Roman" w:hAnsi="Arial" w:cs="Arial"/>
          <w:color w:val="auto"/>
          <w:sz w:val="24"/>
          <w:szCs w:val="24"/>
          <w:lang w:bidi="mr-IN"/>
        </w:rPr>
      </w:pPr>
      <w:r w:rsidRPr="00DC1394">
        <w:rPr>
          <w:rFonts w:ascii="Arial" w:eastAsia="Times New Roman" w:hAnsi="Arial" w:cs="Arial"/>
          <w:b/>
          <w:bCs/>
          <w:color w:val="auto"/>
          <w:sz w:val="24"/>
          <w:szCs w:val="24"/>
          <w:lang w:bidi="mr-IN"/>
        </w:rPr>
        <w:t>IAM and security sprawl.</w:t>
      </w:r>
      <w:r w:rsidRPr="00DC1394">
        <w:rPr>
          <w:rFonts w:ascii="Arial" w:eastAsia="Times New Roman" w:hAnsi="Arial" w:cs="Arial"/>
          <w:color w:val="auto"/>
          <w:sz w:val="24"/>
          <w:szCs w:val="24"/>
          <w:lang w:bidi="mr-IN"/>
        </w:rPr>
        <w:t xml:space="preserve"> Different identity providers, inconsistent RBAC models, and audit trails that don't talk to each other add up to real security blind spots, not just inconvenienc</w:t>
      </w:r>
      <w:r w:rsidR="00DC1394">
        <w:rPr>
          <w:rFonts w:ascii="Arial" w:eastAsia="Times New Roman" w:hAnsi="Arial" w:cs="Arial"/>
          <w:color w:val="auto"/>
          <w:sz w:val="24"/>
          <w:szCs w:val="24"/>
          <w:lang w:bidi="mr-IN"/>
        </w:rPr>
        <w:tab/>
      </w:r>
      <w:r w:rsidRPr="00DC1394">
        <w:rPr>
          <w:rFonts w:ascii="Arial" w:eastAsia="Times New Roman" w:hAnsi="Arial" w:cs="Arial"/>
          <w:color w:val="auto"/>
          <w:sz w:val="24"/>
          <w:szCs w:val="24"/>
          <w:lang w:bidi="mr-IN"/>
        </w:rPr>
        <w:t xml:space="preserve">e. </w:t>
      </w:r>
    </w:p>
    <w:p w:rsidR="00A35DE0" w:rsidRPr="00DC1394" w:rsidRDefault="00A35DE0" w:rsidP="00496F48">
      <w:pPr>
        <w:pStyle w:val="ListParagraph"/>
        <w:numPr>
          <w:ilvl w:val="0"/>
          <w:numId w:val="12"/>
        </w:numPr>
        <w:spacing w:after="0" w:line="360" w:lineRule="auto"/>
        <w:jc w:val="both"/>
        <w:rPr>
          <w:rFonts w:ascii="Arial" w:eastAsia="Times New Roman" w:hAnsi="Arial" w:cs="Arial"/>
          <w:color w:val="auto"/>
          <w:sz w:val="24"/>
          <w:szCs w:val="24"/>
          <w:lang w:bidi="mr-IN"/>
        </w:rPr>
      </w:pPr>
      <w:r w:rsidRPr="00DC1394">
        <w:rPr>
          <w:rFonts w:ascii="Arial" w:eastAsia="Times New Roman" w:hAnsi="Arial" w:cs="Arial"/>
          <w:b/>
          <w:bCs/>
          <w:color w:val="auto"/>
          <w:sz w:val="24"/>
          <w:szCs w:val="24"/>
          <w:lang w:bidi="mr-IN"/>
        </w:rPr>
        <w:t>Observability silos.</w:t>
      </w:r>
      <w:r w:rsidRPr="00DC1394">
        <w:rPr>
          <w:rFonts w:ascii="Arial" w:eastAsia="Times New Roman" w:hAnsi="Arial" w:cs="Arial"/>
          <w:color w:val="auto"/>
          <w:sz w:val="24"/>
          <w:szCs w:val="24"/>
          <w:lang w:bidi="mr-IN"/>
        </w:rPr>
        <w:t xml:space="preserve"> When metrics, logs, and traces live in separate systems, incident response slows down </w:t>
      </w:r>
      <w:r w:rsidR="00DC1394">
        <w:rPr>
          <w:rFonts w:ascii="Arial" w:eastAsia="Times New Roman" w:hAnsi="Arial" w:cs="Arial"/>
          <w:color w:val="auto"/>
          <w:sz w:val="24"/>
          <w:szCs w:val="24"/>
          <w:lang w:bidi="mr-IN"/>
        </w:rPr>
        <w:t>-</w:t>
      </w:r>
      <w:r w:rsidRPr="00DC1394">
        <w:rPr>
          <w:rFonts w:ascii="Arial" w:eastAsia="Times New Roman" w:hAnsi="Arial" w:cs="Arial"/>
          <w:color w:val="auto"/>
          <w:sz w:val="24"/>
          <w:szCs w:val="24"/>
          <w:lang w:bidi="mr-IN"/>
        </w:rPr>
        <w:t xml:space="preserve"> MTTA and MTTR both suffer because engineers are stitching together a picture that should already be unified. </w:t>
      </w:r>
    </w:p>
    <w:p w:rsidR="00312344" w:rsidRPr="00DC1394" w:rsidRDefault="00A35DE0" w:rsidP="00496F48">
      <w:pPr>
        <w:pStyle w:val="ListParagraph"/>
        <w:numPr>
          <w:ilvl w:val="0"/>
          <w:numId w:val="12"/>
        </w:numPr>
        <w:spacing w:after="0" w:line="360" w:lineRule="auto"/>
        <w:jc w:val="both"/>
        <w:rPr>
          <w:rFonts w:ascii="Arial" w:hAnsi="Arial" w:cs="Arial"/>
          <w:sz w:val="24"/>
          <w:szCs w:val="24"/>
        </w:rPr>
      </w:pPr>
      <w:r w:rsidRPr="00DC1394">
        <w:rPr>
          <w:rFonts w:ascii="Arial" w:eastAsia="Times New Roman" w:hAnsi="Arial" w:cs="Arial"/>
          <w:b/>
          <w:bCs/>
          <w:color w:val="auto"/>
          <w:sz w:val="24"/>
          <w:szCs w:val="24"/>
          <w:lang w:bidi="mr-IN"/>
        </w:rPr>
        <w:t>The integration tax.</w:t>
      </w:r>
      <w:r w:rsidRPr="00DC1394">
        <w:rPr>
          <w:rFonts w:ascii="Arial" w:eastAsia="Times New Roman" w:hAnsi="Arial" w:cs="Arial"/>
          <w:color w:val="auto"/>
          <w:sz w:val="24"/>
          <w:szCs w:val="24"/>
          <w:lang w:bidi="mr-IN"/>
        </w:rPr>
        <w:t xml:space="preserve"> By most estimates, platform teams lose somewhere around 60-70% of their sprint capacity to glue code and vendor-specific workarounds </w:t>
      </w:r>
      <w:r w:rsidR="00DC1394">
        <w:rPr>
          <w:rFonts w:ascii="Arial" w:eastAsia="Times New Roman" w:hAnsi="Arial" w:cs="Arial"/>
          <w:color w:val="auto"/>
          <w:sz w:val="24"/>
          <w:szCs w:val="24"/>
          <w:lang w:bidi="mr-IN"/>
        </w:rPr>
        <w:t>-</w:t>
      </w:r>
      <w:r w:rsidRPr="00DC1394">
        <w:rPr>
          <w:rFonts w:ascii="Arial" w:eastAsia="Times New Roman" w:hAnsi="Arial" w:cs="Arial"/>
          <w:color w:val="auto"/>
          <w:sz w:val="24"/>
          <w:szCs w:val="24"/>
          <w:lang w:bidi="mr-IN"/>
        </w:rPr>
        <w:t xml:space="preserve"> time that isn't going toward anything a customer will ever see.</w:t>
      </w:r>
    </w:p>
    <w:p w:rsidR="00A9213A" w:rsidRDefault="00A9213A" w:rsidP="00606AD6">
      <w:pPr>
        <w:pStyle w:val="Heading2"/>
        <w:pBdr>
          <w:bottom w:val="single" w:sz="4" w:space="1" w:color="B98B3B"/>
        </w:pBdr>
        <w:spacing w:before="200" w:after="0"/>
        <w:rPr>
          <w:rFonts w:ascii="Arial" w:hAnsi="Arial" w:cs="Arial"/>
          <w:color w:val="B98B3B"/>
        </w:rPr>
      </w:pPr>
    </w:p>
    <w:p w:rsidR="00312344" w:rsidRPr="005B1357" w:rsidRDefault="007D490C" w:rsidP="00DC1394">
      <w:pPr>
        <w:pStyle w:val="Heading2"/>
        <w:spacing w:before="200" w:after="120"/>
        <w:rPr>
          <w:rFonts w:ascii="Arial" w:hAnsi="Arial" w:cs="Arial"/>
        </w:rPr>
      </w:pPr>
      <w:r w:rsidRPr="005B1357">
        <w:rPr>
          <w:rFonts w:ascii="Arial" w:hAnsi="Arial" w:cs="Arial"/>
          <w:color w:val="B98B3B"/>
        </w:rPr>
        <w:t xml:space="preserve">3.2 </w:t>
      </w:r>
      <w:r w:rsidRPr="005B1357">
        <w:rPr>
          <w:rFonts w:ascii="Arial" w:hAnsi="Arial" w:cs="Arial"/>
        </w:rPr>
        <w:t>Problem-to-Solution Transformation Flow</w:t>
      </w:r>
    </w:p>
    <w:p w:rsidR="00312344" w:rsidRDefault="007D490C">
      <w:pPr>
        <w:spacing w:before="120" w:after="160"/>
        <w:jc w:val="center"/>
        <w:rPr>
          <w:rFonts w:ascii="Arial" w:hAnsi="Arial" w:cs="Arial"/>
        </w:rPr>
      </w:pPr>
      <w:r w:rsidRPr="005B1357">
        <w:rPr>
          <w:rFonts w:ascii="Arial" w:hAnsi="Arial" w:cs="Arial"/>
          <w:noProof/>
          <w:lang w:bidi="mr-IN"/>
        </w:rPr>
        <w:drawing>
          <wp:inline distT="0" distB="0" distL="0" distR="0">
            <wp:extent cx="4691270" cy="2321941"/>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solution.png"/>
                    <pic:cNvPicPr/>
                  </pic:nvPicPr>
                  <pic:blipFill>
                    <a:blip r:embed="rId9"/>
                    <a:stretch>
                      <a:fillRect/>
                    </a:stretch>
                  </pic:blipFill>
                  <pic:spPr>
                    <a:xfrm>
                      <a:off x="0" y="0"/>
                      <a:ext cx="4691270" cy="2321941"/>
                    </a:xfrm>
                    <a:prstGeom prst="rect">
                      <a:avLst/>
                    </a:prstGeom>
                  </pic:spPr>
                </pic:pic>
              </a:graphicData>
            </a:graphic>
          </wp:inline>
        </w:drawing>
      </w:r>
    </w:p>
    <w:p w:rsidR="00A35DE0" w:rsidRDefault="00A35DE0">
      <w:pPr>
        <w:spacing w:before="120" w:after="160"/>
        <w:jc w:val="center"/>
        <w:rPr>
          <w:rFonts w:ascii="Arial" w:hAnsi="Arial" w:cs="Arial"/>
        </w:rPr>
      </w:pPr>
    </w:p>
    <w:p w:rsidR="00A35DE0" w:rsidRPr="005B1357" w:rsidRDefault="00A35DE0">
      <w:pPr>
        <w:spacing w:before="120" w:after="160"/>
        <w:jc w:val="center"/>
        <w:rPr>
          <w:rFonts w:ascii="Arial" w:hAnsi="Arial" w:cs="Arial"/>
        </w:rPr>
      </w:pPr>
    </w:p>
    <w:p w:rsidR="00A9213A" w:rsidRDefault="00A9213A">
      <w:pPr>
        <w:spacing w:after="200"/>
        <w:rPr>
          <w:rFonts w:ascii="Arial" w:hAnsi="Arial" w:cs="Arial"/>
        </w:rPr>
      </w:pPr>
      <w:r>
        <w:rPr>
          <w:rFonts w:ascii="Arial" w:hAnsi="Arial" w:cs="Arial"/>
        </w:rPr>
        <w:br w:type="page"/>
      </w:r>
    </w:p>
    <w:p w:rsidR="00A9213A" w:rsidRPr="005B1357" w:rsidRDefault="00A9213A">
      <w:pPr>
        <w:pBdr>
          <w:bottom w:val="single" w:sz="10" w:space="1" w:color="B98B3B"/>
        </w:pBdr>
        <w:spacing w:before="160" w:after="80"/>
        <w:rPr>
          <w:rFonts w:ascii="Arial" w:hAnsi="Arial" w:cs="Arial"/>
        </w:rPr>
      </w:pPr>
    </w:p>
    <w:p w:rsidR="005B1357" w:rsidRPr="005B1357" w:rsidRDefault="005B1357">
      <w:pPr>
        <w:pStyle w:val="Heading1"/>
        <w:spacing w:before="40" w:after="120"/>
        <w:rPr>
          <w:rFonts w:ascii="Arial" w:hAnsi="Arial" w:cs="Arial"/>
          <w:color w:val="B98B3B"/>
          <w:sz w:val="20"/>
          <w:szCs w:val="20"/>
        </w:rPr>
      </w:pPr>
    </w:p>
    <w:p w:rsidR="00312344" w:rsidRPr="005B1357" w:rsidRDefault="007D490C" w:rsidP="00606AD6">
      <w:pPr>
        <w:pStyle w:val="Heading1"/>
        <w:spacing w:before="40" w:after="120"/>
        <w:rPr>
          <w:rFonts w:ascii="Arial" w:hAnsi="Arial" w:cs="Arial"/>
        </w:rPr>
      </w:pPr>
      <w:r w:rsidRPr="005B1357">
        <w:rPr>
          <w:rFonts w:ascii="Arial" w:hAnsi="Arial" w:cs="Arial"/>
          <w:color w:val="B98B3B"/>
        </w:rPr>
        <w:t>4.0</w:t>
      </w:r>
      <w:r w:rsidR="00A35DE0">
        <w:rPr>
          <w:rFonts w:ascii="Arial" w:hAnsi="Arial" w:cs="Arial"/>
          <w:color w:val="B98B3B"/>
        </w:rPr>
        <w:t xml:space="preserve"> </w:t>
      </w:r>
      <w:r w:rsidRPr="005B1357">
        <w:rPr>
          <w:rFonts w:ascii="Arial" w:hAnsi="Arial" w:cs="Arial"/>
        </w:rPr>
        <w:t>Services &amp; Differentiators</w:t>
      </w:r>
    </w:p>
    <w:p w:rsidR="00312344" w:rsidRPr="005B1357" w:rsidRDefault="007D490C">
      <w:pPr>
        <w:pStyle w:val="Heading2"/>
        <w:spacing w:before="200"/>
        <w:rPr>
          <w:rFonts w:ascii="Arial" w:hAnsi="Arial" w:cs="Arial"/>
        </w:rPr>
      </w:pPr>
      <w:r w:rsidRPr="005B1357">
        <w:rPr>
          <w:rFonts w:ascii="Arial" w:hAnsi="Arial" w:cs="Arial"/>
          <w:color w:val="B98B3B"/>
        </w:rPr>
        <w:t>4.1</w:t>
      </w:r>
      <w:r w:rsidR="00A35DE0">
        <w:rPr>
          <w:rFonts w:ascii="Arial" w:hAnsi="Arial" w:cs="Arial"/>
          <w:color w:val="B98B3B"/>
        </w:rPr>
        <w:t xml:space="preserve"> </w:t>
      </w:r>
      <w:r w:rsidRPr="005B1357">
        <w:rPr>
          <w:rFonts w:ascii="Arial" w:hAnsi="Arial" w:cs="Arial"/>
        </w:rPr>
        <w:t>Core Modular Services Architecture</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1787"/>
        <w:gridCol w:w="3780"/>
        <w:gridCol w:w="3793"/>
      </w:tblGrid>
      <w:tr w:rsidR="00312344" w:rsidRPr="00296CBF" w:rsidTr="00296CBF">
        <w:trPr>
          <w:cantSplit/>
          <w:tblHeader/>
          <w:jc w:val="center"/>
        </w:trPr>
        <w:tc>
          <w:tcPr>
            <w:tcW w:w="1787" w:type="dxa"/>
            <w:shd w:val="clear" w:color="auto" w:fill="242524"/>
            <w:tcMar>
              <w:top w:w="70" w:type="dxa"/>
              <w:left w:w="90" w:type="dxa"/>
              <w:bottom w:w="70"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b/>
                <w:color w:val="FFFFFF"/>
                <w:sz w:val="24"/>
                <w:szCs w:val="24"/>
              </w:rPr>
              <w:t>Service Module</w:t>
            </w:r>
          </w:p>
        </w:tc>
        <w:tc>
          <w:tcPr>
            <w:tcW w:w="3780" w:type="dxa"/>
            <w:shd w:val="clear" w:color="auto" w:fill="242524"/>
            <w:tcMar>
              <w:top w:w="70" w:type="dxa"/>
              <w:left w:w="90" w:type="dxa"/>
              <w:bottom w:w="70"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b/>
                <w:color w:val="FFFFFF"/>
                <w:sz w:val="24"/>
                <w:szCs w:val="24"/>
              </w:rPr>
              <w:t>Functional Scope</w:t>
            </w:r>
          </w:p>
        </w:tc>
        <w:tc>
          <w:tcPr>
            <w:tcW w:w="3793" w:type="dxa"/>
            <w:shd w:val="clear" w:color="auto" w:fill="242524"/>
            <w:tcMar>
              <w:top w:w="70" w:type="dxa"/>
              <w:left w:w="90" w:type="dxa"/>
              <w:bottom w:w="70"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b/>
                <w:color w:val="FFFFFF"/>
                <w:sz w:val="24"/>
                <w:szCs w:val="24"/>
              </w:rPr>
              <w:t>Key Architectural Differentiator</w:t>
            </w:r>
          </w:p>
        </w:tc>
      </w:tr>
      <w:tr w:rsidR="00312344" w:rsidRPr="00296CBF" w:rsidTr="00296CBF">
        <w:trPr>
          <w:cantSplit/>
          <w:jc w:val="center"/>
        </w:trPr>
        <w:tc>
          <w:tcPr>
            <w:tcW w:w="1787" w:type="dxa"/>
            <w:shd w:val="clear" w:color="auto" w:fill="FFFFFF"/>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ArvCompute Engine</w:t>
            </w:r>
          </w:p>
        </w:tc>
        <w:tc>
          <w:tcPr>
            <w:tcW w:w="3780" w:type="dxa"/>
            <w:shd w:val="clear" w:color="auto" w:fill="FFFFFF"/>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Elastic VMs with NVMe SSD block storage</w:t>
            </w:r>
          </w:p>
        </w:tc>
        <w:tc>
          <w:tcPr>
            <w:tcW w:w="3793" w:type="dxa"/>
            <w:shd w:val="clear" w:color="auto" w:fill="FFFFFF"/>
            <w:tcMar>
              <w:top w:w="55" w:type="dxa"/>
              <w:left w:w="90" w:type="dxa"/>
              <w:bottom w:w="55" w:type="dxa"/>
              <w:right w:w="90" w:type="dxa"/>
            </w:tcMar>
            <w:vAlign w:val="center"/>
          </w:tcPr>
          <w:p w:rsidR="00312344" w:rsidRPr="00296CBF" w:rsidRDefault="003B77C2" w:rsidP="002A5237">
            <w:pPr>
              <w:spacing w:after="0"/>
              <w:jc w:val="center"/>
              <w:rPr>
                <w:rFonts w:ascii="Arial" w:hAnsi="Arial" w:cs="Arial"/>
                <w:sz w:val="24"/>
                <w:szCs w:val="24"/>
              </w:rPr>
            </w:pPr>
            <w:r w:rsidRPr="00296CBF">
              <w:rPr>
                <w:rFonts w:ascii="Arial" w:hAnsi="Arial" w:cs="Arial"/>
                <w:sz w:val="24"/>
                <w:szCs w:val="24"/>
              </w:rPr>
              <w:t>Live CPU and RAM resizing with no reboot required, billed per second down to the resource level</w:t>
            </w:r>
          </w:p>
        </w:tc>
      </w:tr>
      <w:tr w:rsidR="00312344" w:rsidRPr="00296CBF" w:rsidTr="00296CBF">
        <w:trPr>
          <w:cantSplit/>
          <w:jc w:val="center"/>
        </w:trPr>
        <w:tc>
          <w:tcPr>
            <w:tcW w:w="1787" w:type="dxa"/>
            <w:shd w:val="clear" w:color="auto" w:fill="FBF7EE"/>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ArvKube Orchestrator</w:t>
            </w:r>
          </w:p>
        </w:tc>
        <w:tc>
          <w:tcPr>
            <w:tcW w:w="3780" w:type="dxa"/>
            <w:shd w:val="clear" w:color="auto" w:fill="FBF7EE"/>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Managed upstream Kubernetes 1.27-1.30</w:t>
            </w:r>
          </w:p>
        </w:tc>
        <w:tc>
          <w:tcPr>
            <w:tcW w:w="3793" w:type="dxa"/>
            <w:shd w:val="clear" w:color="auto" w:fill="FBF7EE"/>
            <w:tcMar>
              <w:top w:w="55" w:type="dxa"/>
              <w:left w:w="90" w:type="dxa"/>
              <w:bottom w:w="55" w:type="dxa"/>
              <w:right w:w="90" w:type="dxa"/>
            </w:tcMar>
            <w:vAlign w:val="center"/>
          </w:tcPr>
          <w:p w:rsidR="00312344" w:rsidRPr="00296CBF" w:rsidRDefault="003B77C2" w:rsidP="002A5237">
            <w:pPr>
              <w:spacing w:after="0"/>
              <w:jc w:val="center"/>
              <w:rPr>
                <w:rFonts w:ascii="Arial" w:hAnsi="Arial" w:cs="Arial"/>
                <w:sz w:val="24"/>
                <w:szCs w:val="24"/>
              </w:rPr>
            </w:pPr>
            <w:r w:rsidRPr="00296CBF">
              <w:rPr>
                <w:rFonts w:ascii="Arial" w:hAnsi="Arial" w:cs="Arial"/>
                <w:sz w:val="24"/>
                <w:szCs w:val="24"/>
              </w:rPr>
              <w:t>Automated node draining, horizontal pod autoscaling, and true multi-tenant namespace isolation</w:t>
            </w:r>
          </w:p>
        </w:tc>
      </w:tr>
      <w:tr w:rsidR="00312344" w:rsidRPr="00296CBF" w:rsidTr="00296CBF">
        <w:trPr>
          <w:cantSplit/>
          <w:jc w:val="center"/>
        </w:trPr>
        <w:tc>
          <w:tcPr>
            <w:tcW w:w="1787" w:type="dxa"/>
            <w:shd w:val="clear" w:color="auto" w:fill="FFFFFF"/>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ArvStore Fabric</w:t>
            </w:r>
          </w:p>
        </w:tc>
        <w:tc>
          <w:tcPr>
            <w:tcW w:w="3780" w:type="dxa"/>
            <w:shd w:val="clear" w:color="auto" w:fill="FFFFFF"/>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Distributed S3-compatible object storage</w:t>
            </w:r>
          </w:p>
        </w:tc>
        <w:tc>
          <w:tcPr>
            <w:tcW w:w="3793" w:type="dxa"/>
            <w:shd w:val="clear" w:color="auto" w:fill="FFFFFF"/>
            <w:tcMar>
              <w:top w:w="55" w:type="dxa"/>
              <w:left w:w="90" w:type="dxa"/>
              <w:bottom w:w="55" w:type="dxa"/>
              <w:right w:w="90" w:type="dxa"/>
            </w:tcMar>
            <w:vAlign w:val="center"/>
          </w:tcPr>
          <w:p w:rsidR="00312344" w:rsidRPr="00296CBF" w:rsidRDefault="003B77C2" w:rsidP="002A5237">
            <w:pPr>
              <w:spacing w:after="0"/>
              <w:jc w:val="center"/>
              <w:rPr>
                <w:rFonts w:ascii="Arial" w:hAnsi="Arial" w:cs="Arial"/>
                <w:sz w:val="24"/>
                <w:szCs w:val="24"/>
              </w:rPr>
            </w:pPr>
            <w:r w:rsidRPr="00296CBF">
              <w:rPr>
                <w:rFonts w:ascii="Arial" w:hAnsi="Arial" w:cs="Arial"/>
                <w:sz w:val="24"/>
                <w:szCs w:val="24"/>
              </w:rPr>
              <w:t>AES-256 encryption at rest, policy-driven lifecycle tiering, and configurable data residency by region</w:t>
            </w:r>
          </w:p>
        </w:tc>
      </w:tr>
      <w:tr w:rsidR="00312344" w:rsidRPr="00296CBF" w:rsidTr="00296CBF">
        <w:trPr>
          <w:cantSplit/>
          <w:jc w:val="center"/>
        </w:trPr>
        <w:tc>
          <w:tcPr>
            <w:tcW w:w="1787" w:type="dxa"/>
            <w:shd w:val="clear" w:color="auto" w:fill="FBF7EE"/>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ArvDB Cluster Manager</w:t>
            </w:r>
          </w:p>
        </w:tc>
        <w:tc>
          <w:tcPr>
            <w:tcW w:w="3780" w:type="dxa"/>
            <w:shd w:val="clear" w:color="auto" w:fill="FBF7EE"/>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High-availability Postgres, Redis, MySQL</w:t>
            </w:r>
          </w:p>
        </w:tc>
        <w:tc>
          <w:tcPr>
            <w:tcW w:w="3793" w:type="dxa"/>
            <w:shd w:val="clear" w:color="auto" w:fill="FBF7EE"/>
            <w:tcMar>
              <w:top w:w="55" w:type="dxa"/>
              <w:left w:w="90" w:type="dxa"/>
              <w:bottom w:w="55" w:type="dxa"/>
              <w:right w:w="90" w:type="dxa"/>
            </w:tcMar>
            <w:vAlign w:val="center"/>
          </w:tcPr>
          <w:p w:rsidR="00312344" w:rsidRPr="00296CBF" w:rsidRDefault="003B77C2" w:rsidP="002A5237">
            <w:pPr>
              <w:spacing w:after="0"/>
              <w:jc w:val="center"/>
              <w:rPr>
                <w:rFonts w:ascii="Arial" w:hAnsi="Arial" w:cs="Arial"/>
                <w:sz w:val="24"/>
                <w:szCs w:val="24"/>
              </w:rPr>
            </w:pPr>
            <w:r w:rsidRPr="00296CBF">
              <w:rPr>
                <w:rFonts w:ascii="Arial" w:hAnsi="Arial" w:cs="Arial"/>
                <w:sz w:val="24"/>
                <w:szCs w:val="24"/>
              </w:rPr>
              <w:t>Automated point-in-time recovery backups, Patroni-based leader election, zero-data-loss failover</w:t>
            </w:r>
          </w:p>
        </w:tc>
      </w:tr>
      <w:tr w:rsidR="00312344" w:rsidRPr="00296CBF" w:rsidTr="00296CBF">
        <w:trPr>
          <w:cantSplit/>
          <w:jc w:val="center"/>
        </w:trPr>
        <w:tc>
          <w:tcPr>
            <w:tcW w:w="1787" w:type="dxa"/>
            <w:shd w:val="clear" w:color="auto" w:fill="FFFFFF"/>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GitOps Delivery Engine</w:t>
            </w:r>
          </w:p>
        </w:tc>
        <w:tc>
          <w:tcPr>
            <w:tcW w:w="3780" w:type="dxa"/>
            <w:shd w:val="clear" w:color="auto" w:fill="FFFFFF"/>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Automated CI/CD with canary safety gates</w:t>
            </w:r>
          </w:p>
        </w:tc>
        <w:tc>
          <w:tcPr>
            <w:tcW w:w="3793" w:type="dxa"/>
            <w:shd w:val="clear" w:color="auto" w:fill="FFFFFF"/>
            <w:tcMar>
              <w:top w:w="55" w:type="dxa"/>
              <w:left w:w="90" w:type="dxa"/>
              <w:bottom w:w="55" w:type="dxa"/>
              <w:right w:w="90" w:type="dxa"/>
            </w:tcMar>
            <w:vAlign w:val="center"/>
          </w:tcPr>
          <w:p w:rsidR="00312344" w:rsidRPr="00296CBF" w:rsidRDefault="003B77C2" w:rsidP="002A5237">
            <w:pPr>
              <w:spacing w:after="0"/>
              <w:jc w:val="center"/>
              <w:rPr>
                <w:rFonts w:ascii="Arial" w:hAnsi="Arial" w:cs="Arial"/>
                <w:sz w:val="24"/>
                <w:szCs w:val="24"/>
              </w:rPr>
            </w:pPr>
            <w:r w:rsidRPr="00296CBF">
              <w:rPr>
                <w:rFonts w:ascii="Arial" w:hAnsi="Arial" w:cs="Arial"/>
                <w:sz w:val="24"/>
                <w:szCs w:val="24"/>
              </w:rPr>
              <w:t>Canary rollouts gated at 25% traffic, with automatic rollback in 1.2 seconds on SLO breach</w:t>
            </w:r>
          </w:p>
        </w:tc>
      </w:tr>
      <w:tr w:rsidR="00312344" w:rsidRPr="00296CBF" w:rsidTr="00296CBF">
        <w:trPr>
          <w:cantSplit/>
          <w:jc w:val="center"/>
        </w:trPr>
        <w:tc>
          <w:tcPr>
            <w:tcW w:w="1787" w:type="dxa"/>
            <w:shd w:val="clear" w:color="auto" w:fill="FBF7EE"/>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Observability Hub</w:t>
            </w:r>
          </w:p>
        </w:tc>
        <w:tc>
          <w:tcPr>
            <w:tcW w:w="3780" w:type="dxa"/>
            <w:shd w:val="clear" w:color="auto" w:fill="FBF7EE"/>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Sub-10ms eBPF telemetry &amp; distributed traces</w:t>
            </w:r>
          </w:p>
        </w:tc>
        <w:tc>
          <w:tcPr>
            <w:tcW w:w="3793" w:type="dxa"/>
            <w:shd w:val="clear" w:color="auto" w:fill="FBF7EE"/>
            <w:tcMar>
              <w:top w:w="55" w:type="dxa"/>
              <w:left w:w="90" w:type="dxa"/>
              <w:bottom w:w="55" w:type="dxa"/>
              <w:right w:w="90" w:type="dxa"/>
            </w:tcMar>
            <w:vAlign w:val="center"/>
          </w:tcPr>
          <w:p w:rsidR="00312344" w:rsidRPr="00296CBF" w:rsidRDefault="003B77C2" w:rsidP="002A5237">
            <w:pPr>
              <w:spacing w:after="0"/>
              <w:jc w:val="center"/>
              <w:rPr>
                <w:rFonts w:ascii="Arial" w:hAnsi="Arial" w:cs="Arial"/>
                <w:sz w:val="24"/>
                <w:szCs w:val="24"/>
              </w:rPr>
            </w:pPr>
            <w:r w:rsidRPr="00296CBF">
              <w:rPr>
                <w:rFonts w:ascii="Arial" w:hAnsi="Arial" w:cs="Arial"/>
                <w:sz w:val="24"/>
                <w:szCs w:val="24"/>
              </w:rPr>
              <w:t>Native Prometheus scraping paired with a live Loki log-stream explorer</w:t>
            </w:r>
          </w:p>
        </w:tc>
      </w:tr>
      <w:tr w:rsidR="00312344" w:rsidRPr="00296CBF" w:rsidTr="00296CBF">
        <w:trPr>
          <w:cantSplit/>
          <w:jc w:val="center"/>
        </w:trPr>
        <w:tc>
          <w:tcPr>
            <w:tcW w:w="1787" w:type="dxa"/>
            <w:shd w:val="clear" w:color="auto" w:fill="FFFFFF"/>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War-Room Console</w:t>
            </w:r>
          </w:p>
        </w:tc>
        <w:tc>
          <w:tcPr>
            <w:tcW w:w="3780" w:type="dxa"/>
            <w:shd w:val="clear" w:color="auto" w:fill="FFFFFF"/>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Real-time SRE incident command center</w:t>
            </w:r>
          </w:p>
        </w:tc>
        <w:tc>
          <w:tcPr>
            <w:tcW w:w="3793" w:type="dxa"/>
            <w:shd w:val="clear" w:color="auto" w:fill="FFFFFF"/>
            <w:tcMar>
              <w:top w:w="55" w:type="dxa"/>
              <w:left w:w="90" w:type="dxa"/>
              <w:bottom w:w="55" w:type="dxa"/>
              <w:right w:w="90" w:type="dxa"/>
            </w:tcMar>
            <w:vAlign w:val="center"/>
          </w:tcPr>
          <w:p w:rsidR="00312344" w:rsidRPr="00296CBF" w:rsidRDefault="003B77C2" w:rsidP="002A5237">
            <w:pPr>
              <w:spacing w:after="0"/>
              <w:jc w:val="center"/>
              <w:rPr>
                <w:rFonts w:ascii="Arial" w:hAnsi="Arial" w:cs="Arial"/>
                <w:sz w:val="24"/>
                <w:szCs w:val="24"/>
              </w:rPr>
            </w:pPr>
            <w:r w:rsidRPr="00296CBF">
              <w:rPr>
                <w:rFonts w:ascii="Arial" w:hAnsi="Arial" w:cs="Arial"/>
                <w:sz w:val="24"/>
                <w:szCs w:val="24"/>
              </w:rPr>
              <w:t>Incident commander assignment, a synchronized shared timeline, and automated root-cause analysis</w:t>
            </w:r>
          </w:p>
        </w:tc>
      </w:tr>
      <w:tr w:rsidR="00312344" w:rsidRPr="00296CBF" w:rsidTr="00296CBF">
        <w:trPr>
          <w:cantSplit/>
          <w:jc w:val="center"/>
        </w:trPr>
        <w:tc>
          <w:tcPr>
            <w:tcW w:w="1787" w:type="dxa"/>
            <w:shd w:val="clear" w:color="auto" w:fill="FBF7EE"/>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Security &amp; RBAC Vault</w:t>
            </w:r>
          </w:p>
        </w:tc>
        <w:tc>
          <w:tcPr>
            <w:tcW w:w="3780" w:type="dxa"/>
            <w:shd w:val="clear" w:color="auto" w:fill="FBF7EE"/>
            <w:tcMar>
              <w:top w:w="55" w:type="dxa"/>
              <w:left w:w="90" w:type="dxa"/>
              <w:bottom w:w="55" w:type="dxa"/>
              <w:right w:w="90" w:type="dxa"/>
            </w:tcMar>
            <w:vAlign w:val="center"/>
          </w:tcPr>
          <w:p w:rsidR="00312344" w:rsidRPr="00296CBF" w:rsidRDefault="007D490C" w:rsidP="002A5237">
            <w:pPr>
              <w:spacing w:after="0"/>
              <w:jc w:val="center"/>
              <w:rPr>
                <w:rFonts w:ascii="Arial" w:hAnsi="Arial" w:cs="Arial"/>
                <w:sz w:val="24"/>
                <w:szCs w:val="24"/>
              </w:rPr>
            </w:pPr>
            <w:r w:rsidRPr="00296CBF">
              <w:rPr>
                <w:rFonts w:ascii="Arial" w:hAnsi="Arial" w:cs="Arial"/>
                <w:sz w:val="24"/>
                <w:szCs w:val="24"/>
              </w:rPr>
              <w:t>Zero-trust identity &amp; governance matrix</w:t>
            </w:r>
          </w:p>
        </w:tc>
        <w:tc>
          <w:tcPr>
            <w:tcW w:w="3793" w:type="dxa"/>
            <w:shd w:val="clear" w:color="auto" w:fill="FBF7EE"/>
            <w:tcMar>
              <w:top w:w="55" w:type="dxa"/>
              <w:left w:w="90" w:type="dxa"/>
              <w:bottom w:w="55" w:type="dxa"/>
              <w:right w:w="90" w:type="dxa"/>
            </w:tcMar>
            <w:vAlign w:val="center"/>
          </w:tcPr>
          <w:p w:rsidR="00312344" w:rsidRPr="00296CBF" w:rsidRDefault="003B77C2" w:rsidP="002A5237">
            <w:pPr>
              <w:spacing w:after="0"/>
              <w:jc w:val="center"/>
              <w:rPr>
                <w:rFonts w:ascii="Arial" w:hAnsi="Arial" w:cs="Arial"/>
                <w:sz w:val="24"/>
                <w:szCs w:val="24"/>
              </w:rPr>
            </w:pPr>
            <w:r w:rsidRPr="00296CBF">
              <w:rPr>
                <w:rFonts w:ascii="Arial" w:hAnsi="Arial" w:cs="Arial"/>
                <w:sz w:val="24"/>
                <w:szCs w:val="24"/>
              </w:rPr>
              <w:t>Four-tier RBAC, mandatory TOTP multi-factor authentication, and a 365-day immutable audit trail</w:t>
            </w:r>
          </w:p>
        </w:tc>
      </w:tr>
    </w:tbl>
    <w:p w:rsidR="00A9213A" w:rsidRPr="005B1357" w:rsidRDefault="00A9213A" w:rsidP="00606AD6">
      <w:pPr>
        <w:pBdr>
          <w:bottom w:val="single" w:sz="4" w:space="1" w:color="B98B3B"/>
        </w:pBdr>
        <w:rPr>
          <w:rFonts w:ascii="Arial" w:hAnsi="Arial" w:cs="Arial"/>
        </w:rPr>
      </w:pPr>
    </w:p>
    <w:p w:rsidR="00312344" w:rsidRDefault="007D490C">
      <w:pPr>
        <w:pStyle w:val="Heading2"/>
        <w:spacing w:before="200"/>
        <w:rPr>
          <w:rFonts w:ascii="Arial" w:hAnsi="Arial" w:cs="Arial"/>
        </w:rPr>
      </w:pPr>
      <w:r w:rsidRPr="005B1357">
        <w:rPr>
          <w:rFonts w:ascii="Arial" w:hAnsi="Arial" w:cs="Arial"/>
          <w:color w:val="B98B3B"/>
        </w:rPr>
        <w:t xml:space="preserve">4.2 </w:t>
      </w:r>
      <w:r w:rsidRPr="005B1357">
        <w:rPr>
          <w:rFonts w:ascii="Arial" w:hAnsi="Arial" w:cs="Arial"/>
        </w:rPr>
        <w:t>Feature-by-Feature Competitive Matrix</w:t>
      </w:r>
    </w:p>
    <w:p w:rsidR="00A9213A" w:rsidRPr="00A9213A" w:rsidRDefault="00A9213A" w:rsidP="00A9213A"/>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552"/>
        <w:gridCol w:w="2310"/>
        <w:gridCol w:w="2220"/>
        <w:gridCol w:w="2278"/>
      </w:tblGrid>
      <w:tr w:rsidR="00312344" w:rsidRPr="002A5237" w:rsidTr="002A5237">
        <w:trPr>
          <w:cantSplit/>
          <w:tblHeader/>
          <w:jc w:val="center"/>
        </w:trPr>
        <w:tc>
          <w:tcPr>
            <w:tcW w:w="2592" w:type="dxa"/>
            <w:shd w:val="clear" w:color="auto" w:fill="242524"/>
            <w:tcMar>
              <w:top w:w="70" w:type="dxa"/>
              <w:left w:w="90" w:type="dxa"/>
              <w:bottom w:w="70"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b/>
                <w:color w:val="FFFFFF"/>
                <w:sz w:val="24"/>
                <w:szCs w:val="24"/>
              </w:rPr>
              <w:t>Platform Capability</w:t>
            </w:r>
          </w:p>
        </w:tc>
        <w:tc>
          <w:tcPr>
            <w:tcW w:w="2345" w:type="dxa"/>
            <w:shd w:val="clear" w:color="auto" w:fill="242524"/>
            <w:tcMar>
              <w:top w:w="70" w:type="dxa"/>
              <w:left w:w="90" w:type="dxa"/>
              <w:bottom w:w="70"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b/>
                <w:color w:val="FFFFFF"/>
                <w:sz w:val="24"/>
                <w:szCs w:val="24"/>
              </w:rPr>
              <w:t>Aravanta Cloud OS</w:t>
            </w:r>
          </w:p>
        </w:tc>
        <w:tc>
          <w:tcPr>
            <w:tcW w:w="2119" w:type="dxa"/>
            <w:shd w:val="clear" w:color="auto" w:fill="242524"/>
            <w:tcMar>
              <w:top w:w="70" w:type="dxa"/>
              <w:left w:w="90" w:type="dxa"/>
              <w:bottom w:w="70"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b/>
                <w:color w:val="FFFFFF"/>
                <w:sz w:val="24"/>
                <w:szCs w:val="24"/>
              </w:rPr>
              <w:t>Hyperscalers (AWS/GCP/Azure)</w:t>
            </w:r>
          </w:p>
        </w:tc>
        <w:tc>
          <w:tcPr>
            <w:tcW w:w="2304" w:type="dxa"/>
            <w:shd w:val="clear" w:color="auto" w:fill="242524"/>
            <w:tcMar>
              <w:top w:w="70" w:type="dxa"/>
              <w:left w:w="90" w:type="dxa"/>
              <w:bottom w:w="70"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b/>
                <w:color w:val="FFFFFF"/>
                <w:sz w:val="24"/>
                <w:szCs w:val="24"/>
              </w:rPr>
              <w:t>DIY Open Source Stack</w:t>
            </w:r>
          </w:p>
        </w:tc>
      </w:tr>
      <w:tr w:rsidR="00312344" w:rsidRPr="002A5237" w:rsidTr="002A5237">
        <w:trPr>
          <w:cantSplit/>
          <w:jc w:val="center"/>
        </w:trPr>
        <w:tc>
          <w:tcPr>
            <w:tcW w:w="2592"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Unified Multi-Cloud Dashboard</w:t>
            </w:r>
          </w:p>
        </w:tc>
        <w:tc>
          <w:tcPr>
            <w:tcW w:w="2345" w:type="dxa"/>
            <w:shd w:val="clear" w:color="auto" w:fill="FFFFFF"/>
            <w:tcMar>
              <w:top w:w="55" w:type="dxa"/>
              <w:left w:w="90" w:type="dxa"/>
              <w:bottom w:w="55" w:type="dxa"/>
              <w:right w:w="90" w:type="dxa"/>
            </w:tcMar>
            <w:vAlign w:val="center"/>
          </w:tcPr>
          <w:p w:rsidR="00606AD6" w:rsidRPr="002A5237" w:rsidRDefault="007D490C" w:rsidP="002A5237">
            <w:pPr>
              <w:jc w:val="center"/>
              <w:rPr>
                <w:rFonts w:ascii="Arial" w:hAnsi="Arial" w:cs="Arial"/>
                <w:sz w:val="24"/>
                <w:szCs w:val="24"/>
              </w:rPr>
            </w:pPr>
            <w:r w:rsidRPr="002A5237">
              <w:rPr>
                <w:rFonts w:ascii="Arial" w:hAnsi="Arial" w:cs="Arial"/>
                <w:sz w:val="24"/>
                <w:szCs w:val="24"/>
              </w:rPr>
              <w:t>Native</w:t>
            </w:r>
          </w:p>
          <w:p w:rsidR="00312344" w:rsidRPr="002A5237" w:rsidRDefault="007D490C" w:rsidP="002A5237">
            <w:pPr>
              <w:jc w:val="center"/>
              <w:rPr>
                <w:rFonts w:ascii="Arial" w:hAnsi="Arial" w:cs="Arial"/>
                <w:sz w:val="24"/>
                <w:szCs w:val="24"/>
              </w:rPr>
            </w:pPr>
            <w:r w:rsidRPr="002A5237">
              <w:rPr>
                <w:rFonts w:ascii="Arial" w:hAnsi="Arial" w:cs="Arial"/>
                <w:sz w:val="24"/>
                <w:szCs w:val="24"/>
              </w:rPr>
              <w:t>(Single Pane)</w:t>
            </w:r>
          </w:p>
        </w:tc>
        <w:tc>
          <w:tcPr>
            <w:tcW w:w="2119" w:type="dxa"/>
            <w:shd w:val="clear" w:color="auto" w:fill="FFFFFF"/>
            <w:tcMar>
              <w:top w:w="55" w:type="dxa"/>
              <w:left w:w="90" w:type="dxa"/>
              <w:bottom w:w="55" w:type="dxa"/>
              <w:right w:w="90" w:type="dxa"/>
            </w:tcMar>
            <w:vAlign w:val="center"/>
          </w:tcPr>
          <w:p w:rsidR="00606AD6" w:rsidRPr="002A5237" w:rsidRDefault="007D490C" w:rsidP="002A5237">
            <w:pPr>
              <w:jc w:val="center"/>
              <w:rPr>
                <w:rFonts w:ascii="Arial" w:hAnsi="Arial" w:cs="Arial"/>
                <w:sz w:val="24"/>
                <w:szCs w:val="24"/>
              </w:rPr>
            </w:pPr>
            <w:r w:rsidRPr="002A5237">
              <w:rPr>
                <w:rFonts w:ascii="Arial" w:hAnsi="Arial" w:cs="Arial"/>
                <w:sz w:val="24"/>
                <w:szCs w:val="24"/>
              </w:rPr>
              <w:t>No</w:t>
            </w:r>
          </w:p>
          <w:p w:rsidR="00312344" w:rsidRPr="002A5237" w:rsidRDefault="007D490C" w:rsidP="002A5237">
            <w:pPr>
              <w:jc w:val="center"/>
              <w:rPr>
                <w:rFonts w:ascii="Arial" w:hAnsi="Arial" w:cs="Arial"/>
                <w:sz w:val="24"/>
                <w:szCs w:val="24"/>
              </w:rPr>
            </w:pPr>
            <w:r w:rsidRPr="002A5237">
              <w:rPr>
                <w:rFonts w:ascii="Arial" w:hAnsi="Arial" w:cs="Arial"/>
                <w:sz w:val="24"/>
                <w:szCs w:val="24"/>
              </w:rPr>
              <w:t>(Provider Silos Only)</w:t>
            </w:r>
          </w:p>
        </w:tc>
        <w:tc>
          <w:tcPr>
            <w:tcW w:w="2304"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Fragmented Custom Portals</w:t>
            </w:r>
          </w:p>
        </w:tc>
      </w:tr>
      <w:tr w:rsidR="00312344" w:rsidRPr="002A5237" w:rsidTr="002A5237">
        <w:trPr>
          <w:cantSplit/>
          <w:jc w:val="center"/>
        </w:trPr>
        <w:tc>
          <w:tcPr>
            <w:tcW w:w="2592"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Billing Granularity &amp; Egress</w:t>
            </w:r>
          </w:p>
        </w:tc>
        <w:tc>
          <w:tcPr>
            <w:tcW w:w="2345"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Per-Second, Zero Egress Tolls</w:t>
            </w:r>
          </w:p>
        </w:tc>
        <w:tc>
          <w:tcPr>
            <w:tcW w:w="2119"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Hourly/Monthly + High Egress Fees</w:t>
            </w:r>
          </w:p>
        </w:tc>
        <w:tc>
          <w:tcPr>
            <w:tcW w:w="2304"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Multiple Invoices &amp; High Overhead</w:t>
            </w:r>
          </w:p>
        </w:tc>
      </w:tr>
      <w:tr w:rsidR="00312344" w:rsidRPr="002A5237" w:rsidTr="002A5237">
        <w:trPr>
          <w:cantSplit/>
          <w:jc w:val="center"/>
        </w:trPr>
        <w:tc>
          <w:tcPr>
            <w:tcW w:w="2592"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Kernel-Level eBPF Telemetry</w:t>
            </w:r>
          </w:p>
        </w:tc>
        <w:tc>
          <w:tcPr>
            <w:tcW w:w="2345" w:type="dxa"/>
            <w:shd w:val="clear" w:color="auto" w:fill="FFFFFF"/>
            <w:tcMar>
              <w:top w:w="55" w:type="dxa"/>
              <w:left w:w="90" w:type="dxa"/>
              <w:bottom w:w="55" w:type="dxa"/>
              <w:right w:w="90" w:type="dxa"/>
            </w:tcMar>
            <w:vAlign w:val="center"/>
          </w:tcPr>
          <w:p w:rsidR="00606AD6" w:rsidRPr="002A5237" w:rsidRDefault="007D490C" w:rsidP="002A5237">
            <w:pPr>
              <w:jc w:val="center"/>
              <w:rPr>
                <w:rFonts w:ascii="Arial" w:hAnsi="Arial" w:cs="Arial"/>
                <w:sz w:val="24"/>
                <w:szCs w:val="24"/>
              </w:rPr>
            </w:pPr>
            <w:r w:rsidRPr="002A5237">
              <w:rPr>
                <w:rFonts w:ascii="Arial" w:hAnsi="Arial" w:cs="Arial"/>
                <w:sz w:val="24"/>
                <w:szCs w:val="24"/>
              </w:rPr>
              <w:t>Built-In</w:t>
            </w:r>
          </w:p>
          <w:p w:rsidR="00312344" w:rsidRPr="002A5237" w:rsidRDefault="007D490C" w:rsidP="002A5237">
            <w:pPr>
              <w:jc w:val="center"/>
              <w:rPr>
                <w:rFonts w:ascii="Arial" w:hAnsi="Arial" w:cs="Arial"/>
                <w:sz w:val="24"/>
                <w:szCs w:val="24"/>
              </w:rPr>
            </w:pPr>
            <w:r w:rsidRPr="002A5237">
              <w:rPr>
                <w:rFonts w:ascii="Arial" w:hAnsi="Arial" w:cs="Arial"/>
                <w:sz w:val="24"/>
                <w:szCs w:val="24"/>
              </w:rPr>
              <w:t>(&lt;10ms Latency)</w:t>
            </w:r>
          </w:p>
        </w:tc>
        <w:tc>
          <w:tcPr>
            <w:tcW w:w="2119"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Requires Third-Party SaaS</w:t>
            </w:r>
          </w:p>
        </w:tc>
        <w:tc>
          <w:tcPr>
            <w:tcW w:w="2304"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Complex Multi-Tool Assembly</w:t>
            </w:r>
          </w:p>
        </w:tc>
      </w:tr>
      <w:tr w:rsidR="00312344" w:rsidRPr="002A5237" w:rsidTr="002A5237">
        <w:trPr>
          <w:cantSplit/>
          <w:jc w:val="center"/>
        </w:trPr>
        <w:tc>
          <w:tcPr>
            <w:tcW w:w="2592"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Canary Rollback Speed</w:t>
            </w:r>
          </w:p>
        </w:tc>
        <w:tc>
          <w:tcPr>
            <w:tcW w:w="2345"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Automated within 1.2 seconds</w:t>
            </w:r>
          </w:p>
        </w:tc>
        <w:tc>
          <w:tcPr>
            <w:tcW w:w="2119"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Manual Scripted Rollback</w:t>
            </w:r>
          </w:p>
        </w:tc>
        <w:tc>
          <w:tcPr>
            <w:tcW w:w="2304"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Custom ArgoCD Webhook Logic</w:t>
            </w:r>
          </w:p>
        </w:tc>
      </w:tr>
      <w:tr w:rsidR="00312344" w:rsidRPr="002A5237" w:rsidTr="002A5237">
        <w:trPr>
          <w:cantSplit/>
          <w:jc w:val="center"/>
        </w:trPr>
        <w:tc>
          <w:tcPr>
            <w:tcW w:w="2592"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Workload Lock-In</w:t>
            </w:r>
          </w:p>
        </w:tc>
        <w:tc>
          <w:tcPr>
            <w:tcW w:w="2345" w:type="dxa"/>
            <w:shd w:val="clear" w:color="auto" w:fill="FFFFFF"/>
            <w:tcMar>
              <w:top w:w="55" w:type="dxa"/>
              <w:left w:w="90" w:type="dxa"/>
              <w:bottom w:w="55" w:type="dxa"/>
              <w:right w:w="90" w:type="dxa"/>
            </w:tcMar>
            <w:vAlign w:val="center"/>
          </w:tcPr>
          <w:p w:rsidR="00606AD6" w:rsidRPr="002A5237" w:rsidRDefault="007D490C" w:rsidP="002A5237">
            <w:pPr>
              <w:jc w:val="center"/>
              <w:rPr>
                <w:rFonts w:ascii="Arial" w:hAnsi="Arial" w:cs="Arial"/>
                <w:sz w:val="24"/>
                <w:szCs w:val="24"/>
              </w:rPr>
            </w:pPr>
            <w:r w:rsidRPr="002A5237">
              <w:rPr>
                <w:rFonts w:ascii="Arial" w:hAnsi="Arial" w:cs="Arial"/>
                <w:sz w:val="24"/>
                <w:szCs w:val="24"/>
              </w:rPr>
              <w:t>True Zero</w:t>
            </w:r>
          </w:p>
          <w:p w:rsidR="00312344" w:rsidRPr="002A5237" w:rsidRDefault="007D490C" w:rsidP="002A5237">
            <w:pPr>
              <w:jc w:val="center"/>
              <w:rPr>
                <w:rFonts w:ascii="Arial" w:hAnsi="Arial" w:cs="Arial"/>
                <w:sz w:val="24"/>
                <w:szCs w:val="24"/>
              </w:rPr>
            </w:pPr>
            <w:r w:rsidRPr="002A5237">
              <w:rPr>
                <w:rFonts w:ascii="Arial" w:hAnsi="Arial" w:cs="Arial"/>
                <w:sz w:val="24"/>
                <w:szCs w:val="24"/>
              </w:rPr>
              <w:t>(100% Upstream CNCF)</w:t>
            </w:r>
          </w:p>
        </w:tc>
        <w:tc>
          <w:tcPr>
            <w:tcW w:w="2119"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Proprietary APIs &amp; Services</w:t>
            </w:r>
          </w:p>
        </w:tc>
        <w:tc>
          <w:tcPr>
            <w:tcW w:w="2304"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Open but Heavy Maintenance Tax</w:t>
            </w:r>
          </w:p>
        </w:tc>
      </w:tr>
      <w:tr w:rsidR="00312344" w:rsidRPr="002A5237" w:rsidTr="002A5237">
        <w:trPr>
          <w:cantSplit/>
          <w:jc w:val="center"/>
        </w:trPr>
        <w:tc>
          <w:tcPr>
            <w:tcW w:w="2592"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Zero-Trust RBAC &amp; TOTP MFA</w:t>
            </w:r>
          </w:p>
        </w:tc>
        <w:tc>
          <w:tcPr>
            <w:tcW w:w="2345"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Native Across All Modules</w:t>
            </w:r>
          </w:p>
        </w:tc>
        <w:tc>
          <w:tcPr>
            <w:tcW w:w="2119"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Fragmented Per-Service Policies</w:t>
            </w:r>
          </w:p>
        </w:tc>
        <w:tc>
          <w:tcPr>
            <w:tcW w:w="2304"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Self-Managed Vault / Keycloak</w:t>
            </w:r>
          </w:p>
        </w:tc>
      </w:tr>
      <w:tr w:rsidR="00312344" w:rsidRPr="002A5237" w:rsidTr="002A5237">
        <w:trPr>
          <w:cantSplit/>
          <w:jc w:val="center"/>
        </w:trPr>
        <w:tc>
          <w:tcPr>
            <w:tcW w:w="2592"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Compliance Audit Posture</w:t>
            </w:r>
          </w:p>
        </w:tc>
        <w:tc>
          <w:tcPr>
            <w:tcW w:w="2345"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SOC 2 Type II / DPDPA Aligned</w:t>
            </w:r>
          </w:p>
        </w:tc>
        <w:tc>
          <w:tcPr>
            <w:tcW w:w="2119"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Requires Separate Audit Setup</w:t>
            </w:r>
          </w:p>
        </w:tc>
        <w:tc>
          <w:tcPr>
            <w:tcW w:w="2304" w:type="dxa"/>
            <w:shd w:val="clear" w:color="auto" w:fill="FFFFFF"/>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Self-Audited &amp; Maintained</w:t>
            </w:r>
          </w:p>
        </w:tc>
      </w:tr>
      <w:tr w:rsidR="00312344" w:rsidRPr="002A5237" w:rsidTr="002A5237">
        <w:trPr>
          <w:cantSplit/>
          <w:jc w:val="center"/>
        </w:trPr>
        <w:tc>
          <w:tcPr>
            <w:tcW w:w="2592"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Data Sovereignty Guarantees</w:t>
            </w:r>
          </w:p>
        </w:tc>
        <w:tc>
          <w:tcPr>
            <w:tcW w:w="2345"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Enforced (India, EU, SG, US)</w:t>
            </w:r>
          </w:p>
        </w:tc>
        <w:tc>
          <w:tcPr>
            <w:tcW w:w="2119"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Subject to Provider Data Policies</w:t>
            </w:r>
          </w:p>
        </w:tc>
        <w:tc>
          <w:tcPr>
            <w:tcW w:w="2304" w:type="dxa"/>
            <w:shd w:val="clear" w:color="auto" w:fill="FBF7EE"/>
            <w:tcMar>
              <w:top w:w="55" w:type="dxa"/>
              <w:left w:w="90" w:type="dxa"/>
              <w:bottom w:w="55" w:type="dxa"/>
              <w:right w:w="90" w:type="dxa"/>
            </w:tcMar>
            <w:vAlign w:val="center"/>
          </w:tcPr>
          <w:p w:rsidR="00312344" w:rsidRPr="002A5237" w:rsidRDefault="007D490C" w:rsidP="002A5237">
            <w:pPr>
              <w:jc w:val="center"/>
              <w:rPr>
                <w:rFonts w:ascii="Arial" w:hAnsi="Arial" w:cs="Arial"/>
                <w:sz w:val="24"/>
                <w:szCs w:val="24"/>
              </w:rPr>
            </w:pPr>
            <w:r w:rsidRPr="002A5237">
              <w:rPr>
                <w:rFonts w:ascii="Arial" w:hAnsi="Arial" w:cs="Arial"/>
                <w:sz w:val="24"/>
                <w:szCs w:val="24"/>
              </w:rPr>
              <w:t>Dependent on Datacenter Setup</w:t>
            </w:r>
          </w:p>
        </w:tc>
      </w:tr>
    </w:tbl>
    <w:p w:rsidR="00312344" w:rsidRPr="005B1357" w:rsidRDefault="00312344">
      <w:pPr>
        <w:rPr>
          <w:rFonts w:ascii="Arial" w:hAnsi="Arial" w:cs="Arial"/>
        </w:rPr>
      </w:pPr>
    </w:p>
    <w:p w:rsidR="00312344" w:rsidRPr="005B1357" w:rsidRDefault="007D490C">
      <w:pPr>
        <w:rPr>
          <w:rFonts w:ascii="Arial" w:hAnsi="Arial" w:cs="Arial"/>
        </w:rPr>
      </w:pPr>
      <w:r w:rsidRPr="005B1357">
        <w:rPr>
          <w:rFonts w:ascii="Arial" w:hAnsi="Arial" w:cs="Arial"/>
        </w:rPr>
        <w:br w:type="page"/>
      </w:r>
    </w:p>
    <w:p w:rsidR="00312344" w:rsidRPr="005B1357" w:rsidRDefault="00312344">
      <w:pPr>
        <w:pBdr>
          <w:bottom w:val="single" w:sz="10" w:space="1" w:color="B98B3B"/>
        </w:pBdr>
        <w:spacing w:before="160" w:after="80"/>
        <w:rPr>
          <w:rFonts w:ascii="Arial" w:hAnsi="Arial" w:cs="Arial"/>
        </w:rPr>
      </w:pPr>
    </w:p>
    <w:p w:rsidR="00A9213A" w:rsidRPr="00606AD6" w:rsidRDefault="00A9213A">
      <w:pPr>
        <w:pStyle w:val="Heading1"/>
        <w:spacing w:before="40" w:after="120"/>
        <w:rPr>
          <w:rFonts w:ascii="Arial" w:hAnsi="Arial" w:cs="Arial"/>
          <w:color w:val="B98B3B"/>
          <w:sz w:val="20"/>
          <w:szCs w:val="20"/>
        </w:rPr>
      </w:pPr>
    </w:p>
    <w:p w:rsidR="00312344" w:rsidRPr="005B1357" w:rsidRDefault="007D490C" w:rsidP="00606AD6">
      <w:pPr>
        <w:pStyle w:val="Heading1"/>
        <w:spacing w:before="40" w:after="120"/>
        <w:rPr>
          <w:rFonts w:ascii="Arial" w:hAnsi="Arial" w:cs="Arial"/>
        </w:rPr>
      </w:pPr>
      <w:r w:rsidRPr="005B1357">
        <w:rPr>
          <w:rFonts w:ascii="Arial" w:hAnsi="Arial" w:cs="Arial"/>
          <w:color w:val="B98B3B"/>
        </w:rPr>
        <w:t xml:space="preserve">5.0 </w:t>
      </w:r>
      <w:r w:rsidRPr="005B1357">
        <w:rPr>
          <w:rFonts w:ascii="Arial" w:hAnsi="Arial" w:cs="Arial"/>
        </w:rPr>
        <w:t>Market Gap Analysis</w:t>
      </w:r>
    </w:p>
    <w:p w:rsidR="00312344" w:rsidRPr="005B1357" w:rsidRDefault="007D490C">
      <w:pPr>
        <w:pStyle w:val="Heading2"/>
        <w:spacing w:before="200"/>
        <w:rPr>
          <w:rFonts w:ascii="Arial" w:hAnsi="Arial" w:cs="Arial"/>
        </w:rPr>
      </w:pPr>
      <w:r w:rsidRPr="005B1357">
        <w:rPr>
          <w:rFonts w:ascii="Arial" w:hAnsi="Arial" w:cs="Arial"/>
          <w:color w:val="B98B3B"/>
        </w:rPr>
        <w:t xml:space="preserve">5.1 </w:t>
      </w:r>
      <w:r w:rsidRPr="005B1357">
        <w:rPr>
          <w:rFonts w:ascii="Arial" w:hAnsi="Arial" w:cs="Arial"/>
        </w:rPr>
        <w:t>Industry Landscape &amp; TAM Expansion</w:t>
      </w:r>
    </w:p>
    <w:p w:rsidR="00312344" w:rsidRPr="005B1357" w:rsidRDefault="000B7CD5" w:rsidP="000B7CD5">
      <w:pPr>
        <w:spacing w:after="140"/>
        <w:jc w:val="both"/>
        <w:rPr>
          <w:rFonts w:ascii="Arial" w:hAnsi="Arial" w:cs="Arial"/>
        </w:rPr>
      </w:pPr>
      <w:r>
        <w:rPr>
          <w:rFonts w:ascii="Arial" w:hAnsi="Arial" w:cs="Arial"/>
        </w:rPr>
        <w:tab/>
      </w:r>
      <w:r w:rsidR="007D490C" w:rsidRPr="005B1357">
        <w:rPr>
          <w:rFonts w:ascii="Arial" w:hAnsi="Arial" w:cs="Arial"/>
        </w:rPr>
        <w:t>The global public cloud infrastructure market exceeds $250 billion annually and continues to expand at a 20%+ CAGR. Within this broader landscape, multi-cloud management platforms represent the single fastest-growing sub-segment, projected by industry analysts to reach $128 billion by 2028 (24.5% CAGR). In parallel, India's enterprise cloud market is surging past $10 billion, driven by sovereign data mandates (DPDPA 2023) and aggressive digital transformation.</w:t>
      </w:r>
    </w:p>
    <w:p w:rsidR="00312344" w:rsidRPr="005B1357" w:rsidRDefault="000B7CD5" w:rsidP="000B7CD5">
      <w:pPr>
        <w:spacing w:after="140"/>
        <w:jc w:val="both"/>
        <w:rPr>
          <w:rFonts w:ascii="Arial" w:hAnsi="Arial" w:cs="Arial"/>
        </w:rPr>
      </w:pPr>
      <w:r>
        <w:rPr>
          <w:rFonts w:ascii="Arial" w:hAnsi="Arial" w:cs="Arial"/>
        </w:rPr>
        <w:tab/>
      </w:r>
      <w:r w:rsidR="007D490C" w:rsidRPr="005B1357">
        <w:rPr>
          <w:rFonts w:ascii="Arial" w:hAnsi="Arial" w:cs="Arial"/>
        </w:rPr>
        <w:t>Despite this capital influx, enterprise buyers face a polarizing dilemma: either surrender autonomy to a hyperscaler's proprietary walled garden, or invest millions of dollars and 9-12 months assembling a fragile DIY stack of open-source tools. Aravanta Cloud OS captures the massive whitespace between these extremes: delivering managed hyperscaler simplicity combined with open CNCF portability.</w:t>
      </w:r>
    </w:p>
    <w:p w:rsidR="00312344" w:rsidRPr="005B1357" w:rsidRDefault="007D490C">
      <w:pPr>
        <w:pStyle w:val="Heading2"/>
        <w:spacing w:before="200"/>
        <w:rPr>
          <w:rFonts w:ascii="Arial" w:hAnsi="Arial" w:cs="Arial"/>
        </w:rPr>
      </w:pPr>
      <w:r w:rsidRPr="005B1357">
        <w:rPr>
          <w:rFonts w:ascii="Arial" w:hAnsi="Arial" w:cs="Arial"/>
          <w:color w:val="B98B3B"/>
        </w:rPr>
        <w:t xml:space="preserve">5.2 </w:t>
      </w:r>
      <w:r w:rsidRPr="005B1357">
        <w:rPr>
          <w:rFonts w:ascii="Arial" w:hAnsi="Arial" w:cs="Arial"/>
        </w:rPr>
        <w:t>Market Positioning Matrix (2x2 Quadrant)</w:t>
      </w:r>
    </w:p>
    <w:p w:rsidR="00312344" w:rsidRDefault="007D490C">
      <w:pPr>
        <w:spacing w:before="120" w:after="160"/>
        <w:jc w:val="center"/>
        <w:rPr>
          <w:rFonts w:ascii="Arial" w:hAnsi="Arial" w:cs="Arial"/>
        </w:rPr>
      </w:pPr>
      <w:r w:rsidRPr="005B1357">
        <w:rPr>
          <w:rFonts w:ascii="Arial" w:hAnsi="Arial" w:cs="Arial"/>
          <w:noProof/>
          <w:lang w:bidi="mr-IN"/>
        </w:rPr>
        <w:drawing>
          <wp:inline distT="0" distB="0" distL="0" distR="0">
            <wp:extent cx="5303520" cy="3725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positioning.png"/>
                    <pic:cNvPicPr/>
                  </pic:nvPicPr>
                  <pic:blipFill>
                    <a:blip r:embed="rId10"/>
                    <a:stretch>
                      <a:fillRect/>
                    </a:stretch>
                  </pic:blipFill>
                  <pic:spPr>
                    <a:xfrm>
                      <a:off x="0" y="0"/>
                      <a:ext cx="5303520" cy="3725091"/>
                    </a:xfrm>
                    <a:prstGeom prst="rect">
                      <a:avLst/>
                    </a:prstGeom>
                  </pic:spPr>
                </pic:pic>
              </a:graphicData>
            </a:graphic>
          </wp:inline>
        </w:drawing>
      </w:r>
    </w:p>
    <w:p w:rsidR="00A9213A" w:rsidRDefault="00A9213A">
      <w:pPr>
        <w:spacing w:before="120" w:after="160"/>
        <w:jc w:val="center"/>
        <w:rPr>
          <w:rFonts w:ascii="Arial" w:hAnsi="Arial" w:cs="Arial"/>
        </w:rPr>
      </w:pPr>
    </w:p>
    <w:p w:rsidR="00A9213A" w:rsidRPr="005B1357" w:rsidRDefault="00A9213A">
      <w:pPr>
        <w:spacing w:before="120" w:after="160"/>
        <w:jc w:val="center"/>
        <w:rPr>
          <w:rFonts w:ascii="Arial" w:hAnsi="Arial" w:cs="Arial"/>
        </w:rPr>
      </w:pPr>
    </w:p>
    <w:p w:rsidR="00A9213A" w:rsidRPr="00606AD6" w:rsidRDefault="00A9213A" w:rsidP="00606AD6">
      <w:pPr>
        <w:pStyle w:val="Heading2"/>
        <w:pBdr>
          <w:bottom w:val="single" w:sz="4" w:space="1" w:color="B98B3B"/>
        </w:pBdr>
        <w:spacing w:before="200"/>
        <w:rPr>
          <w:rFonts w:ascii="Arial" w:hAnsi="Arial" w:cs="Arial"/>
          <w:color w:val="B98B3B"/>
          <w:sz w:val="20"/>
        </w:rPr>
      </w:pPr>
    </w:p>
    <w:p w:rsidR="00312344" w:rsidRPr="005B1357" w:rsidRDefault="007D490C">
      <w:pPr>
        <w:pStyle w:val="Heading2"/>
        <w:spacing w:before="200"/>
        <w:rPr>
          <w:rFonts w:ascii="Arial" w:hAnsi="Arial" w:cs="Arial"/>
        </w:rPr>
      </w:pPr>
      <w:r w:rsidRPr="005B1357">
        <w:rPr>
          <w:rFonts w:ascii="Arial" w:hAnsi="Arial" w:cs="Arial"/>
          <w:color w:val="B98B3B"/>
        </w:rPr>
        <w:t xml:space="preserve">5.3 </w:t>
      </w:r>
      <w:r w:rsidRPr="005B1357">
        <w:rPr>
          <w:rFonts w:ascii="Arial" w:hAnsi="Arial" w:cs="Arial"/>
        </w:rPr>
        <w:t>Target Customer Segments &amp; Profiles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593"/>
        <w:gridCol w:w="3311"/>
        <w:gridCol w:w="3456"/>
      </w:tblGrid>
      <w:tr w:rsidR="00312344" w:rsidRPr="005B1357">
        <w:trPr>
          <w:cantSplit/>
          <w:tblHeader/>
          <w:jc w:val="center"/>
        </w:trPr>
        <w:tc>
          <w:tcPr>
            <w:tcW w:w="2592" w:type="dxa"/>
            <w:shd w:val="clear" w:color="auto" w:fill="242524"/>
            <w:tcMar>
              <w:top w:w="70" w:type="dxa"/>
              <w:left w:w="90" w:type="dxa"/>
              <w:bottom w:w="70"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b/>
                <w:color w:val="FFFFFF"/>
                <w:sz w:val="19"/>
              </w:rPr>
              <w:t>Customer Segment</w:t>
            </w:r>
          </w:p>
        </w:tc>
        <w:tc>
          <w:tcPr>
            <w:tcW w:w="3311" w:type="dxa"/>
            <w:shd w:val="clear" w:color="auto" w:fill="242524"/>
            <w:tcMar>
              <w:top w:w="70" w:type="dxa"/>
              <w:left w:w="90" w:type="dxa"/>
              <w:bottom w:w="70"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b/>
                <w:color w:val="FFFFFF"/>
                <w:sz w:val="19"/>
              </w:rPr>
              <w:t>Core Pain Point Addressed</w:t>
            </w:r>
          </w:p>
        </w:tc>
        <w:tc>
          <w:tcPr>
            <w:tcW w:w="3456" w:type="dxa"/>
            <w:shd w:val="clear" w:color="auto" w:fill="242524"/>
            <w:tcMar>
              <w:top w:w="70" w:type="dxa"/>
              <w:left w:w="90" w:type="dxa"/>
              <w:bottom w:w="70"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b/>
                <w:color w:val="FFFFFF"/>
                <w:sz w:val="19"/>
              </w:rPr>
              <w:t>Aravanta Cloud OS Strategic Value</w:t>
            </w:r>
          </w:p>
        </w:tc>
      </w:tr>
      <w:tr w:rsidR="00312344" w:rsidRPr="005B1357">
        <w:trPr>
          <w:cantSplit/>
          <w:jc w:val="center"/>
        </w:trPr>
        <w:tc>
          <w:tcPr>
            <w:tcW w:w="2592" w:type="dxa"/>
            <w:shd w:val="clear" w:color="auto" w:fill="FFFFFF"/>
            <w:tcMar>
              <w:top w:w="55" w:type="dxa"/>
              <w:left w:w="90" w:type="dxa"/>
              <w:bottom w:w="55"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sz w:val="19"/>
              </w:rPr>
              <w:t>High-Growth Scaleups &amp; SaaS</w:t>
            </w:r>
          </w:p>
        </w:tc>
        <w:tc>
          <w:tcPr>
            <w:tcW w:w="3311" w:type="dxa"/>
            <w:shd w:val="clear" w:color="auto" w:fill="FFFFFF"/>
            <w:tcMar>
              <w:top w:w="55" w:type="dxa"/>
              <w:left w:w="90" w:type="dxa"/>
              <w:bottom w:w="55"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sz w:val="19"/>
              </w:rPr>
              <w:t>Cannot justify hiring dedicated 10-person SRE teams</w:t>
            </w:r>
          </w:p>
        </w:tc>
        <w:tc>
          <w:tcPr>
            <w:tcW w:w="3456" w:type="dxa"/>
            <w:shd w:val="clear" w:color="auto" w:fill="FFFFFF"/>
            <w:tcMar>
              <w:top w:w="55" w:type="dxa"/>
              <w:left w:w="90" w:type="dxa"/>
              <w:bottom w:w="55" w:type="dxa"/>
              <w:right w:w="90" w:type="dxa"/>
            </w:tcMar>
            <w:vAlign w:val="center"/>
          </w:tcPr>
          <w:p w:rsidR="00312344" w:rsidRPr="005B1357" w:rsidRDefault="007D490C" w:rsidP="00606AD6">
            <w:pPr>
              <w:spacing w:after="0" w:line="360" w:lineRule="auto"/>
              <w:jc w:val="both"/>
              <w:rPr>
                <w:rFonts w:ascii="Arial" w:hAnsi="Arial" w:cs="Arial"/>
              </w:rPr>
            </w:pPr>
            <w:r w:rsidRPr="005B1357">
              <w:rPr>
                <w:rFonts w:ascii="Arial" w:hAnsi="Arial" w:cs="Arial"/>
                <w:sz w:val="19"/>
              </w:rPr>
              <w:t>Turnkey infrastructure platform with instant Day-2 operational maturity.</w:t>
            </w:r>
          </w:p>
        </w:tc>
      </w:tr>
      <w:tr w:rsidR="00312344" w:rsidRPr="005B1357">
        <w:trPr>
          <w:cantSplit/>
          <w:jc w:val="center"/>
        </w:trPr>
        <w:tc>
          <w:tcPr>
            <w:tcW w:w="2592" w:type="dxa"/>
            <w:shd w:val="clear" w:color="auto" w:fill="FBF7EE"/>
            <w:tcMar>
              <w:top w:w="55" w:type="dxa"/>
              <w:left w:w="90" w:type="dxa"/>
              <w:bottom w:w="55"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sz w:val="19"/>
              </w:rPr>
              <w:t>Mid-Market &amp; Enterprises</w:t>
            </w:r>
          </w:p>
        </w:tc>
        <w:tc>
          <w:tcPr>
            <w:tcW w:w="3311" w:type="dxa"/>
            <w:shd w:val="clear" w:color="auto" w:fill="FBF7EE"/>
            <w:tcMar>
              <w:top w:w="55" w:type="dxa"/>
              <w:left w:w="90" w:type="dxa"/>
              <w:bottom w:w="55"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sz w:val="19"/>
              </w:rPr>
              <w:t>Multi-cloud sprawl, complex IAM, compliance overhead</w:t>
            </w:r>
          </w:p>
        </w:tc>
        <w:tc>
          <w:tcPr>
            <w:tcW w:w="3456" w:type="dxa"/>
            <w:shd w:val="clear" w:color="auto" w:fill="FBF7EE"/>
            <w:tcMar>
              <w:top w:w="55" w:type="dxa"/>
              <w:left w:w="90" w:type="dxa"/>
              <w:bottom w:w="55" w:type="dxa"/>
              <w:right w:w="90" w:type="dxa"/>
            </w:tcMar>
            <w:vAlign w:val="center"/>
          </w:tcPr>
          <w:p w:rsidR="00312344" w:rsidRPr="005B1357" w:rsidRDefault="007D490C" w:rsidP="00606AD6">
            <w:pPr>
              <w:spacing w:after="0" w:line="360" w:lineRule="auto"/>
              <w:jc w:val="both"/>
              <w:rPr>
                <w:rFonts w:ascii="Arial" w:hAnsi="Arial" w:cs="Arial"/>
              </w:rPr>
            </w:pPr>
            <w:r w:rsidRPr="005B1357">
              <w:rPr>
                <w:rFonts w:ascii="Arial" w:hAnsi="Arial" w:cs="Arial"/>
                <w:sz w:val="19"/>
              </w:rPr>
              <w:t>Unified governance, single pane of glass, SOC 2 / DPDPA audit trails.</w:t>
            </w:r>
          </w:p>
        </w:tc>
      </w:tr>
      <w:tr w:rsidR="00312344" w:rsidRPr="005B1357">
        <w:trPr>
          <w:cantSplit/>
          <w:jc w:val="center"/>
        </w:trPr>
        <w:tc>
          <w:tcPr>
            <w:tcW w:w="2592" w:type="dxa"/>
            <w:shd w:val="clear" w:color="auto" w:fill="FFFFFF"/>
            <w:tcMar>
              <w:top w:w="55" w:type="dxa"/>
              <w:left w:w="90" w:type="dxa"/>
              <w:bottom w:w="55"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sz w:val="19"/>
              </w:rPr>
              <w:t>Regulated Sectors (BFSI / Health)</w:t>
            </w:r>
          </w:p>
        </w:tc>
        <w:tc>
          <w:tcPr>
            <w:tcW w:w="3311" w:type="dxa"/>
            <w:shd w:val="clear" w:color="auto" w:fill="FFFFFF"/>
            <w:tcMar>
              <w:top w:w="55" w:type="dxa"/>
              <w:left w:w="90" w:type="dxa"/>
              <w:bottom w:w="55"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sz w:val="19"/>
              </w:rPr>
              <w:t>Strict audit trails, key custody, encryption mandates</w:t>
            </w:r>
          </w:p>
        </w:tc>
        <w:tc>
          <w:tcPr>
            <w:tcW w:w="3456" w:type="dxa"/>
            <w:shd w:val="clear" w:color="auto" w:fill="FFFFFF"/>
            <w:tcMar>
              <w:top w:w="55" w:type="dxa"/>
              <w:left w:w="90" w:type="dxa"/>
              <w:bottom w:w="55" w:type="dxa"/>
              <w:right w:w="90" w:type="dxa"/>
            </w:tcMar>
            <w:vAlign w:val="center"/>
          </w:tcPr>
          <w:p w:rsidR="00312344" w:rsidRPr="005B1357" w:rsidRDefault="007D490C" w:rsidP="00606AD6">
            <w:pPr>
              <w:spacing w:after="0" w:line="360" w:lineRule="auto"/>
              <w:jc w:val="both"/>
              <w:rPr>
                <w:rFonts w:ascii="Arial" w:hAnsi="Arial" w:cs="Arial"/>
              </w:rPr>
            </w:pPr>
            <w:r w:rsidRPr="005B1357">
              <w:rPr>
                <w:rFonts w:ascii="Arial" w:hAnsi="Arial" w:cs="Arial"/>
                <w:sz w:val="19"/>
              </w:rPr>
              <w:t>Immutable 365-day audit log, AES-256 encryption, zero-trust RBAC.</w:t>
            </w:r>
          </w:p>
        </w:tc>
      </w:tr>
      <w:tr w:rsidR="00312344" w:rsidRPr="005B1357">
        <w:trPr>
          <w:cantSplit/>
          <w:jc w:val="center"/>
        </w:trPr>
        <w:tc>
          <w:tcPr>
            <w:tcW w:w="2592" w:type="dxa"/>
            <w:shd w:val="clear" w:color="auto" w:fill="FBF7EE"/>
            <w:tcMar>
              <w:top w:w="55" w:type="dxa"/>
              <w:left w:w="90" w:type="dxa"/>
              <w:bottom w:w="55"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sz w:val="19"/>
              </w:rPr>
              <w:t>Government &amp; Public Sector (PSUs)</w:t>
            </w:r>
          </w:p>
        </w:tc>
        <w:tc>
          <w:tcPr>
            <w:tcW w:w="3311" w:type="dxa"/>
            <w:shd w:val="clear" w:color="auto" w:fill="FBF7EE"/>
            <w:tcMar>
              <w:top w:w="55" w:type="dxa"/>
              <w:left w:w="90" w:type="dxa"/>
              <w:bottom w:w="55"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sz w:val="19"/>
              </w:rPr>
              <w:t>Data sovereignty mandates, air-gapped operations</w:t>
            </w:r>
          </w:p>
        </w:tc>
        <w:tc>
          <w:tcPr>
            <w:tcW w:w="3456" w:type="dxa"/>
            <w:shd w:val="clear" w:color="auto" w:fill="FBF7EE"/>
            <w:tcMar>
              <w:top w:w="55" w:type="dxa"/>
              <w:left w:w="90" w:type="dxa"/>
              <w:bottom w:w="55" w:type="dxa"/>
              <w:right w:w="90" w:type="dxa"/>
            </w:tcMar>
            <w:vAlign w:val="center"/>
          </w:tcPr>
          <w:p w:rsidR="00312344" w:rsidRPr="005B1357" w:rsidRDefault="007D490C" w:rsidP="00606AD6">
            <w:pPr>
              <w:spacing w:after="0" w:line="360" w:lineRule="auto"/>
              <w:jc w:val="both"/>
              <w:rPr>
                <w:rFonts w:ascii="Arial" w:hAnsi="Arial" w:cs="Arial"/>
              </w:rPr>
            </w:pPr>
            <w:r w:rsidRPr="005B1357">
              <w:rPr>
                <w:rFonts w:ascii="Arial" w:hAnsi="Arial" w:cs="Arial"/>
                <w:sz w:val="19"/>
              </w:rPr>
              <w:t>Native Indian data residency with on-prem BYOK Kubernetes distribution.</w:t>
            </w:r>
          </w:p>
        </w:tc>
      </w:tr>
      <w:tr w:rsidR="00312344" w:rsidRPr="005B1357">
        <w:trPr>
          <w:cantSplit/>
          <w:jc w:val="center"/>
        </w:trPr>
        <w:tc>
          <w:tcPr>
            <w:tcW w:w="2592" w:type="dxa"/>
            <w:shd w:val="clear" w:color="auto" w:fill="FFFFFF"/>
            <w:tcMar>
              <w:top w:w="55" w:type="dxa"/>
              <w:left w:w="90" w:type="dxa"/>
              <w:bottom w:w="55"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sz w:val="19"/>
              </w:rPr>
              <w:t>DevOps &amp; Platform Teams</w:t>
            </w:r>
          </w:p>
        </w:tc>
        <w:tc>
          <w:tcPr>
            <w:tcW w:w="3311" w:type="dxa"/>
            <w:shd w:val="clear" w:color="auto" w:fill="FFFFFF"/>
            <w:tcMar>
              <w:top w:w="55" w:type="dxa"/>
              <w:left w:w="90" w:type="dxa"/>
              <w:bottom w:w="55" w:type="dxa"/>
              <w:right w:w="90" w:type="dxa"/>
            </w:tcMar>
            <w:vAlign w:val="center"/>
          </w:tcPr>
          <w:p w:rsidR="00312344" w:rsidRPr="005B1357" w:rsidRDefault="007D490C" w:rsidP="000B7CD5">
            <w:pPr>
              <w:spacing w:after="0" w:line="360" w:lineRule="auto"/>
              <w:rPr>
                <w:rFonts w:ascii="Arial" w:hAnsi="Arial" w:cs="Arial"/>
              </w:rPr>
            </w:pPr>
            <w:r w:rsidRPr="005B1357">
              <w:rPr>
                <w:rFonts w:ascii="Arial" w:hAnsi="Arial" w:cs="Arial"/>
                <w:sz w:val="19"/>
              </w:rPr>
              <w:t>Toolchain integration fatigue, incident triage delays</w:t>
            </w:r>
          </w:p>
        </w:tc>
        <w:tc>
          <w:tcPr>
            <w:tcW w:w="3456" w:type="dxa"/>
            <w:shd w:val="clear" w:color="auto" w:fill="FFFFFF"/>
            <w:tcMar>
              <w:top w:w="55" w:type="dxa"/>
              <w:left w:w="90" w:type="dxa"/>
              <w:bottom w:w="55" w:type="dxa"/>
              <w:right w:w="90" w:type="dxa"/>
            </w:tcMar>
            <w:vAlign w:val="center"/>
          </w:tcPr>
          <w:p w:rsidR="00312344" w:rsidRPr="005B1357" w:rsidRDefault="007D490C" w:rsidP="00606AD6">
            <w:pPr>
              <w:spacing w:after="0" w:line="360" w:lineRule="auto"/>
              <w:jc w:val="both"/>
              <w:rPr>
                <w:rFonts w:ascii="Arial" w:hAnsi="Arial" w:cs="Arial"/>
              </w:rPr>
            </w:pPr>
            <w:r w:rsidRPr="005B1357">
              <w:rPr>
                <w:rFonts w:ascii="Arial" w:hAnsi="Arial" w:cs="Arial"/>
                <w:sz w:val="19"/>
              </w:rPr>
              <w:t>Integrated eBPF telemetry, SRE war-room console, automated runbooks.</w:t>
            </w:r>
          </w:p>
        </w:tc>
      </w:tr>
    </w:tbl>
    <w:p w:rsidR="00312344" w:rsidRPr="005B1357" w:rsidRDefault="00312344">
      <w:pPr>
        <w:rPr>
          <w:rFonts w:ascii="Arial" w:hAnsi="Arial" w:cs="Arial"/>
        </w:rPr>
      </w:pPr>
    </w:p>
    <w:p w:rsidR="00312344" w:rsidRPr="005B1357" w:rsidRDefault="007D490C">
      <w:pPr>
        <w:rPr>
          <w:rFonts w:ascii="Arial" w:hAnsi="Arial" w:cs="Arial"/>
        </w:rPr>
      </w:pPr>
      <w:r w:rsidRPr="005B1357">
        <w:rPr>
          <w:rFonts w:ascii="Arial" w:hAnsi="Arial" w:cs="Arial"/>
        </w:rPr>
        <w:br w:type="page"/>
      </w:r>
    </w:p>
    <w:p w:rsidR="00312344" w:rsidRPr="005B1357" w:rsidRDefault="00312344">
      <w:pPr>
        <w:pBdr>
          <w:bottom w:val="single" w:sz="10" w:space="1" w:color="B98B3B"/>
        </w:pBdr>
        <w:spacing w:before="160" w:after="80"/>
        <w:rPr>
          <w:rFonts w:ascii="Arial" w:hAnsi="Arial" w:cs="Arial"/>
        </w:rPr>
      </w:pPr>
    </w:p>
    <w:p w:rsidR="00606AD6" w:rsidRPr="00606AD6" w:rsidRDefault="00606AD6">
      <w:pPr>
        <w:pStyle w:val="Heading1"/>
        <w:spacing w:before="40" w:after="120"/>
        <w:rPr>
          <w:rFonts w:ascii="Arial" w:hAnsi="Arial" w:cs="Arial"/>
          <w:color w:val="B98B3B"/>
          <w:sz w:val="20"/>
          <w:szCs w:val="20"/>
        </w:rPr>
      </w:pPr>
    </w:p>
    <w:p w:rsidR="00312344" w:rsidRPr="005B1357" w:rsidRDefault="007D490C">
      <w:pPr>
        <w:pStyle w:val="Heading1"/>
        <w:spacing w:before="40" w:after="120"/>
        <w:rPr>
          <w:rFonts w:ascii="Arial" w:hAnsi="Arial" w:cs="Arial"/>
        </w:rPr>
      </w:pPr>
      <w:r w:rsidRPr="005B1357">
        <w:rPr>
          <w:rFonts w:ascii="Arial" w:hAnsi="Arial" w:cs="Arial"/>
          <w:color w:val="B98B3B"/>
        </w:rPr>
        <w:t xml:space="preserve">6.0 </w:t>
      </w:r>
      <w:r w:rsidRPr="005B1357">
        <w:rPr>
          <w:rFonts w:ascii="Arial" w:hAnsi="Arial" w:cs="Arial"/>
        </w:rPr>
        <w:t>Vision &amp; Mission</w:t>
      </w:r>
    </w:p>
    <w:p w:rsidR="00312344" w:rsidRPr="005B1357" w:rsidRDefault="007D490C">
      <w:pPr>
        <w:pStyle w:val="Heading2"/>
        <w:spacing w:before="200"/>
        <w:rPr>
          <w:rFonts w:ascii="Arial" w:hAnsi="Arial" w:cs="Arial"/>
        </w:rPr>
      </w:pPr>
      <w:r w:rsidRPr="005B1357">
        <w:rPr>
          <w:rFonts w:ascii="Arial" w:hAnsi="Arial" w:cs="Arial"/>
          <w:color w:val="B98B3B"/>
        </w:rPr>
        <w:t xml:space="preserve">6.1 </w:t>
      </w:r>
      <w:r w:rsidRPr="005B1357">
        <w:rPr>
          <w:rFonts w:ascii="Arial" w:hAnsi="Arial" w:cs="Arial"/>
        </w:rPr>
        <w:t>Long-Term Strategic Horizon (2026-2030)</w:t>
      </w:r>
    </w:p>
    <w:tbl>
      <w:tblPr>
        <w:tblW w:w="9360" w:type="dxa"/>
        <w:jc w:val="center"/>
        <w:tblBorders>
          <w:top w:val="single" w:sz="4" w:space="0" w:color="B98B3B"/>
          <w:left w:val="single" w:sz="4" w:space="0" w:color="B98B3B"/>
          <w:bottom w:val="single" w:sz="4" w:space="0" w:color="B98B3B"/>
          <w:right w:val="single" w:sz="4" w:space="0" w:color="242524"/>
        </w:tblBorders>
        <w:tblLook w:val="04A0"/>
      </w:tblPr>
      <w:tblGrid>
        <w:gridCol w:w="9360"/>
      </w:tblGrid>
      <w:tr w:rsidR="00312344" w:rsidRPr="000B7CD5" w:rsidTr="000B7CD5">
        <w:trPr>
          <w:cantSplit/>
          <w:jc w:val="center"/>
        </w:trPr>
        <w:tc>
          <w:tcPr>
            <w:tcW w:w="9360" w:type="dxa"/>
            <w:shd w:val="clear" w:color="auto" w:fill="auto"/>
            <w:tcMar>
              <w:top w:w="140" w:type="dxa"/>
              <w:left w:w="200" w:type="dxa"/>
              <w:bottom w:w="140" w:type="dxa"/>
              <w:right w:w="160" w:type="dxa"/>
            </w:tcMar>
            <w:vAlign w:val="center"/>
          </w:tcPr>
          <w:p w:rsidR="00312344" w:rsidRPr="000B7CD5" w:rsidRDefault="007D490C" w:rsidP="000B7CD5">
            <w:pPr>
              <w:spacing w:before="40" w:after="40"/>
              <w:jc w:val="both"/>
              <w:rPr>
                <w:rFonts w:ascii="Arial" w:hAnsi="Arial" w:cs="Arial"/>
                <w:color w:val="auto"/>
                <w:sz w:val="24"/>
                <w:szCs w:val="24"/>
              </w:rPr>
            </w:pPr>
            <w:r w:rsidRPr="000B7CD5">
              <w:rPr>
                <w:rFonts w:ascii="Arial" w:hAnsi="Arial" w:cs="Arial"/>
                <w:i/>
                <w:color w:val="auto"/>
                <w:sz w:val="24"/>
                <w:szCs w:val="24"/>
              </w:rPr>
              <w:t xml:space="preserve">"By 2030, Aravanta Cloud OS will serve as the universal operating standard for multi-cloud and distributed edge infrastructure </w:t>
            </w:r>
            <w:r w:rsidR="000B7CD5">
              <w:rPr>
                <w:rFonts w:ascii="Arial" w:hAnsi="Arial" w:cs="Arial"/>
                <w:i/>
                <w:color w:val="auto"/>
                <w:sz w:val="24"/>
                <w:szCs w:val="24"/>
              </w:rPr>
              <w:t>-</w:t>
            </w:r>
            <w:r w:rsidRPr="000B7CD5">
              <w:rPr>
                <w:rFonts w:ascii="Arial" w:hAnsi="Arial" w:cs="Arial"/>
                <w:i/>
                <w:color w:val="auto"/>
                <w:sz w:val="24"/>
                <w:szCs w:val="24"/>
              </w:rPr>
              <w:t xml:space="preserve"> empowering engineering organizations worldwide to provision, deploy, observe, and autonomously recover production workloads across any cloud provider or bare-metal environment through a single, open, and elegantly simple control plane. We envision an era where cloud plumbing is completely invisible: software teams think purely in terms of business applications and user outcomes, entirely untethered from proprietary cloud boundaries."</w:t>
            </w:r>
          </w:p>
        </w:tc>
      </w:tr>
    </w:tbl>
    <w:p w:rsidR="00312344" w:rsidRPr="005B1357" w:rsidRDefault="00312344">
      <w:pPr>
        <w:rPr>
          <w:rFonts w:ascii="Arial" w:hAnsi="Arial" w:cs="Arial"/>
        </w:rPr>
      </w:pPr>
    </w:p>
    <w:p w:rsidR="00312344" w:rsidRPr="005B1357" w:rsidRDefault="007D490C">
      <w:pPr>
        <w:pStyle w:val="Heading2"/>
        <w:spacing w:before="200"/>
        <w:rPr>
          <w:rFonts w:ascii="Arial" w:hAnsi="Arial" w:cs="Arial"/>
        </w:rPr>
      </w:pPr>
      <w:r w:rsidRPr="005B1357">
        <w:rPr>
          <w:rFonts w:ascii="Arial" w:hAnsi="Arial" w:cs="Arial"/>
          <w:color w:val="B98B3B"/>
        </w:rPr>
        <w:t xml:space="preserve">6.2 </w:t>
      </w:r>
      <w:r w:rsidRPr="005B1357">
        <w:rPr>
          <w:rFonts w:ascii="Arial" w:hAnsi="Arial" w:cs="Arial"/>
        </w:rPr>
        <w:t>Four Foundational Vision Pillars</w:t>
      </w:r>
    </w:p>
    <w:p w:rsidR="00312344" w:rsidRPr="002A4CA2" w:rsidRDefault="007D490C" w:rsidP="002A4CA2">
      <w:pPr>
        <w:pStyle w:val="ListParagraph"/>
        <w:numPr>
          <w:ilvl w:val="0"/>
          <w:numId w:val="15"/>
        </w:numPr>
        <w:spacing w:after="100"/>
        <w:jc w:val="both"/>
        <w:rPr>
          <w:rFonts w:ascii="Arial" w:hAnsi="Arial" w:cs="Arial"/>
        </w:rPr>
      </w:pPr>
      <w:r w:rsidRPr="002A4CA2">
        <w:rPr>
          <w:rFonts w:ascii="Arial" w:hAnsi="Arial" w:cs="Arial"/>
          <w:b/>
          <w:color w:val="B98B3B"/>
          <w:sz w:val="21"/>
        </w:rPr>
        <w:t>Universal Multi-Cloud Abstraction:</w:t>
      </w:r>
      <w:r w:rsidRPr="002A4CA2">
        <w:rPr>
          <w:rFonts w:ascii="Arial" w:hAnsi="Arial" w:cs="Arial"/>
          <w:sz w:val="21"/>
        </w:rPr>
        <w:t xml:space="preserve"> A cloud-agnostic control plane orchestrating AWS, GCP, Azure, and bare-metal environments with zero proprietary API dependencies.</w:t>
      </w:r>
    </w:p>
    <w:p w:rsidR="00312344" w:rsidRPr="002A4CA2" w:rsidRDefault="007D490C" w:rsidP="002A4CA2">
      <w:pPr>
        <w:pStyle w:val="ListParagraph"/>
        <w:numPr>
          <w:ilvl w:val="0"/>
          <w:numId w:val="15"/>
        </w:numPr>
        <w:spacing w:after="100"/>
        <w:jc w:val="both"/>
        <w:rPr>
          <w:rFonts w:ascii="Arial" w:hAnsi="Arial" w:cs="Arial"/>
        </w:rPr>
      </w:pPr>
      <w:r w:rsidRPr="002A4CA2">
        <w:rPr>
          <w:rFonts w:ascii="Arial" w:hAnsi="Arial" w:cs="Arial"/>
          <w:b/>
          <w:color w:val="B98B3B"/>
          <w:sz w:val="21"/>
        </w:rPr>
        <w:t>Autonomous Self-Healing Infrastructure:</w:t>
      </w:r>
      <w:r w:rsidRPr="002A4CA2">
        <w:rPr>
          <w:rFonts w:ascii="Arial" w:hAnsi="Arial" w:cs="Arial"/>
          <w:sz w:val="21"/>
        </w:rPr>
        <w:t xml:space="preserve"> AI-assisted anomaly detection and deterministic remediation runbooks that resolve 80%+ of common production incidents without human intervention.</w:t>
      </w:r>
    </w:p>
    <w:p w:rsidR="00312344" w:rsidRPr="002A4CA2" w:rsidRDefault="007D490C" w:rsidP="002A4CA2">
      <w:pPr>
        <w:pStyle w:val="ListParagraph"/>
        <w:numPr>
          <w:ilvl w:val="0"/>
          <w:numId w:val="15"/>
        </w:numPr>
        <w:spacing w:after="100"/>
        <w:jc w:val="both"/>
        <w:rPr>
          <w:rFonts w:ascii="Arial" w:hAnsi="Arial" w:cs="Arial"/>
        </w:rPr>
      </w:pPr>
      <w:r w:rsidRPr="002A4CA2">
        <w:rPr>
          <w:rFonts w:ascii="Arial" w:hAnsi="Arial" w:cs="Arial"/>
          <w:b/>
          <w:color w:val="B98B3B"/>
          <w:sz w:val="21"/>
        </w:rPr>
        <w:t>Global Sovereign Compliance Engine:</w:t>
      </w:r>
      <w:r w:rsidRPr="002A4CA2">
        <w:rPr>
          <w:rFonts w:ascii="Arial" w:hAnsi="Arial" w:cs="Arial"/>
          <w:sz w:val="21"/>
        </w:rPr>
        <w:t xml:space="preserve"> Turnkey compliance governance for DPDPA 2023, SOC 2 Type II, ISO 27001, GDPR, and HIPAA with automated one-click audit generation.</w:t>
      </w:r>
    </w:p>
    <w:p w:rsidR="00312344" w:rsidRPr="002A4CA2" w:rsidRDefault="007D490C" w:rsidP="002A4CA2">
      <w:pPr>
        <w:pStyle w:val="ListParagraph"/>
        <w:numPr>
          <w:ilvl w:val="0"/>
          <w:numId w:val="15"/>
        </w:numPr>
        <w:spacing w:after="100"/>
        <w:jc w:val="both"/>
        <w:rPr>
          <w:rFonts w:ascii="Arial" w:hAnsi="Arial" w:cs="Arial"/>
        </w:rPr>
      </w:pPr>
      <w:r w:rsidRPr="002A4CA2">
        <w:rPr>
          <w:rFonts w:ascii="Arial" w:hAnsi="Arial" w:cs="Arial"/>
          <w:b/>
          <w:color w:val="B98B3B"/>
          <w:sz w:val="21"/>
        </w:rPr>
        <w:t>Engineering Velocity Multiplier:</w:t>
      </w:r>
      <w:r w:rsidRPr="002A4CA2">
        <w:rPr>
          <w:rFonts w:ascii="Arial" w:hAnsi="Arial" w:cs="Arial"/>
          <w:sz w:val="21"/>
        </w:rPr>
        <w:t xml:space="preserve"> Accelerating infrastructure provisioning cycles from days to under 60 seconds, returning valuable engineering capacity to core product delivery.</w:t>
      </w:r>
    </w:p>
    <w:p w:rsidR="00312344" w:rsidRPr="005B1357" w:rsidRDefault="007D490C">
      <w:pPr>
        <w:pStyle w:val="Heading2"/>
        <w:spacing w:before="200"/>
        <w:rPr>
          <w:rFonts w:ascii="Arial" w:hAnsi="Arial" w:cs="Arial"/>
        </w:rPr>
      </w:pPr>
      <w:r w:rsidRPr="005B1357">
        <w:rPr>
          <w:rFonts w:ascii="Arial" w:hAnsi="Arial" w:cs="Arial"/>
          <w:color w:val="B98B3B"/>
        </w:rPr>
        <w:t xml:space="preserve">6.3 </w:t>
      </w:r>
      <w:r w:rsidRPr="005B1357">
        <w:rPr>
          <w:rFonts w:ascii="Arial" w:hAnsi="Arial" w:cs="Arial"/>
        </w:rPr>
        <w:t>Foundational Mission Statement</w:t>
      </w:r>
    </w:p>
    <w:tbl>
      <w:tblPr>
        <w:tblW w:w="9360" w:type="dxa"/>
        <w:jc w:val="center"/>
        <w:tblBorders>
          <w:top w:val="single" w:sz="4" w:space="0" w:color="D4A24C"/>
          <w:left w:val="single" w:sz="4" w:space="0" w:color="B98B3B"/>
          <w:bottom w:val="single" w:sz="4" w:space="0" w:color="D4A24C"/>
          <w:right w:val="single" w:sz="4" w:space="0" w:color="B98B3B"/>
        </w:tblBorders>
        <w:tblLook w:val="04A0"/>
      </w:tblPr>
      <w:tblGrid>
        <w:gridCol w:w="9360"/>
      </w:tblGrid>
      <w:tr w:rsidR="00312344" w:rsidRPr="005B1357" w:rsidTr="002A4CA2">
        <w:trPr>
          <w:cantSplit/>
          <w:jc w:val="center"/>
        </w:trPr>
        <w:tc>
          <w:tcPr>
            <w:tcW w:w="9360" w:type="dxa"/>
            <w:shd w:val="clear" w:color="auto" w:fill="FBF7EE"/>
            <w:tcMar>
              <w:top w:w="140" w:type="dxa"/>
              <w:left w:w="200" w:type="dxa"/>
              <w:bottom w:w="140" w:type="dxa"/>
              <w:right w:w="160" w:type="dxa"/>
            </w:tcMar>
          </w:tcPr>
          <w:p w:rsidR="00312344" w:rsidRPr="005B1357" w:rsidRDefault="007D490C" w:rsidP="002A4CA2">
            <w:pPr>
              <w:spacing w:before="40" w:after="40"/>
              <w:jc w:val="both"/>
              <w:rPr>
                <w:rFonts w:ascii="Arial" w:hAnsi="Arial" w:cs="Arial"/>
              </w:rPr>
            </w:pPr>
            <w:r w:rsidRPr="005B1357">
              <w:rPr>
                <w:rFonts w:ascii="Arial" w:hAnsi="Arial" w:cs="Arial"/>
                <w:i/>
              </w:rPr>
              <w:t>"To build the most reliable, transparent, and unified cloud operating system that empowers engineering teams to ship faster, observe deeper, and operate with absolute resilience - without ever sacrificing independence to proprietary vendor lock-in or opaque billing structures."</w:t>
            </w:r>
          </w:p>
        </w:tc>
      </w:tr>
    </w:tbl>
    <w:p w:rsidR="00312344" w:rsidRDefault="00312344">
      <w:pPr>
        <w:rPr>
          <w:rFonts w:ascii="Arial" w:hAnsi="Arial" w:cs="Arial"/>
        </w:rPr>
      </w:pPr>
    </w:p>
    <w:p w:rsidR="00A9213A" w:rsidRDefault="00A9213A">
      <w:pPr>
        <w:rPr>
          <w:rFonts w:ascii="Arial" w:hAnsi="Arial" w:cs="Arial"/>
        </w:rPr>
      </w:pPr>
    </w:p>
    <w:p w:rsidR="00A9213A" w:rsidRDefault="00A9213A">
      <w:pPr>
        <w:rPr>
          <w:rFonts w:ascii="Arial" w:hAnsi="Arial" w:cs="Arial"/>
        </w:rPr>
      </w:pPr>
    </w:p>
    <w:p w:rsidR="00A9213A" w:rsidRDefault="00A9213A">
      <w:pPr>
        <w:spacing w:after="200"/>
        <w:rPr>
          <w:rFonts w:ascii="Arial" w:hAnsi="Arial" w:cs="Arial"/>
        </w:rPr>
      </w:pPr>
      <w:r>
        <w:rPr>
          <w:rFonts w:ascii="Arial" w:hAnsi="Arial" w:cs="Arial"/>
        </w:rPr>
        <w:br w:type="page"/>
      </w:r>
    </w:p>
    <w:p w:rsidR="00A9213A" w:rsidRDefault="00A9213A" w:rsidP="00606AD6">
      <w:pPr>
        <w:pBdr>
          <w:bottom w:val="single" w:sz="4" w:space="1" w:color="B98B3B"/>
        </w:pBdr>
        <w:rPr>
          <w:rFonts w:ascii="Arial" w:hAnsi="Arial" w:cs="Arial"/>
        </w:rPr>
      </w:pPr>
    </w:p>
    <w:p w:rsidR="00A9213A" w:rsidRPr="005B1357" w:rsidRDefault="00A9213A">
      <w:pPr>
        <w:rPr>
          <w:rFonts w:ascii="Arial" w:hAnsi="Arial" w:cs="Arial"/>
        </w:rPr>
      </w:pPr>
    </w:p>
    <w:p w:rsidR="00312344" w:rsidRPr="005B1357" w:rsidRDefault="007D490C">
      <w:pPr>
        <w:pStyle w:val="Heading2"/>
        <w:spacing w:before="200"/>
        <w:rPr>
          <w:rFonts w:ascii="Arial" w:hAnsi="Arial" w:cs="Arial"/>
        </w:rPr>
      </w:pPr>
      <w:r w:rsidRPr="005B1357">
        <w:rPr>
          <w:rFonts w:ascii="Arial" w:hAnsi="Arial" w:cs="Arial"/>
          <w:color w:val="B98B3B"/>
        </w:rPr>
        <w:t xml:space="preserve">6.4 </w:t>
      </w:r>
      <w:r w:rsidRPr="005B1357">
        <w:rPr>
          <w:rFonts w:ascii="Arial" w:hAnsi="Arial" w:cs="Arial"/>
        </w:rPr>
        <w:t>Core Operating Commitments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304"/>
        <w:gridCol w:w="3600"/>
        <w:gridCol w:w="3456"/>
      </w:tblGrid>
      <w:tr w:rsidR="00312344" w:rsidRPr="005B1357">
        <w:trPr>
          <w:cantSplit/>
          <w:tblHeader/>
          <w:jc w:val="center"/>
        </w:trPr>
        <w:tc>
          <w:tcPr>
            <w:tcW w:w="2304"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Operating Pillar</w:t>
            </w:r>
          </w:p>
        </w:tc>
        <w:tc>
          <w:tcPr>
            <w:tcW w:w="3600"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Guiding Architectural Principle</w:t>
            </w:r>
          </w:p>
        </w:tc>
        <w:tc>
          <w:tcPr>
            <w:tcW w:w="3456"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Uncompromising Commercial Commitment</w:t>
            </w:r>
          </w:p>
        </w:tc>
      </w:tr>
      <w:tr w:rsidR="00312344" w:rsidRPr="005B1357">
        <w:trPr>
          <w:cantSplit/>
          <w:jc w:val="center"/>
        </w:trPr>
        <w:tc>
          <w:tcPr>
            <w:tcW w:w="230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Open Standards First</w:t>
            </w:r>
          </w:p>
        </w:tc>
        <w:tc>
          <w:tcPr>
            <w:tcW w:w="3600"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Every API, schema, and telemetry protocol is CNCF-native and upstream-compatible.</w:t>
            </w:r>
          </w:p>
        </w:tc>
        <w:tc>
          <w:tcPr>
            <w:tcW w:w="3456"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Zero proprietary lock-in across all platform surfaces.</w:t>
            </w:r>
          </w:p>
        </w:tc>
      </w:tr>
      <w:tr w:rsidR="00312344" w:rsidRPr="005B1357">
        <w:trPr>
          <w:cantSplit/>
          <w:jc w:val="center"/>
        </w:trPr>
        <w:tc>
          <w:tcPr>
            <w:tcW w:w="2304"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Relentless Simplicity</w:t>
            </w:r>
          </w:p>
        </w:tc>
        <w:tc>
          <w:tcPr>
            <w:tcW w:w="3600"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Hide complexity behind elegant abstractions: one console, one CLI, one unified bill.</w:t>
            </w:r>
          </w:p>
        </w:tc>
        <w:tc>
          <w:tcPr>
            <w:tcW w:w="3456"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Under 5 minutes from signup to live workload deployment.</w:t>
            </w:r>
          </w:p>
        </w:tc>
      </w:tr>
      <w:tr w:rsidR="00312344" w:rsidRPr="005B1357">
        <w:trPr>
          <w:cantSplit/>
          <w:jc w:val="center"/>
        </w:trPr>
        <w:tc>
          <w:tcPr>
            <w:tcW w:w="230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Zero-Trust Security</w:t>
            </w:r>
          </w:p>
        </w:tc>
        <w:tc>
          <w:tcPr>
            <w:tcW w:w="3600"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Continuous verification: every request authenticated, authorized, and logged.</w:t>
            </w:r>
          </w:p>
        </w:tc>
        <w:tc>
          <w:tcPr>
            <w:tcW w:w="3456"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SOC 2 Type II certified, 365-day immutable audit retention.</w:t>
            </w:r>
          </w:p>
        </w:tc>
      </w:tr>
      <w:tr w:rsidR="00312344" w:rsidRPr="005B1357">
        <w:trPr>
          <w:cantSplit/>
          <w:jc w:val="center"/>
        </w:trPr>
        <w:tc>
          <w:tcPr>
            <w:tcW w:w="2304"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Transparent Economics</w:t>
            </w:r>
          </w:p>
        </w:tc>
        <w:tc>
          <w:tcPr>
            <w:tcW w:w="3600"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Per-second billing granularity, zero hidden egress tolls, real-time FinOps.</w:t>
            </w:r>
          </w:p>
        </w:tc>
        <w:tc>
          <w:tcPr>
            <w:tcW w:w="3456"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Native INR and USD invoicing with full GST tax compliance.</w:t>
            </w:r>
          </w:p>
        </w:tc>
      </w:tr>
    </w:tbl>
    <w:p w:rsidR="00312344" w:rsidRPr="005B1357" w:rsidRDefault="00312344">
      <w:pPr>
        <w:rPr>
          <w:rFonts w:ascii="Arial" w:hAnsi="Arial" w:cs="Arial"/>
        </w:rPr>
      </w:pPr>
    </w:p>
    <w:p w:rsidR="00312344" w:rsidRPr="005B1357" w:rsidRDefault="007D490C">
      <w:pPr>
        <w:rPr>
          <w:rFonts w:ascii="Arial" w:hAnsi="Arial" w:cs="Arial"/>
        </w:rPr>
      </w:pPr>
      <w:r w:rsidRPr="005B1357">
        <w:rPr>
          <w:rFonts w:ascii="Arial" w:hAnsi="Arial" w:cs="Arial"/>
        </w:rPr>
        <w:br w:type="page"/>
      </w:r>
    </w:p>
    <w:p w:rsidR="00312344" w:rsidRPr="005B1357" w:rsidRDefault="00312344">
      <w:pPr>
        <w:pBdr>
          <w:bottom w:val="single" w:sz="10" w:space="1" w:color="B98B3B"/>
        </w:pBdr>
        <w:spacing w:before="160" w:after="80"/>
        <w:rPr>
          <w:rFonts w:ascii="Arial" w:hAnsi="Arial" w:cs="Arial"/>
        </w:rPr>
      </w:pPr>
    </w:p>
    <w:p w:rsidR="00A9213A" w:rsidRPr="002A4CA2" w:rsidRDefault="00A9213A">
      <w:pPr>
        <w:pStyle w:val="Heading1"/>
        <w:spacing w:before="40" w:after="120"/>
        <w:rPr>
          <w:rFonts w:ascii="Arial" w:hAnsi="Arial" w:cs="Arial"/>
          <w:color w:val="B98B3B"/>
          <w:sz w:val="20"/>
          <w:szCs w:val="20"/>
        </w:rPr>
      </w:pPr>
    </w:p>
    <w:p w:rsidR="00312344" w:rsidRPr="005B1357" w:rsidRDefault="007D490C">
      <w:pPr>
        <w:pStyle w:val="Heading1"/>
        <w:spacing w:before="40" w:after="120"/>
        <w:rPr>
          <w:rFonts w:ascii="Arial" w:hAnsi="Arial" w:cs="Arial"/>
        </w:rPr>
      </w:pPr>
      <w:r w:rsidRPr="005B1357">
        <w:rPr>
          <w:rFonts w:ascii="Arial" w:hAnsi="Arial" w:cs="Arial"/>
          <w:color w:val="B98B3B"/>
        </w:rPr>
        <w:t xml:space="preserve">7.0 </w:t>
      </w:r>
      <w:r w:rsidRPr="005B1357">
        <w:rPr>
          <w:rFonts w:ascii="Arial" w:hAnsi="Arial" w:cs="Arial"/>
        </w:rPr>
        <w:t>Product Architecture Overview</w:t>
      </w:r>
    </w:p>
    <w:p w:rsidR="00312344" w:rsidRPr="005B1357" w:rsidRDefault="007D490C">
      <w:pPr>
        <w:pStyle w:val="Heading2"/>
        <w:spacing w:before="200"/>
        <w:rPr>
          <w:rFonts w:ascii="Arial" w:hAnsi="Arial" w:cs="Arial"/>
        </w:rPr>
      </w:pPr>
      <w:r w:rsidRPr="005B1357">
        <w:rPr>
          <w:rFonts w:ascii="Arial" w:hAnsi="Arial" w:cs="Arial"/>
          <w:color w:val="B98B3B"/>
        </w:rPr>
        <w:t xml:space="preserve">7.1 </w:t>
      </w:r>
      <w:r w:rsidRPr="005B1357">
        <w:rPr>
          <w:rFonts w:ascii="Arial" w:hAnsi="Arial" w:cs="Arial"/>
        </w:rPr>
        <w:t>Decoupled Three-Tier Architecture</w:t>
      </w:r>
    </w:p>
    <w:p w:rsidR="00312344" w:rsidRPr="005B1357" w:rsidRDefault="007D490C">
      <w:pPr>
        <w:spacing w:after="160"/>
        <w:rPr>
          <w:rFonts w:ascii="Arial" w:hAnsi="Arial" w:cs="Arial"/>
        </w:rPr>
      </w:pPr>
      <w:r w:rsidRPr="005B1357">
        <w:rPr>
          <w:rFonts w:ascii="Arial" w:hAnsi="Arial" w:cs="Arial"/>
        </w:rPr>
        <w:t>Aravanta Cloud OS is engineered as a three-tier Kubernetes-native control plane that cleanly decouples developer interaction interfaces, platform management services, and underlying physical infrastructure fabrics. This modular design guarantees that any public cloud provider or private bare-metal environment can be plugged in without modifying control plane logic or disrupting the developer workflow.</w:t>
      </w:r>
    </w:p>
    <w:p w:rsidR="00312344" w:rsidRPr="005B1357" w:rsidRDefault="007D490C">
      <w:pPr>
        <w:spacing w:before="120" w:after="160"/>
        <w:jc w:val="center"/>
        <w:rPr>
          <w:rFonts w:ascii="Arial" w:hAnsi="Arial" w:cs="Arial"/>
        </w:rPr>
      </w:pPr>
      <w:r w:rsidRPr="005B1357">
        <w:rPr>
          <w:rFonts w:ascii="Arial" w:hAnsi="Arial" w:cs="Arial"/>
          <w:noProof/>
          <w:lang w:bidi="mr-IN"/>
        </w:rPr>
        <w:drawing>
          <wp:inline distT="0" distB="0" distL="0" distR="0">
            <wp:extent cx="5669280" cy="36649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1"/>
                    <a:stretch>
                      <a:fillRect/>
                    </a:stretch>
                  </pic:blipFill>
                  <pic:spPr>
                    <a:xfrm>
                      <a:off x="0" y="0"/>
                      <a:ext cx="5669280" cy="3664989"/>
                    </a:xfrm>
                    <a:prstGeom prst="rect">
                      <a:avLst/>
                    </a:prstGeom>
                  </pic:spPr>
                </pic:pic>
              </a:graphicData>
            </a:graphic>
          </wp:inline>
        </w:drawing>
      </w:r>
    </w:p>
    <w:p w:rsidR="00A9213A" w:rsidRDefault="00A9213A">
      <w:pPr>
        <w:spacing w:after="200"/>
        <w:rPr>
          <w:rFonts w:ascii="Arial" w:eastAsiaTheme="majorEastAsia" w:hAnsi="Arial" w:cs="Arial"/>
          <w:b/>
          <w:bCs/>
          <w:color w:val="B98B3B"/>
          <w:sz w:val="28"/>
          <w:szCs w:val="26"/>
        </w:rPr>
      </w:pPr>
      <w:r>
        <w:rPr>
          <w:rFonts w:ascii="Arial" w:hAnsi="Arial" w:cs="Arial"/>
          <w:color w:val="B98B3B"/>
        </w:rPr>
        <w:br w:type="page"/>
      </w:r>
    </w:p>
    <w:p w:rsidR="00A9213A" w:rsidRDefault="00A9213A" w:rsidP="00606AD6">
      <w:pPr>
        <w:pStyle w:val="Heading2"/>
        <w:pBdr>
          <w:bottom w:val="single" w:sz="4" w:space="1" w:color="B98B3B"/>
        </w:pBdr>
        <w:spacing w:before="200"/>
        <w:rPr>
          <w:rFonts w:ascii="Arial" w:hAnsi="Arial" w:cs="Arial"/>
          <w:color w:val="B98B3B"/>
        </w:rPr>
      </w:pPr>
    </w:p>
    <w:p w:rsidR="00312344" w:rsidRPr="005B1357" w:rsidRDefault="007D490C">
      <w:pPr>
        <w:pStyle w:val="Heading2"/>
        <w:spacing w:before="200"/>
        <w:rPr>
          <w:rFonts w:ascii="Arial" w:hAnsi="Arial" w:cs="Arial"/>
        </w:rPr>
      </w:pPr>
      <w:r w:rsidRPr="005B1357">
        <w:rPr>
          <w:rFonts w:ascii="Arial" w:hAnsi="Arial" w:cs="Arial"/>
          <w:color w:val="B98B3B"/>
        </w:rPr>
        <w:t xml:space="preserve">7.2  </w:t>
      </w:r>
      <w:r w:rsidRPr="005B1357">
        <w:rPr>
          <w:rFonts w:ascii="Arial" w:hAnsi="Arial" w:cs="Arial"/>
        </w:rPr>
        <w:t>Detailed Technical Tier Specifications</w:t>
      </w:r>
    </w:p>
    <w:p w:rsidR="00312344" w:rsidRPr="002A4CA2" w:rsidRDefault="007D490C" w:rsidP="002A4CA2">
      <w:pPr>
        <w:pStyle w:val="ListParagraph"/>
        <w:numPr>
          <w:ilvl w:val="0"/>
          <w:numId w:val="14"/>
        </w:numPr>
        <w:spacing w:after="140"/>
        <w:jc w:val="both"/>
        <w:rPr>
          <w:rFonts w:ascii="Arial" w:hAnsi="Arial" w:cs="Arial"/>
        </w:rPr>
      </w:pPr>
      <w:r w:rsidRPr="002A4CA2">
        <w:rPr>
          <w:rFonts w:ascii="Arial" w:hAnsi="Arial" w:cs="Arial"/>
          <w:b/>
          <w:color w:val="B98B3B"/>
        </w:rPr>
        <w:t>Tier 1 - Developer Access Surfaces:</w:t>
      </w:r>
      <w:r w:rsidRPr="002A4CA2">
        <w:rPr>
          <w:rFonts w:ascii="Arial" w:hAnsi="Arial" w:cs="Arial"/>
          <w:sz w:val="21"/>
        </w:rPr>
        <w:t xml:space="preserve"> Web Console UI, arv command-line interface, Terraform/OpenTofu provider, Go/Python/Node SDKs, and REST/OpenAPI 3.1 specifications. All developer surfaces are generated from a single OpenAPI schema, guaranteeing 100% operational parity.</w:t>
      </w:r>
    </w:p>
    <w:p w:rsidR="00312344" w:rsidRPr="002A4CA2" w:rsidRDefault="007D490C" w:rsidP="002A4CA2">
      <w:pPr>
        <w:pStyle w:val="ListParagraph"/>
        <w:numPr>
          <w:ilvl w:val="0"/>
          <w:numId w:val="14"/>
        </w:numPr>
        <w:spacing w:after="140"/>
        <w:jc w:val="both"/>
        <w:rPr>
          <w:rFonts w:ascii="Arial" w:hAnsi="Arial" w:cs="Arial"/>
        </w:rPr>
      </w:pPr>
      <w:r w:rsidRPr="002A4CA2">
        <w:rPr>
          <w:rFonts w:ascii="Arial" w:hAnsi="Arial" w:cs="Arial"/>
          <w:b/>
          <w:color w:val="B98B3B"/>
        </w:rPr>
        <w:t>Tier 2 - Aravanta Unified Control Plane:</w:t>
      </w:r>
      <w:r w:rsidRPr="002A4CA2">
        <w:rPr>
          <w:rFonts w:ascii="Arial" w:hAnsi="Arial" w:cs="Arial"/>
          <w:sz w:val="21"/>
        </w:rPr>
        <w:t xml:space="preserve"> Core Kubernetes-native orchestration layer encompassing 8 specialized services: ArvCompute, ArvKube, ArvStore, ArvDB, GitOps Delivery Engine, Observability Hub, War-Room Console, and Security &amp; RBAC Vault. Every service operates via declarative Custom Resource Definitions (CRDs).</w:t>
      </w:r>
    </w:p>
    <w:p w:rsidR="00312344" w:rsidRPr="002A4CA2" w:rsidRDefault="007D490C" w:rsidP="002A4CA2">
      <w:pPr>
        <w:pStyle w:val="ListParagraph"/>
        <w:numPr>
          <w:ilvl w:val="0"/>
          <w:numId w:val="14"/>
        </w:numPr>
        <w:spacing w:after="140"/>
        <w:jc w:val="both"/>
        <w:rPr>
          <w:rFonts w:ascii="Arial" w:hAnsi="Arial" w:cs="Arial"/>
        </w:rPr>
      </w:pPr>
      <w:r w:rsidRPr="002A4CA2">
        <w:rPr>
          <w:rFonts w:ascii="Arial" w:hAnsi="Arial" w:cs="Arial"/>
          <w:b/>
          <w:color w:val="B98B3B"/>
        </w:rPr>
        <w:t>Tier 3 - Physical &amp; Cloud Infrastructure Backends:</w:t>
      </w:r>
      <w:r w:rsidRPr="002A4CA2">
        <w:rPr>
          <w:rFonts w:ascii="Arial" w:hAnsi="Arial" w:cs="Arial"/>
          <w:sz w:val="21"/>
        </w:rPr>
        <w:t xml:space="preserve"> Provider adapters translating declarative intent into cloud-specific API calls: AWS (EC2/EBS/VPC/EKS), GCP (Compute Engine/GKE/Persistent Disk), Azure (VMs/AKS/Disks), and Bare-Metal/On-Premise (IPMI/Redfish with air-gapped K8s distribution).</w:t>
      </w:r>
    </w:p>
    <w:p w:rsidR="00312344" w:rsidRPr="005B1357" w:rsidRDefault="007D490C">
      <w:pPr>
        <w:rPr>
          <w:rFonts w:ascii="Arial" w:hAnsi="Arial" w:cs="Arial"/>
        </w:rPr>
      </w:pPr>
      <w:r w:rsidRPr="005B1357">
        <w:rPr>
          <w:rFonts w:ascii="Arial" w:hAnsi="Arial" w:cs="Arial"/>
        </w:rPr>
        <w:br w:type="page"/>
      </w:r>
    </w:p>
    <w:p w:rsidR="00312344" w:rsidRPr="005B1357" w:rsidRDefault="00312344">
      <w:pPr>
        <w:pBdr>
          <w:bottom w:val="single" w:sz="10" w:space="1" w:color="B98B3B"/>
        </w:pBdr>
        <w:spacing w:before="160" w:after="80"/>
        <w:rPr>
          <w:rFonts w:ascii="Arial" w:hAnsi="Arial" w:cs="Arial"/>
        </w:rPr>
      </w:pPr>
    </w:p>
    <w:p w:rsidR="00606AD6" w:rsidRPr="00606AD6" w:rsidRDefault="00606AD6">
      <w:pPr>
        <w:pStyle w:val="Heading1"/>
        <w:spacing w:before="40" w:after="120"/>
        <w:rPr>
          <w:rFonts w:ascii="Arial" w:hAnsi="Arial" w:cs="Arial"/>
          <w:color w:val="B98B3B"/>
          <w:sz w:val="20"/>
          <w:szCs w:val="20"/>
        </w:rPr>
      </w:pPr>
    </w:p>
    <w:p w:rsidR="00312344" w:rsidRPr="005B1357" w:rsidRDefault="007D490C">
      <w:pPr>
        <w:pStyle w:val="Heading1"/>
        <w:spacing w:before="40" w:after="120"/>
        <w:rPr>
          <w:rFonts w:ascii="Arial" w:hAnsi="Arial" w:cs="Arial"/>
        </w:rPr>
      </w:pPr>
      <w:r w:rsidRPr="005B1357">
        <w:rPr>
          <w:rFonts w:ascii="Arial" w:hAnsi="Arial" w:cs="Arial"/>
          <w:color w:val="B98B3B"/>
        </w:rPr>
        <w:t xml:space="preserve">8.0 </w:t>
      </w:r>
      <w:r w:rsidRPr="005B1357">
        <w:rPr>
          <w:rFonts w:ascii="Arial" w:hAnsi="Arial" w:cs="Arial"/>
        </w:rPr>
        <w:t>Strategic Roadmap &amp; Go-to-Market</w:t>
      </w:r>
    </w:p>
    <w:p w:rsidR="00312344" w:rsidRPr="005B1357" w:rsidRDefault="007D490C">
      <w:pPr>
        <w:pStyle w:val="Heading2"/>
        <w:spacing w:before="200"/>
        <w:rPr>
          <w:rFonts w:ascii="Arial" w:hAnsi="Arial" w:cs="Arial"/>
        </w:rPr>
      </w:pPr>
      <w:r w:rsidRPr="005B1357">
        <w:rPr>
          <w:rFonts w:ascii="Arial" w:hAnsi="Arial" w:cs="Arial"/>
          <w:color w:val="B98B3B"/>
        </w:rPr>
        <w:t xml:space="preserve">8.1 </w:t>
      </w:r>
      <w:r w:rsidRPr="005B1357">
        <w:rPr>
          <w:rFonts w:ascii="Arial" w:hAnsi="Arial" w:cs="Arial"/>
        </w:rPr>
        <w:t>Phased Product Roadmap Timeline</w:t>
      </w:r>
    </w:p>
    <w:p w:rsidR="00312344" w:rsidRPr="005B1357" w:rsidRDefault="007D490C">
      <w:pPr>
        <w:spacing w:before="120" w:after="160"/>
        <w:jc w:val="center"/>
        <w:rPr>
          <w:rFonts w:ascii="Arial" w:hAnsi="Arial" w:cs="Arial"/>
        </w:rPr>
      </w:pPr>
      <w:r w:rsidRPr="005B1357">
        <w:rPr>
          <w:rFonts w:ascii="Arial" w:hAnsi="Arial" w:cs="Arial"/>
          <w:noProof/>
          <w:lang w:bidi="mr-IN"/>
        </w:rPr>
        <w:drawing>
          <wp:inline distT="0" distB="0" distL="0" distR="0">
            <wp:extent cx="5669280" cy="23985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_timeline.png"/>
                    <pic:cNvPicPr/>
                  </pic:nvPicPr>
                  <pic:blipFill>
                    <a:blip r:embed="rId12"/>
                    <a:stretch>
                      <a:fillRect/>
                    </a:stretch>
                  </pic:blipFill>
                  <pic:spPr>
                    <a:xfrm>
                      <a:off x="0" y="0"/>
                      <a:ext cx="5669280" cy="2398542"/>
                    </a:xfrm>
                    <a:prstGeom prst="rect">
                      <a:avLst/>
                    </a:prstGeom>
                  </pic:spPr>
                </pic:pic>
              </a:graphicData>
            </a:graphic>
          </wp:inline>
        </w:drawing>
      </w:r>
    </w:p>
    <w:p w:rsidR="00312344" w:rsidRPr="005B1357" w:rsidRDefault="007D490C">
      <w:pPr>
        <w:pStyle w:val="Heading2"/>
        <w:spacing w:before="200"/>
        <w:rPr>
          <w:rFonts w:ascii="Arial" w:hAnsi="Arial" w:cs="Arial"/>
        </w:rPr>
      </w:pPr>
      <w:r w:rsidRPr="005B1357">
        <w:rPr>
          <w:rFonts w:ascii="Arial" w:hAnsi="Arial" w:cs="Arial"/>
          <w:color w:val="B98B3B"/>
        </w:rPr>
        <w:t xml:space="preserve">8.2 </w:t>
      </w:r>
      <w:r w:rsidRPr="005B1357">
        <w:rPr>
          <w:rFonts w:ascii="Arial" w:hAnsi="Arial" w:cs="Arial"/>
        </w:rPr>
        <w:t>Go-to-Market &amp; Strategic Execution Initiatives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305"/>
        <w:gridCol w:w="1584"/>
        <w:gridCol w:w="3456"/>
        <w:gridCol w:w="2015"/>
      </w:tblGrid>
      <w:tr w:rsidR="00312344" w:rsidRPr="005B1357">
        <w:trPr>
          <w:cantSplit/>
          <w:tblHeader/>
          <w:jc w:val="center"/>
        </w:trPr>
        <w:tc>
          <w:tcPr>
            <w:tcW w:w="2304"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Strategic Initiative</w:t>
            </w:r>
          </w:p>
        </w:tc>
        <w:tc>
          <w:tcPr>
            <w:tcW w:w="1584"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Target Window</w:t>
            </w:r>
          </w:p>
        </w:tc>
        <w:tc>
          <w:tcPr>
            <w:tcW w:w="3456"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Execution Scope &amp; Objectives</w:t>
            </w:r>
          </w:p>
        </w:tc>
        <w:tc>
          <w:tcPr>
            <w:tcW w:w="2015"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Key Success Metric</w:t>
            </w:r>
          </w:p>
        </w:tc>
      </w:tr>
      <w:tr w:rsidR="00312344" w:rsidRPr="005B1357">
        <w:trPr>
          <w:cantSplit/>
          <w:jc w:val="center"/>
        </w:trPr>
        <w:tc>
          <w:tcPr>
            <w:tcW w:w="230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Enterprise Pilot Program</w:t>
            </w:r>
          </w:p>
        </w:tc>
        <w:tc>
          <w:tcPr>
            <w:tcW w:w="158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Q4 2026</w:t>
            </w:r>
          </w:p>
        </w:tc>
        <w:tc>
          <w:tcPr>
            <w:tcW w:w="3456"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Onboard 5-8 enterprise design partners for 90-day production pilots.</w:t>
            </w:r>
          </w:p>
        </w:tc>
        <w:tc>
          <w:tcPr>
            <w:tcW w:w="2015"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3+ annual enterprise contract conversions.</w:t>
            </w:r>
          </w:p>
        </w:tc>
      </w:tr>
      <w:tr w:rsidR="00312344" w:rsidRPr="005B1357">
        <w:trPr>
          <w:cantSplit/>
          <w:jc w:val="center"/>
        </w:trPr>
        <w:tc>
          <w:tcPr>
            <w:tcW w:w="2304"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Global SI Channel Alliances</w:t>
            </w:r>
          </w:p>
        </w:tc>
        <w:tc>
          <w:tcPr>
            <w:tcW w:w="1584"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Q1 2027</w:t>
            </w:r>
          </w:p>
        </w:tc>
        <w:tc>
          <w:tcPr>
            <w:tcW w:w="3456"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Formalize distribution partnerships with Tier-1 consulting &amp; SI firms.</w:t>
            </w:r>
          </w:p>
        </w:tc>
        <w:tc>
          <w:tcPr>
            <w:tcW w:w="2015"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2+ signed channel reseller agreements.</w:t>
            </w:r>
          </w:p>
        </w:tc>
      </w:tr>
      <w:tr w:rsidR="00312344" w:rsidRPr="005B1357">
        <w:trPr>
          <w:cantSplit/>
          <w:jc w:val="center"/>
        </w:trPr>
        <w:tc>
          <w:tcPr>
            <w:tcW w:w="230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Government Cloud Certification</w:t>
            </w:r>
          </w:p>
        </w:tc>
        <w:tc>
          <w:tcPr>
            <w:tcW w:w="158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Q1-Q2 2027</w:t>
            </w:r>
          </w:p>
        </w:tc>
        <w:tc>
          <w:tcPr>
            <w:tcW w:w="3456"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Obtain MeitY empanelment &amp; deploy sovereign air-gapped K8s distribution.</w:t>
            </w:r>
          </w:p>
        </w:tc>
        <w:tc>
          <w:tcPr>
            <w:tcW w:w="2015"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Official MeitY accreditation approved.</w:t>
            </w:r>
          </w:p>
        </w:tc>
      </w:tr>
      <w:tr w:rsidR="00312344" w:rsidRPr="005B1357">
        <w:trPr>
          <w:cantSplit/>
          <w:jc w:val="center"/>
        </w:trPr>
        <w:tc>
          <w:tcPr>
            <w:tcW w:w="2304"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Series A Investment Round</w:t>
            </w:r>
          </w:p>
        </w:tc>
        <w:tc>
          <w:tcPr>
            <w:tcW w:w="1584"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Q4 2026 - Q1 2027</w:t>
            </w:r>
          </w:p>
        </w:tc>
        <w:tc>
          <w:tcPr>
            <w:tcW w:w="3456"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Raise growth capital to expand engineering, enterprise sales, and regions.</w:t>
            </w:r>
          </w:p>
        </w:tc>
        <w:tc>
          <w:tcPr>
            <w:tcW w:w="2015"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Target: $8-12M at $40-60M valuation.</w:t>
            </w:r>
          </w:p>
        </w:tc>
      </w:tr>
      <w:tr w:rsidR="00312344" w:rsidRPr="005B1357">
        <w:trPr>
          <w:cantSplit/>
          <w:jc w:val="center"/>
        </w:trPr>
        <w:tc>
          <w:tcPr>
            <w:tcW w:w="230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APAC &amp; EU Regional Expansion</w:t>
            </w:r>
          </w:p>
        </w:tc>
        <w:tc>
          <w:tcPr>
            <w:tcW w:w="158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Q2-Q3 2027</w:t>
            </w:r>
          </w:p>
        </w:tc>
        <w:tc>
          <w:tcPr>
            <w:tcW w:w="3456"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Establish Singapore, Tokyo, and Frankfurt control plane nodes.</w:t>
            </w:r>
          </w:p>
        </w:tc>
        <w:tc>
          <w:tcPr>
            <w:tcW w:w="2015"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3 international regions in full GA.</w:t>
            </w:r>
          </w:p>
        </w:tc>
      </w:tr>
    </w:tbl>
    <w:p w:rsidR="00312344" w:rsidRPr="005B1357" w:rsidRDefault="00312344">
      <w:pPr>
        <w:rPr>
          <w:rFonts w:ascii="Arial" w:hAnsi="Arial" w:cs="Arial"/>
        </w:rPr>
      </w:pPr>
    </w:p>
    <w:p w:rsidR="00312344" w:rsidRPr="005B1357" w:rsidRDefault="007D490C">
      <w:pPr>
        <w:rPr>
          <w:rFonts w:ascii="Arial" w:hAnsi="Arial" w:cs="Arial"/>
        </w:rPr>
      </w:pPr>
      <w:r w:rsidRPr="005B1357">
        <w:rPr>
          <w:rFonts w:ascii="Arial" w:hAnsi="Arial" w:cs="Arial"/>
        </w:rPr>
        <w:br w:type="page"/>
      </w:r>
    </w:p>
    <w:p w:rsidR="00312344" w:rsidRPr="005B1357" w:rsidRDefault="00312344">
      <w:pPr>
        <w:pBdr>
          <w:bottom w:val="single" w:sz="10" w:space="1" w:color="B98B3B"/>
        </w:pBdr>
        <w:spacing w:before="160" w:after="80"/>
        <w:rPr>
          <w:rFonts w:ascii="Arial" w:hAnsi="Arial" w:cs="Arial"/>
        </w:rPr>
      </w:pPr>
    </w:p>
    <w:p w:rsidR="00606AD6" w:rsidRPr="00606AD6" w:rsidRDefault="00606AD6">
      <w:pPr>
        <w:pStyle w:val="Heading1"/>
        <w:spacing w:before="40" w:after="120"/>
        <w:rPr>
          <w:rFonts w:ascii="Arial" w:hAnsi="Arial" w:cs="Arial"/>
          <w:color w:val="B98B3B"/>
          <w:sz w:val="20"/>
          <w:szCs w:val="20"/>
        </w:rPr>
      </w:pPr>
    </w:p>
    <w:p w:rsidR="00312344" w:rsidRPr="005B1357" w:rsidRDefault="007D490C">
      <w:pPr>
        <w:pStyle w:val="Heading1"/>
        <w:spacing w:before="40" w:after="120"/>
        <w:rPr>
          <w:rFonts w:ascii="Arial" w:hAnsi="Arial" w:cs="Arial"/>
        </w:rPr>
      </w:pPr>
      <w:r w:rsidRPr="005B1357">
        <w:rPr>
          <w:rFonts w:ascii="Arial" w:hAnsi="Arial" w:cs="Arial"/>
          <w:color w:val="B98B3B"/>
        </w:rPr>
        <w:t xml:space="preserve">9.0 </w:t>
      </w:r>
      <w:r w:rsidRPr="005B1357">
        <w:rPr>
          <w:rFonts w:ascii="Arial" w:hAnsi="Arial" w:cs="Arial"/>
        </w:rPr>
        <w:t>Why Invest / Why Partner</w:t>
      </w:r>
    </w:p>
    <w:p w:rsidR="00312344" w:rsidRPr="005B1357" w:rsidRDefault="007D490C">
      <w:pPr>
        <w:pStyle w:val="Heading2"/>
        <w:spacing w:before="200"/>
        <w:rPr>
          <w:rFonts w:ascii="Arial" w:hAnsi="Arial" w:cs="Arial"/>
        </w:rPr>
      </w:pPr>
      <w:r w:rsidRPr="005B1357">
        <w:rPr>
          <w:rFonts w:ascii="Arial" w:hAnsi="Arial" w:cs="Arial"/>
          <w:color w:val="B98B3B"/>
        </w:rPr>
        <w:t xml:space="preserve">9.1 </w:t>
      </w:r>
      <w:r w:rsidRPr="005B1357">
        <w:rPr>
          <w:rFonts w:ascii="Arial" w:hAnsi="Arial" w:cs="Arial"/>
        </w:rPr>
        <w:t>Key Operational Metrics &amp; Projections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3025"/>
        <w:gridCol w:w="2015"/>
        <w:gridCol w:w="2160"/>
        <w:gridCol w:w="2160"/>
      </w:tblGrid>
      <w:tr w:rsidR="00312344" w:rsidRPr="005B1357">
        <w:trPr>
          <w:cantSplit/>
          <w:tblHeader/>
          <w:jc w:val="center"/>
        </w:trPr>
        <w:tc>
          <w:tcPr>
            <w:tcW w:w="3024"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Business / Platform Metric</w:t>
            </w:r>
          </w:p>
        </w:tc>
        <w:tc>
          <w:tcPr>
            <w:tcW w:w="2015"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Current Status (GA)</w:t>
            </w:r>
          </w:p>
        </w:tc>
        <w:tc>
          <w:tcPr>
            <w:tcW w:w="2160"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12-Month Target</w:t>
            </w:r>
          </w:p>
        </w:tc>
        <w:tc>
          <w:tcPr>
            <w:tcW w:w="2160"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24-Month Target</w:t>
            </w:r>
          </w:p>
        </w:tc>
      </w:tr>
      <w:tr w:rsidR="00312344" w:rsidRPr="005B1357">
        <w:trPr>
          <w:cantSplit/>
          <w:jc w:val="center"/>
        </w:trPr>
        <w:tc>
          <w:tcPr>
            <w:tcW w:w="302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Monthly Recurring Revenue (MRR)</w:t>
            </w:r>
          </w:p>
        </w:tc>
        <w:tc>
          <w:tcPr>
            <w:tcW w:w="2015"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[Confidential Baseline]</w:t>
            </w:r>
          </w:p>
        </w:tc>
        <w:tc>
          <w:tcPr>
            <w:tcW w:w="2160"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$150,000+</w:t>
            </w:r>
          </w:p>
        </w:tc>
        <w:tc>
          <w:tcPr>
            <w:tcW w:w="2160"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$650,000+</w:t>
            </w:r>
          </w:p>
        </w:tc>
      </w:tr>
      <w:tr w:rsidR="00312344" w:rsidRPr="005B1357">
        <w:trPr>
          <w:cantSplit/>
          <w:jc w:val="center"/>
        </w:trPr>
        <w:tc>
          <w:tcPr>
            <w:tcW w:w="3024"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Active Enterprise Tenants / Workspaces</w:t>
            </w:r>
          </w:p>
        </w:tc>
        <w:tc>
          <w:tcPr>
            <w:tcW w:w="2015"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[Initial Cohort]</w:t>
            </w:r>
          </w:p>
        </w:tc>
        <w:tc>
          <w:tcPr>
            <w:tcW w:w="2160"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50+ Workspaces</w:t>
            </w:r>
          </w:p>
        </w:tc>
        <w:tc>
          <w:tcPr>
            <w:tcW w:w="2160"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250+ Workspaces</w:t>
            </w:r>
          </w:p>
        </w:tc>
      </w:tr>
      <w:tr w:rsidR="00312344" w:rsidRPr="005B1357">
        <w:trPr>
          <w:cantSplit/>
          <w:jc w:val="center"/>
        </w:trPr>
        <w:tc>
          <w:tcPr>
            <w:tcW w:w="302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Managed Kubernetes Clusters</w:t>
            </w:r>
          </w:p>
        </w:tc>
        <w:tc>
          <w:tcPr>
            <w:tcW w:w="2015"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Production Fleet</w:t>
            </w:r>
          </w:p>
        </w:tc>
        <w:tc>
          <w:tcPr>
            <w:tcW w:w="2160"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150+ Clusters</w:t>
            </w:r>
          </w:p>
        </w:tc>
        <w:tc>
          <w:tcPr>
            <w:tcW w:w="2160"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800+ Clusters</w:t>
            </w:r>
          </w:p>
        </w:tc>
      </w:tr>
      <w:tr w:rsidR="00312344" w:rsidRPr="005B1357">
        <w:trPr>
          <w:cantSplit/>
          <w:jc w:val="center"/>
        </w:trPr>
        <w:tc>
          <w:tcPr>
            <w:tcW w:w="3024"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Managed Compute VM Instances</w:t>
            </w:r>
          </w:p>
        </w:tc>
        <w:tc>
          <w:tcPr>
            <w:tcW w:w="2015"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Active Core</w:t>
            </w:r>
          </w:p>
        </w:tc>
        <w:tc>
          <w:tcPr>
            <w:tcW w:w="2160"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2,500+ Instances</w:t>
            </w:r>
          </w:p>
        </w:tc>
        <w:tc>
          <w:tcPr>
            <w:tcW w:w="2160"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15,000+ Instances</w:t>
            </w:r>
          </w:p>
        </w:tc>
      </w:tr>
      <w:tr w:rsidR="00312344" w:rsidRPr="005B1357">
        <w:trPr>
          <w:cantSplit/>
          <w:jc w:val="center"/>
        </w:trPr>
        <w:tc>
          <w:tcPr>
            <w:tcW w:w="302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Platform Uptime SLA Commitment</w:t>
            </w:r>
          </w:p>
        </w:tc>
        <w:tc>
          <w:tcPr>
            <w:tcW w:w="2015"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99.95% Delivered</w:t>
            </w:r>
          </w:p>
        </w:tc>
        <w:tc>
          <w:tcPr>
            <w:tcW w:w="2160"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99.99% Guaranteed</w:t>
            </w:r>
          </w:p>
        </w:tc>
        <w:tc>
          <w:tcPr>
            <w:tcW w:w="2160"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99.995% Enterprise SLA</w:t>
            </w:r>
          </w:p>
        </w:tc>
      </w:tr>
      <w:tr w:rsidR="00312344" w:rsidRPr="005B1357">
        <w:trPr>
          <w:cantSplit/>
          <w:jc w:val="center"/>
        </w:trPr>
        <w:tc>
          <w:tcPr>
            <w:tcW w:w="3024"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Net Revenue Retention (NRR)</w:t>
            </w:r>
          </w:p>
        </w:tc>
        <w:tc>
          <w:tcPr>
            <w:tcW w:w="2015"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Baseline</w:t>
            </w:r>
          </w:p>
        </w:tc>
        <w:tc>
          <w:tcPr>
            <w:tcW w:w="2160"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&gt; 125%</w:t>
            </w:r>
          </w:p>
        </w:tc>
        <w:tc>
          <w:tcPr>
            <w:tcW w:w="2160"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&gt; 135%</w:t>
            </w:r>
          </w:p>
        </w:tc>
      </w:tr>
      <w:tr w:rsidR="00312344" w:rsidRPr="005B1357">
        <w:trPr>
          <w:cantSplit/>
          <w:jc w:val="center"/>
        </w:trPr>
        <w:tc>
          <w:tcPr>
            <w:tcW w:w="3024"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Core Engineering Team Size</w:t>
            </w:r>
          </w:p>
        </w:tc>
        <w:tc>
          <w:tcPr>
            <w:tcW w:w="2015"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Founding Team + SREs</w:t>
            </w:r>
          </w:p>
        </w:tc>
        <w:tc>
          <w:tcPr>
            <w:tcW w:w="2160"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25 Engineers</w:t>
            </w:r>
          </w:p>
        </w:tc>
        <w:tc>
          <w:tcPr>
            <w:tcW w:w="2160"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60 Engineers</w:t>
            </w:r>
          </w:p>
        </w:tc>
      </w:tr>
      <w:tr w:rsidR="00312344" w:rsidRPr="005B1357">
        <w:trPr>
          <w:cantSplit/>
          <w:jc w:val="center"/>
        </w:trPr>
        <w:tc>
          <w:tcPr>
            <w:tcW w:w="3024"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Active Production Regions</w:t>
            </w:r>
          </w:p>
        </w:tc>
        <w:tc>
          <w:tcPr>
            <w:tcW w:w="2015"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4 GA Regions</w:t>
            </w:r>
          </w:p>
        </w:tc>
        <w:tc>
          <w:tcPr>
            <w:tcW w:w="2160"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6 Production Regions</w:t>
            </w:r>
          </w:p>
        </w:tc>
        <w:tc>
          <w:tcPr>
            <w:tcW w:w="2160"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10 Global Regions</w:t>
            </w:r>
          </w:p>
        </w:tc>
      </w:tr>
    </w:tbl>
    <w:p w:rsidR="00312344" w:rsidRPr="005B1357" w:rsidRDefault="00312344">
      <w:pPr>
        <w:rPr>
          <w:rFonts w:ascii="Arial" w:hAnsi="Arial" w:cs="Arial"/>
        </w:rPr>
      </w:pPr>
    </w:p>
    <w:p w:rsidR="00312344" w:rsidRPr="005B1357" w:rsidRDefault="007D490C">
      <w:pPr>
        <w:pStyle w:val="Heading2"/>
        <w:spacing w:before="200"/>
        <w:rPr>
          <w:rFonts w:ascii="Arial" w:hAnsi="Arial" w:cs="Arial"/>
        </w:rPr>
      </w:pPr>
      <w:r w:rsidRPr="005B1357">
        <w:rPr>
          <w:rFonts w:ascii="Arial" w:hAnsi="Arial" w:cs="Arial"/>
          <w:color w:val="B98B3B"/>
        </w:rPr>
        <w:t xml:space="preserve">9.2 </w:t>
      </w:r>
      <w:r w:rsidRPr="005B1357">
        <w:rPr>
          <w:rFonts w:ascii="Arial" w:hAnsi="Arial" w:cs="Arial"/>
        </w:rPr>
        <w:t>Investment &amp; Value Creation Thesis</w:t>
      </w:r>
    </w:p>
    <w:p w:rsidR="00312344" w:rsidRPr="005B1357" w:rsidRDefault="007D490C">
      <w:pPr>
        <w:spacing w:after="100"/>
        <w:ind w:left="288"/>
        <w:rPr>
          <w:rFonts w:ascii="Arial" w:hAnsi="Arial" w:cs="Arial"/>
        </w:rPr>
      </w:pPr>
      <w:r w:rsidRPr="005B1357">
        <w:rPr>
          <w:rFonts w:ascii="Arial" w:hAnsi="Arial" w:cs="Arial"/>
          <w:b/>
          <w:color w:val="B98B3B"/>
          <w:sz w:val="21"/>
        </w:rPr>
        <w:t>Massive Expanding TAM:</w:t>
      </w:r>
      <w:r w:rsidRPr="005B1357">
        <w:rPr>
          <w:rFonts w:ascii="Arial" w:hAnsi="Arial" w:cs="Arial"/>
          <w:sz w:val="21"/>
        </w:rPr>
        <w:t xml:space="preserve"> The global multi-cloud management platform market is expanding at 24.5% CAGR, reaching $128B by 2028, driven by enterprise desire to avoid single-cloud vulnerability.</w:t>
      </w:r>
    </w:p>
    <w:p w:rsidR="00312344" w:rsidRPr="005B1357" w:rsidRDefault="007D490C">
      <w:pPr>
        <w:spacing w:after="100"/>
        <w:ind w:left="288"/>
        <w:rPr>
          <w:rFonts w:ascii="Arial" w:hAnsi="Arial" w:cs="Arial"/>
        </w:rPr>
      </w:pPr>
      <w:r w:rsidRPr="005B1357">
        <w:rPr>
          <w:rFonts w:ascii="Arial" w:hAnsi="Arial" w:cs="Arial"/>
          <w:b/>
          <w:color w:val="B98B3B"/>
          <w:sz w:val="21"/>
        </w:rPr>
        <w:t>Deep Technical Moat:</w:t>
      </w:r>
      <w:r w:rsidRPr="005B1357">
        <w:rPr>
          <w:rFonts w:ascii="Arial" w:hAnsi="Arial" w:cs="Arial"/>
          <w:sz w:val="21"/>
        </w:rPr>
        <w:t xml:space="preserve"> Developing a production-grade Kubernetes-native control plane with 8 deeply integrated services represents a multi-year engineering barrier to potential competitors.</w:t>
      </w:r>
    </w:p>
    <w:p w:rsidR="00312344" w:rsidRPr="005B1357" w:rsidRDefault="007D490C">
      <w:pPr>
        <w:spacing w:after="100"/>
        <w:ind w:left="288"/>
        <w:rPr>
          <w:rFonts w:ascii="Arial" w:hAnsi="Arial" w:cs="Arial"/>
        </w:rPr>
      </w:pPr>
      <w:r w:rsidRPr="005B1357">
        <w:rPr>
          <w:rFonts w:ascii="Arial" w:hAnsi="Arial" w:cs="Arial"/>
          <w:b/>
          <w:color w:val="B98B3B"/>
          <w:sz w:val="21"/>
        </w:rPr>
        <w:t>Capital-Efficient Unit Economics:</w:t>
      </w:r>
      <w:r w:rsidRPr="005B1357">
        <w:rPr>
          <w:rFonts w:ascii="Arial" w:hAnsi="Arial" w:cs="Arial"/>
          <w:sz w:val="21"/>
        </w:rPr>
        <w:t xml:space="preserve"> High-margin recurring SaaS platform subscriptions combined with pass-through compute yields projected gross margins above 78%.</w:t>
      </w:r>
    </w:p>
    <w:p w:rsidR="00312344" w:rsidRPr="005B1357" w:rsidRDefault="007D490C">
      <w:pPr>
        <w:spacing w:after="100"/>
        <w:ind w:left="288"/>
        <w:rPr>
          <w:rFonts w:ascii="Arial" w:hAnsi="Arial" w:cs="Arial"/>
        </w:rPr>
      </w:pPr>
      <w:r w:rsidRPr="005B1357">
        <w:rPr>
          <w:rFonts w:ascii="Arial" w:hAnsi="Arial" w:cs="Arial"/>
          <w:b/>
          <w:color w:val="B98B3B"/>
          <w:sz w:val="21"/>
        </w:rPr>
        <w:t>India-First Strategic Advantage:</w:t>
      </w:r>
      <w:r w:rsidRPr="005B1357">
        <w:rPr>
          <w:rFonts w:ascii="Arial" w:hAnsi="Arial" w:cs="Arial"/>
          <w:sz w:val="21"/>
        </w:rPr>
        <w:t xml:space="preserve"> Perfectly positioned to capture India's rapid $10B+ enterprise cloud expansion through native INR invoicing, GST compliance, and DPDPA data residency.</w:t>
      </w:r>
    </w:p>
    <w:p w:rsidR="00A9213A" w:rsidRDefault="007D490C" w:rsidP="00A9213A">
      <w:pPr>
        <w:spacing w:after="100"/>
        <w:ind w:left="288"/>
        <w:rPr>
          <w:rFonts w:ascii="Arial" w:hAnsi="Arial" w:cs="Arial"/>
          <w:sz w:val="21"/>
        </w:rPr>
      </w:pPr>
      <w:r w:rsidRPr="005B1357">
        <w:rPr>
          <w:rFonts w:ascii="Arial" w:hAnsi="Arial" w:cs="Arial"/>
          <w:b/>
          <w:color w:val="B98B3B"/>
          <w:sz w:val="21"/>
        </w:rPr>
        <w:t>Elite Engineering Pedigree:</w:t>
      </w:r>
      <w:r w:rsidRPr="005B1357">
        <w:rPr>
          <w:rFonts w:ascii="Arial" w:hAnsi="Arial" w:cs="Arial"/>
          <w:sz w:val="21"/>
        </w:rPr>
        <w:t xml:space="preserve"> Founded by veterans who have engineered hyperscaler cloud fabrics, ensuring battle-tested architecture from Day 1.</w:t>
      </w:r>
    </w:p>
    <w:p w:rsidR="00387A95" w:rsidRDefault="00387A95">
      <w:pPr>
        <w:spacing w:after="200"/>
        <w:rPr>
          <w:rFonts w:ascii="Arial" w:hAnsi="Arial" w:cs="Arial"/>
          <w:b/>
          <w:color w:val="B98B3B"/>
          <w:sz w:val="28"/>
        </w:rPr>
      </w:pPr>
      <w:r>
        <w:rPr>
          <w:rFonts w:ascii="Arial" w:hAnsi="Arial" w:cs="Arial"/>
          <w:b/>
          <w:color w:val="B98B3B"/>
          <w:sz w:val="28"/>
        </w:rPr>
        <w:br w:type="page"/>
      </w:r>
    </w:p>
    <w:p w:rsidR="00387A95" w:rsidRDefault="00387A95" w:rsidP="00387A95">
      <w:pPr>
        <w:pBdr>
          <w:bottom w:val="single" w:sz="4" w:space="1" w:color="B98B3B"/>
        </w:pBdr>
        <w:spacing w:after="100"/>
        <w:rPr>
          <w:rFonts w:ascii="Arial" w:hAnsi="Arial" w:cs="Arial"/>
          <w:b/>
          <w:color w:val="B98B3B"/>
          <w:sz w:val="28"/>
        </w:rPr>
      </w:pPr>
    </w:p>
    <w:p w:rsidR="00387A95" w:rsidRDefault="00387A95" w:rsidP="00A9213A">
      <w:pPr>
        <w:spacing w:after="100"/>
        <w:rPr>
          <w:rFonts w:ascii="Arial" w:hAnsi="Arial" w:cs="Arial"/>
          <w:b/>
          <w:color w:val="B98B3B"/>
          <w:sz w:val="28"/>
        </w:rPr>
      </w:pPr>
    </w:p>
    <w:p w:rsidR="00312344" w:rsidRPr="005B1357" w:rsidRDefault="007D490C" w:rsidP="00A9213A">
      <w:pPr>
        <w:spacing w:after="100"/>
        <w:rPr>
          <w:rFonts w:ascii="Arial" w:hAnsi="Arial" w:cs="Arial"/>
        </w:rPr>
      </w:pPr>
      <w:r w:rsidRPr="005B1357">
        <w:rPr>
          <w:rFonts w:ascii="Arial" w:hAnsi="Arial" w:cs="Arial"/>
          <w:b/>
          <w:color w:val="B98B3B"/>
          <w:sz w:val="28"/>
        </w:rPr>
        <w:t xml:space="preserve">9.3 </w:t>
      </w:r>
      <w:r w:rsidRPr="005B1357">
        <w:rPr>
          <w:rFonts w:ascii="Arial" w:hAnsi="Arial" w:cs="Arial"/>
          <w:b/>
          <w:sz w:val="28"/>
        </w:rPr>
        <w:t>Strategic Call to Action &amp; Engagements</w:t>
      </w:r>
    </w:p>
    <w:tbl>
      <w:tblPr>
        <w:tblW w:w="9360" w:type="dxa"/>
        <w:jc w:val="center"/>
        <w:tblLook w:val="04A0"/>
      </w:tblPr>
      <w:tblGrid>
        <w:gridCol w:w="9360"/>
      </w:tblGrid>
      <w:tr w:rsidR="00312344" w:rsidRPr="005B1357">
        <w:trPr>
          <w:cantSplit/>
          <w:jc w:val="center"/>
        </w:trPr>
        <w:tc>
          <w:tcPr>
            <w:tcW w:w="9360" w:type="dxa"/>
            <w:tcBorders>
              <w:top w:val="single" w:sz="4" w:space="0" w:color="D4A24C"/>
              <w:left w:val="single" w:sz="36" w:space="0" w:color="B98B3B"/>
              <w:bottom w:val="single" w:sz="4" w:space="0" w:color="D4A24C"/>
              <w:right w:val="single" w:sz="4" w:space="0" w:color="E2E8F0"/>
            </w:tcBorders>
            <w:shd w:val="clear" w:color="auto" w:fill="FBF7EE"/>
            <w:tcMar>
              <w:top w:w="140" w:type="dxa"/>
              <w:left w:w="200" w:type="dxa"/>
              <w:bottom w:w="140" w:type="dxa"/>
              <w:right w:w="160" w:type="dxa"/>
            </w:tcMar>
          </w:tcPr>
          <w:p w:rsidR="00312344" w:rsidRPr="005B1357" w:rsidRDefault="007D490C">
            <w:pPr>
              <w:spacing w:before="40" w:after="40"/>
              <w:rPr>
                <w:rFonts w:ascii="Arial" w:hAnsi="Arial" w:cs="Arial"/>
              </w:rPr>
            </w:pPr>
            <w:r w:rsidRPr="005B1357">
              <w:rPr>
                <w:rFonts w:ascii="Arial" w:hAnsi="Arial" w:cs="Arial"/>
                <w:i/>
              </w:rPr>
              <w:t>Aravanta Tech is actively engaging strategic growth investors, enterprise pilot customers, and channel alliance partners who recognize that the future of cloud computing is open, unified, and multi-cloud.</w:t>
            </w:r>
            <w:r w:rsidRPr="005B1357">
              <w:rPr>
                <w:rFonts w:ascii="Arial" w:hAnsi="Arial" w:cs="Arial"/>
                <w:i/>
              </w:rPr>
              <w:br/>
            </w:r>
            <w:r w:rsidRPr="005B1357">
              <w:rPr>
                <w:rFonts w:ascii="Arial" w:hAnsi="Arial" w:cs="Arial"/>
                <w:i/>
              </w:rPr>
              <w:br/>
              <w:t>* Strategic Alliances: partnerships@aravanta.cloud</w:t>
            </w:r>
            <w:r w:rsidRPr="005B1357">
              <w:rPr>
                <w:rFonts w:ascii="Arial" w:hAnsi="Arial" w:cs="Arial"/>
                <w:i/>
              </w:rPr>
              <w:br/>
              <w:t>* Investor Relations: investors@aravanta.cloud</w:t>
            </w:r>
            <w:r w:rsidRPr="005B1357">
              <w:rPr>
                <w:rFonts w:ascii="Arial" w:hAnsi="Arial" w:cs="Arial"/>
                <w:i/>
              </w:rPr>
              <w:br/>
              <w:t>* Platform Demonstrations: demo.aravanta.cloud</w:t>
            </w:r>
          </w:p>
        </w:tc>
      </w:tr>
    </w:tbl>
    <w:p w:rsidR="00312344" w:rsidRPr="005B1357" w:rsidRDefault="00312344">
      <w:pPr>
        <w:pBdr>
          <w:bottom w:val="single" w:sz="10" w:space="1" w:color="B98B3B"/>
        </w:pBdr>
        <w:spacing w:before="160" w:after="80"/>
        <w:rPr>
          <w:rFonts w:ascii="Arial" w:hAnsi="Arial" w:cs="Arial"/>
        </w:rPr>
      </w:pPr>
    </w:p>
    <w:p w:rsidR="00312344" w:rsidRPr="005B1357" w:rsidRDefault="007D490C">
      <w:pPr>
        <w:pStyle w:val="Heading1"/>
        <w:spacing w:before="40" w:after="120"/>
        <w:rPr>
          <w:rFonts w:ascii="Arial" w:hAnsi="Arial" w:cs="Arial"/>
        </w:rPr>
      </w:pPr>
      <w:r w:rsidRPr="005B1357">
        <w:rPr>
          <w:rFonts w:ascii="Arial" w:hAnsi="Arial" w:cs="Arial"/>
          <w:color w:val="B98B3B"/>
        </w:rPr>
        <w:t xml:space="preserve">10.0 </w:t>
      </w:r>
      <w:r w:rsidRPr="005B1357">
        <w:rPr>
          <w:rFonts w:ascii="Arial" w:hAnsi="Arial" w:cs="Arial"/>
        </w:rPr>
        <w:t>Appendix</w:t>
      </w:r>
    </w:p>
    <w:p w:rsidR="00312344" w:rsidRPr="005B1357" w:rsidRDefault="007D490C">
      <w:pPr>
        <w:pStyle w:val="Heading2"/>
        <w:spacing w:before="200"/>
        <w:rPr>
          <w:rFonts w:ascii="Arial" w:hAnsi="Arial" w:cs="Arial"/>
        </w:rPr>
      </w:pPr>
      <w:r w:rsidRPr="005B1357">
        <w:rPr>
          <w:rFonts w:ascii="Arial" w:hAnsi="Arial" w:cs="Arial"/>
          <w:color w:val="B98B3B"/>
        </w:rPr>
        <w:t xml:space="preserve">10.1 </w:t>
      </w:r>
      <w:r w:rsidRPr="005B1357">
        <w:rPr>
          <w:rFonts w:ascii="Arial" w:hAnsi="Arial" w:cs="Arial"/>
        </w:rPr>
        <w:t>Architectural Glossary of Terms</w:t>
      </w:r>
    </w:p>
    <w:tbl>
      <w:tblPr>
        <w:tblW w:w="9360" w:type="dxa"/>
        <w:jc w:val="center"/>
        <w:tblBorders>
          <w:top w:val="single" w:sz="6" w:space="0" w:color="B98B3B"/>
          <w:left w:val="single" w:sz="6" w:space="0" w:color="B98B3B"/>
          <w:bottom w:val="single" w:sz="6" w:space="0" w:color="B98B3B"/>
          <w:right w:val="single" w:sz="6" w:space="0" w:color="B98B3B"/>
          <w:insideH w:val="single" w:sz="4" w:space="0" w:color="E2E8F0"/>
          <w:insideV w:val="single" w:sz="4" w:space="0" w:color="E2E8F0"/>
        </w:tblBorders>
        <w:tblLook w:val="04A0"/>
      </w:tblPr>
      <w:tblGrid>
        <w:gridCol w:w="2592"/>
        <w:gridCol w:w="6768"/>
      </w:tblGrid>
      <w:tr w:rsidR="00312344" w:rsidRPr="005B1357">
        <w:trPr>
          <w:cantSplit/>
          <w:tblHeader/>
          <w:jc w:val="center"/>
        </w:trPr>
        <w:tc>
          <w:tcPr>
            <w:tcW w:w="2592"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Technical Term</w:t>
            </w:r>
          </w:p>
        </w:tc>
        <w:tc>
          <w:tcPr>
            <w:tcW w:w="6768" w:type="dxa"/>
            <w:shd w:val="clear" w:color="auto" w:fill="242524"/>
            <w:tcMar>
              <w:top w:w="70" w:type="dxa"/>
              <w:left w:w="90" w:type="dxa"/>
              <w:bottom w:w="70" w:type="dxa"/>
              <w:right w:w="90" w:type="dxa"/>
            </w:tcMar>
            <w:vAlign w:val="center"/>
          </w:tcPr>
          <w:p w:rsidR="00312344" w:rsidRPr="005B1357" w:rsidRDefault="007D490C">
            <w:pPr>
              <w:spacing w:after="0"/>
              <w:rPr>
                <w:rFonts w:ascii="Arial" w:hAnsi="Arial" w:cs="Arial"/>
              </w:rPr>
            </w:pPr>
            <w:r w:rsidRPr="005B1357">
              <w:rPr>
                <w:rFonts w:ascii="Arial" w:hAnsi="Arial" w:cs="Arial"/>
                <w:b/>
                <w:color w:val="FFFFFF"/>
                <w:sz w:val="19"/>
              </w:rPr>
              <w:t>Architectural Definition in Context of Aravanta Cloud OS</w:t>
            </w:r>
          </w:p>
        </w:tc>
      </w:tr>
      <w:tr w:rsidR="00312344" w:rsidRPr="005B1357">
        <w:trPr>
          <w:cantSplit/>
          <w:jc w:val="center"/>
        </w:trPr>
        <w:tc>
          <w:tcPr>
            <w:tcW w:w="2592"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Control Plane</w:t>
            </w:r>
          </w:p>
        </w:tc>
        <w:tc>
          <w:tcPr>
            <w:tcW w:w="6768"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The centralized management layer that orchestrates infrastructure resources across disparate cloud providers and bare-metal servers.</w:t>
            </w:r>
          </w:p>
        </w:tc>
      </w:tr>
      <w:tr w:rsidR="00312344" w:rsidRPr="005B1357">
        <w:trPr>
          <w:cantSplit/>
          <w:jc w:val="center"/>
        </w:trPr>
        <w:tc>
          <w:tcPr>
            <w:tcW w:w="2592"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CNCF</w:t>
            </w:r>
          </w:p>
        </w:tc>
        <w:tc>
          <w:tcPr>
            <w:tcW w:w="6768"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Cloud Native Computing Foundation -- the vendor-neutral organization governing Kubernetes, Prometheus, OpenTelemetry, and container standards.</w:t>
            </w:r>
          </w:p>
        </w:tc>
      </w:tr>
      <w:tr w:rsidR="00312344" w:rsidRPr="005B1357">
        <w:trPr>
          <w:cantSplit/>
          <w:jc w:val="center"/>
        </w:trPr>
        <w:tc>
          <w:tcPr>
            <w:tcW w:w="2592"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eBPF</w:t>
            </w:r>
          </w:p>
        </w:tc>
        <w:tc>
          <w:tcPr>
            <w:tcW w:w="6768"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Extended Berkeley Packet Filter -- in-kernel programmable technology powering sub-10ms observability and network packet inspection.</w:t>
            </w:r>
          </w:p>
        </w:tc>
      </w:tr>
      <w:tr w:rsidR="00312344" w:rsidRPr="005B1357">
        <w:trPr>
          <w:cantSplit/>
          <w:jc w:val="center"/>
        </w:trPr>
        <w:tc>
          <w:tcPr>
            <w:tcW w:w="2592"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GitOps</w:t>
            </w:r>
          </w:p>
        </w:tc>
        <w:tc>
          <w:tcPr>
            <w:tcW w:w="6768"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Declarative operational model utilizing Git repositories as the single source of truth for all infrastructure and deployment states.</w:t>
            </w:r>
          </w:p>
        </w:tc>
      </w:tr>
      <w:tr w:rsidR="00312344" w:rsidRPr="005B1357">
        <w:trPr>
          <w:cantSplit/>
          <w:jc w:val="center"/>
        </w:trPr>
        <w:tc>
          <w:tcPr>
            <w:tcW w:w="2592"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RBAC</w:t>
            </w:r>
          </w:p>
        </w:tc>
        <w:tc>
          <w:tcPr>
            <w:tcW w:w="6768"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Role-Based Access Control -- security paradigm enforcing granular permission boundaries based on verified organizational roles.</w:t>
            </w:r>
          </w:p>
        </w:tc>
      </w:tr>
      <w:tr w:rsidR="00312344" w:rsidRPr="005B1357">
        <w:trPr>
          <w:cantSplit/>
          <w:jc w:val="center"/>
        </w:trPr>
        <w:tc>
          <w:tcPr>
            <w:tcW w:w="2592"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TOTP MFA</w:t>
            </w:r>
          </w:p>
        </w:tc>
        <w:tc>
          <w:tcPr>
            <w:tcW w:w="6768"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Time-based One-Time Password (RFC 6238) -- cryptographic algorithm generating short-lived 30-second verification tokens.</w:t>
            </w:r>
          </w:p>
        </w:tc>
      </w:tr>
      <w:tr w:rsidR="00312344" w:rsidRPr="005B1357">
        <w:trPr>
          <w:cantSplit/>
          <w:jc w:val="center"/>
        </w:trPr>
        <w:tc>
          <w:tcPr>
            <w:tcW w:w="2592"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PITR</w:t>
            </w:r>
          </w:p>
        </w:tc>
        <w:tc>
          <w:tcPr>
            <w:tcW w:w="6768"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Point-in-Time Recovery -- database capability enabling exact state restoration to any millisecond within the backup retention window.</w:t>
            </w:r>
          </w:p>
        </w:tc>
      </w:tr>
      <w:tr w:rsidR="00312344" w:rsidRPr="005B1357">
        <w:trPr>
          <w:cantSplit/>
          <w:jc w:val="center"/>
        </w:trPr>
        <w:tc>
          <w:tcPr>
            <w:tcW w:w="2592"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SOC 2 Type II</w:t>
            </w:r>
          </w:p>
        </w:tc>
        <w:tc>
          <w:tcPr>
            <w:tcW w:w="6768"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Stringent independent security audit verifying operational controls across Security, Availability, and Confidentiality over time.</w:t>
            </w:r>
          </w:p>
        </w:tc>
      </w:tr>
      <w:tr w:rsidR="00312344" w:rsidRPr="005B1357">
        <w:trPr>
          <w:cantSplit/>
          <w:jc w:val="center"/>
        </w:trPr>
        <w:tc>
          <w:tcPr>
            <w:tcW w:w="2592"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DPDPA 2023</w:t>
            </w:r>
          </w:p>
        </w:tc>
        <w:tc>
          <w:tcPr>
            <w:tcW w:w="6768" w:type="dxa"/>
            <w:shd w:val="clear" w:color="auto" w:fill="FFFFFF"/>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India's Digital Personal Data Protection Act, 2023 -- statutory framework regulating data processing, residency, and privacy.</w:t>
            </w:r>
          </w:p>
        </w:tc>
      </w:tr>
      <w:tr w:rsidR="00312344" w:rsidRPr="005B1357">
        <w:trPr>
          <w:cantSplit/>
          <w:jc w:val="center"/>
        </w:trPr>
        <w:tc>
          <w:tcPr>
            <w:tcW w:w="2592"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BYOK Distribution</w:t>
            </w:r>
          </w:p>
        </w:tc>
        <w:tc>
          <w:tcPr>
            <w:tcW w:w="6768" w:type="dxa"/>
            <w:shd w:val="clear" w:color="auto" w:fill="FBF7EE"/>
            <w:tcMar>
              <w:top w:w="55" w:type="dxa"/>
              <w:left w:w="90" w:type="dxa"/>
              <w:bottom w:w="55" w:type="dxa"/>
              <w:right w:w="90" w:type="dxa"/>
            </w:tcMar>
            <w:vAlign w:val="center"/>
          </w:tcPr>
          <w:p w:rsidR="00312344" w:rsidRPr="005B1357" w:rsidRDefault="007D490C">
            <w:pPr>
              <w:spacing w:after="0"/>
              <w:rPr>
                <w:rFonts w:ascii="Arial" w:hAnsi="Arial" w:cs="Arial"/>
              </w:rPr>
            </w:pPr>
            <w:r w:rsidRPr="005B1357">
              <w:rPr>
                <w:rFonts w:ascii="Arial" w:hAnsi="Arial" w:cs="Arial"/>
                <w:sz w:val="19"/>
              </w:rPr>
              <w:t>Bring Your Own Kubernetes -- enterprise deployment model enabling the Aravanta control plane to run on client-owned hardware.</w:t>
            </w:r>
          </w:p>
        </w:tc>
      </w:tr>
    </w:tbl>
    <w:p w:rsidR="00312344" w:rsidRPr="005B1357" w:rsidRDefault="00312344">
      <w:pPr>
        <w:rPr>
          <w:rFonts w:ascii="Arial" w:hAnsi="Arial" w:cs="Arial"/>
        </w:rPr>
      </w:pPr>
    </w:p>
    <w:p w:rsidR="00312344" w:rsidRPr="005B1357" w:rsidRDefault="007D490C">
      <w:pPr>
        <w:pStyle w:val="Heading2"/>
        <w:spacing w:before="200"/>
        <w:rPr>
          <w:rFonts w:ascii="Arial" w:hAnsi="Arial" w:cs="Arial"/>
        </w:rPr>
      </w:pPr>
      <w:r w:rsidRPr="005B1357">
        <w:rPr>
          <w:rFonts w:ascii="Arial" w:hAnsi="Arial" w:cs="Arial"/>
          <w:color w:val="B98B3B"/>
        </w:rPr>
        <w:lastRenderedPageBreak/>
        <w:t xml:space="preserve">10.2 </w:t>
      </w:r>
      <w:r w:rsidRPr="005B1357">
        <w:rPr>
          <w:rFonts w:ascii="Arial" w:hAnsi="Arial" w:cs="Arial"/>
        </w:rPr>
        <w:t>Corporate Directory &amp; Legal Notices</w:t>
      </w:r>
    </w:p>
    <w:tbl>
      <w:tblPr>
        <w:tblW w:w="9360" w:type="dxa"/>
        <w:jc w:val="center"/>
        <w:tblBorders>
          <w:top w:val="single" w:sz="6" w:space="0" w:color="B98B3B"/>
          <w:left w:val="single" w:sz="6" w:space="0" w:color="B98B3B"/>
          <w:bottom w:val="single" w:sz="6" w:space="0" w:color="B98B3B"/>
          <w:right w:val="single" w:sz="6" w:space="0" w:color="B98B3B"/>
          <w:insideV w:val="single" w:sz="6" w:space="0" w:color="B98B3B"/>
        </w:tblBorders>
        <w:tblLook w:val="04A0"/>
      </w:tblPr>
      <w:tblGrid>
        <w:gridCol w:w="3456"/>
        <w:gridCol w:w="5904"/>
      </w:tblGrid>
      <w:tr w:rsidR="00312344" w:rsidRPr="005B1357" w:rsidTr="005B1357">
        <w:trPr>
          <w:cantSplit/>
          <w:jc w:val="center"/>
        </w:trPr>
        <w:tc>
          <w:tcPr>
            <w:tcW w:w="3456" w:type="dxa"/>
            <w:shd w:val="clear" w:color="auto" w:fill="auto"/>
            <w:tcMar>
              <w:top w:w="120" w:type="dxa"/>
              <w:left w:w="80" w:type="dxa"/>
              <w:bottom w:w="120" w:type="dxa"/>
              <w:right w:w="80" w:type="dxa"/>
            </w:tcMar>
            <w:vAlign w:val="center"/>
          </w:tcPr>
          <w:p w:rsidR="00312344" w:rsidRPr="005B1357" w:rsidRDefault="007D490C">
            <w:pPr>
              <w:spacing w:after="80"/>
              <w:jc w:val="center"/>
              <w:rPr>
                <w:rFonts w:ascii="Arial" w:hAnsi="Arial" w:cs="Arial"/>
              </w:rPr>
            </w:pPr>
            <w:r w:rsidRPr="005B1357">
              <w:rPr>
                <w:rFonts w:ascii="Arial" w:hAnsi="Arial" w:cs="Arial"/>
                <w:noProof/>
                <w:lang w:bidi="mr-IN"/>
              </w:rPr>
              <w:drawing>
                <wp:inline distT="0" distB="0" distL="0" distR="0">
                  <wp:extent cx="608747" cy="734652"/>
                  <wp:effectExtent l="19050" t="0" r="853"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vanta-glyph.png"/>
                          <pic:cNvPicPr/>
                        </pic:nvPicPr>
                        <pic:blipFill>
                          <a:blip r:embed="rId13"/>
                          <a:stretch>
                            <a:fillRect/>
                          </a:stretch>
                        </pic:blipFill>
                        <pic:spPr>
                          <a:xfrm>
                            <a:off x="0" y="0"/>
                            <a:ext cx="609671" cy="735767"/>
                          </a:xfrm>
                          <a:prstGeom prst="rect">
                            <a:avLst/>
                          </a:prstGeom>
                        </pic:spPr>
                      </pic:pic>
                    </a:graphicData>
                  </a:graphic>
                </wp:inline>
              </w:drawing>
            </w:r>
          </w:p>
          <w:p w:rsidR="00312344" w:rsidRPr="005B1357" w:rsidRDefault="007D490C">
            <w:pPr>
              <w:spacing w:before="80" w:after="40"/>
              <w:jc w:val="center"/>
              <w:rPr>
                <w:rFonts w:ascii="Arial" w:hAnsi="Arial" w:cs="Arial"/>
              </w:rPr>
            </w:pPr>
            <w:r w:rsidRPr="005B1357">
              <w:rPr>
                <w:rFonts w:ascii="Arial" w:hAnsi="Arial" w:cs="Arial"/>
                <w:b/>
                <w:color w:val="B98B3B"/>
                <w:sz w:val="26"/>
              </w:rPr>
              <w:t>Aravanta Cloud OS</w:t>
            </w:r>
          </w:p>
          <w:p w:rsidR="00312344" w:rsidRPr="005B1357" w:rsidRDefault="007D490C">
            <w:pPr>
              <w:spacing w:after="0"/>
              <w:jc w:val="center"/>
              <w:rPr>
                <w:rFonts w:ascii="Arial" w:hAnsi="Arial" w:cs="Arial"/>
              </w:rPr>
            </w:pPr>
            <w:r w:rsidRPr="005B1357">
              <w:rPr>
                <w:rFonts w:ascii="Arial" w:hAnsi="Arial" w:cs="Arial"/>
                <w:i/>
                <w:color w:val="94A3B8"/>
                <w:sz w:val="18"/>
              </w:rPr>
              <w:t>A product by Aravanta Tech</w:t>
            </w:r>
          </w:p>
        </w:tc>
        <w:tc>
          <w:tcPr>
            <w:tcW w:w="5903" w:type="dxa"/>
            <w:shd w:val="clear" w:color="auto" w:fill="FBF7EE"/>
            <w:tcMar>
              <w:top w:w="80" w:type="dxa"/>
              <w:left w:w="120" w:type="dxa"/>
              <w:bottom w:w="80" w:type="dxa"/>
              <w:right w:w="80" w:type="dxa"/>
            </w:tcMar>
          </w:tcPr>
          <w:p w:rsidR="00312344" w:rsidRPr="005B1357" w:rsidRDefault="007D490C" w:rsidP="00A9213A">
            <w:pPr>
              <w:spacing w:after="0" w:line="324" w:lineRule="auto"/>
              <w:rPr>
                <w:rFonts w:ascii="Arial" w:hAnsi="Arial" w:cs="Arial"/>
              </w:rPr>
            </w:pPr>
            <w:r w:rsidRPr="005B1357">
              <w:rPr>
                <w:rFonts w:ascii="Arial" w:hAnsi="Arial" w:cs="Arial"/>
                <w:b/>
                <w:color w:val="B98B3B"/>
                <w:sz w:val="18"/>
              </w:rPr>
              <w:t>Official Web Portal:</w:t>
            </w:r>
            <w:r w:rsidRPr="005B1357">
              <w:rPr>
                <w:rFonts w:ascii="Arial" w:hAnsi="Arial" w:cs="Arial"/>
                <w:sz w:val="18"/>
              </w:rPr>
              <w:t xml:space="preserve"> https://aravanta.cloud</w:t>
            </w:r>
            <w:r w:rsidRPr="005B1357">
              <w:rPr>
                <w:rFonts w:ascii="Arial" w:hAnsi="Arial" w:cs="Arial"/>
                <w:sz w:val="18"/>
              </w:rPr>
              <w:br/>
            </w:r>
            <w:r w:rsidRPr="005B1357">
              <w:rPr>
                <w:rFonts w:ascii="Arial" w:hAnsi="Arial" w:cs="Arial"/>
                <w:b/>
                <w:color w:val="B98B3B"/>
                <w:sz w:val="18"/>
              </w:rPr>
              <w:t>General Inquiries:</w:t>
            </w:r>
            <w:r w:rsidRPr="005B1357">
              <w:rPr>
                <w:rFonts w:ascii="Arial" w:hAnsi="Arial" w:cs="Arial"/>
                <w:sz w:val="18"/>
              </w:rPr>
              <w:t xml:space="preserve"> hello@aravanta.cloud</w:t>
            </w:r>
            <w:r w:rsidRPr="005B1357">
              <w:rPr>
                <w:rFonts w:ascii="Arial" w:hAnsi="Arial" w:cs="Arial"/>
                <w:sz w:val="18"/>
              </w:rPr>
              <w:br/>
            </w:r>
            <w:r w:rsidRPr="005B1357">
              <w:rPr>
                <w:rFonts w:ascii="Arial" w:hAnsi="Arial" w:cs="Arial"/>
                <w:b/>
                <w:color w:val="B98B3B"/>
                <w:sz w:val="18"/>
              </w:rPr>
              <w:t>Investor Relations:</w:t>
            </w:r>
            <w:r w:rsidRPr="005B1357">
              <w:rPr>
                <w:rFonts w:ascii="Arial" w:hAnsi="Arial" w:cs="Arial"/>
                <w:sz w:val="18"/>
              </w:rPr>
              <w:t xml:space="preserve"> investors@aravanta.cloud</w:t>
            </w:r>
            <w:r w:rsidRPr="005B1357">
              <w:rPr>
                <w:rFonts w:ascii="Arial" w:hAnsi="Arial" w:cs="Arial"/>
                <w:sz w:val="18"/>
              </w:rPr>
              <w:br/>
            </w:r>
            <w:r w:rsidRPr="005B1357">
              <w:rPr>
                <w:rFonts w:ascii="Arial" w:hAnsi="Arial" w:cs="Arial"/>
                <w:b/>
                <w:color w:val="B98B3B"/>
                <w:sz w:val="18"/>
              </w:rPr>
              <w:t>Enterprise Alliances:</w:t>
            </w:r>
            <w:r w:rsidRPr="005B1357">
              <w:rPr>
                <w:rFonts w:ascii="Arial" w:hAnsi="Arial" w:cs="Arial"/>
                <w:sz w:val="18"/>
              </w:rPr>
              <w:t xml:space="preserve"> partnerships@aravanta.cloud</w:t>
            </w:r>
            <w:r w:rsidRPr="005B1357">
              <w:rPr>
                <w:rFonts w:ascii="Arial" w:hAnsi="Arial" w:cs="Arial"/>
                <w:sz w:val="18"/>
              </w:rPr>
              <w:br/>
            </w:r>
            <w:r w:rsidRPr="005B1357">
              <w:rPr>
                <w:rFonts w:ascii="Arial" w:hAnsi="Arial" w:cs="Arial"/>
                <w:b/>
                <w:color w:val="B98B3B"/>
                <w:sz w:val="18"/>
              </w:rPr>
              <w:t>Technical Support:</w:t>
            </w:r>
            <w:r w:rsidRPr="005B1357">
              <w:rPr>
                <w:rFonts w:ascii="Arial" w:hAnsi="Arial" w:cs="Arial"/>
                <w:sz w:val="18"/>
              </w:rPr>
              <w:t xml:space="preserve"> support@aravanta.cloud (24/7 SRE bridge)</w:t>
            </w:r>
            <w:r w:rsidRPr="005B1357">
              <w:rPr>
                <w:rFonts w:ascii="Arial" w:hAnsi="Arial" w:cs="Arial"/>
                <w:sz w:val="18"/>
              </w:rPr>
              <w:br/>
            </w:r>
            <w:r w:rsidRPr="005B1357">
              <w:rPr>
                <w:rFonts w:ascii="Arial" w:hAnsi="Arial" w:cs="Arial"/>
                <w:b/>
                <w:color w:val="B98B3B"/>
                <w:sz w:val="18"/>
              </w:rPr>
              <w:t>Open-Source Monorepo:</w:t>
            </w:r>
            <w:r w:rsidRPr="005B1357">
              <w:rPr>
                <w:rFonts w:ascii="Arial" w:hAnsi="Arial" w:cs="Arial"/>
                <w:sz w:val="18"/>
              </w:rPr>
              <w:t xml:space="preserve"> https://github.com/aravanta</w:t>
            </w:r>
            <w:r w:rsidRPr="005B1357">
              <w:rPr>
                <w:rFonts w:ascii="Arial" w:hAnsi="Arial" w:cs="Arial"/>
                <w:sz w:val="18"/>
              </w:rPr>
              <w:br/>
            </w:r>
            <w:r w:rsidRPr="005B1357">
              <w:rPr>
                <w:rFonts w:ascii="Arial" w:hAnsi="Arial" w:cs="Arial"/>
                <w:b/>
                <w:color w:val="B98B3B"/>
                <w:sz w:val="18"/>
              </w:rPr>
              <w:t>Corporate LinkedIn:</w:t>
            </w:r>
            <w:r w:rsidRPr="005B1357">
              <w:rPr>
                <w:rFonts w:ascii="Arial" w:hAnsi="Arial" w:cs="Arial"/>
                <w:sz w:val="18"/>
              </w:rPr>
              <w:t xml:space="preserve"> https://linkedin.com/company/aravanta-tech</w:t>
            </w:r>
            <w:r w:rsidRPr="005B1357">
              <w:rPr>
                <w:rFonts w:ascii="Arial" w:hAnsi="Arial" w:cs="Arial"/>
                <w:sz w:val="18"/>
              </w:rPr>
              <w:br/>
            </w:r>
            <w:r w:rsidRPr="005B1357">
              <w:rPr>
                <w:rFonts w:ascii="Arial" w:hAnsi="Arial" w:cs="Arial"/>
                <w:b/>
                <w:color w:val="B98B3B"/>
                <w:sz w:val="18"/>
              </w:rPr>
              <w:t>Engineering Headquarters:</w:t>
            </w:r>
            <w:r w:rsidRPr="005B1357">
              <w:rPr>
                <w:rFonts w:ascii="Arial" w:hAnsi="Arial" w:cs="Arial"/>
                <w:sz w:val="18"/>
              </w:rPr>
              <w:t xml:space="preserve"> </w:t>
            </w:r>
            <w:r w:rsidR="00A9213A">
              <w:rPr>
                <w:rFonts w:ascii="Arial" w:hAnsi="Arial" w:cs="Arial"/>
                <w:sz w:val="18"/>
              </w:rPr>
              <w:t>Jalgaon</w:t>
            </w:r>
            <w:r w:rsidRPr="005B1357">
              <w:rPr>
                <w:rFonts w:ascii="Arial" w:hAnsi="Arial" w:cs="Arial"/>
                <w:sz w:val="18"/>
              </w:rPr>
              <w:t xml:space="preserve">, </w:t>
            </w:r>
            <w:r w:rsidR="00A9213A">
              <w:rPr>
                <w:rFonts w:ascii="Arial" w:hAnsi="Arial" w:cs="Arial"/>
                <w:sz w:val="18"/>
              </w:rPr>
              <w:t>Maharashtra</w:t>
            </w:r>
            <w:r w:rsidRPr="005B1357">
              <w:rPr>
                <w:rFonts w:ascii="Arial" w:hAnsi="Arial" w:cs="Arial"/>
                <w:sz w:val="18"/>
              </w:rPr>
              <w:t>, India</w:t>
            </w:r>
          </w:p>
        </w:tc>
      </w:tr>
    </w:tbl>
    <w:p w:rsidR="00312344" w:rsidRPr="005B1357" w:rsidRDefault="007D490C">
      <w:pPr>
        <w:spacing w:before="320" w:after="40"/>
        <w:jc w:val="center"/>
        <w:rPr>
          <w:rFonts w:ascii="Arial" w:hAnsi="Arial" w:cs="Arial"/>
        </w:rPr>
      </w:pPr>
      <w:r w:rsidRPr="005B1357">
        <w:rPr>
          <w:rFonts w:ascii="Arial" w:hAnsi="Arial" w:cs="Arial"/>
          <w:i/>
          <w:color w:val="94A3B8"/>
          <w:sz w:val="18"/>
        </w:rPr>
        <w:t>Aravanta Cloud OS (c) 2026 Aravanta Tech. All rights reserved.</w:t>
      </w:r>
    </w:p>
    <w:p w:rsidR="00312344" w:rsidRPr="005B1357" w:rsidRDefault="007D490C">
      <w:pPr>
        <w:spacing w:after="0"/>
        <w:jc w:val="center"/>
        <w:rPr>
          <w:rFonts w:ascii="Arial" w:hAnsi="Arial" w:cs="Arial"/>
        </w:rPr>
      </w:pPr>
      <w:r w:rsidRPr="005B1357">
        <w:rPr>
          <w:rFonts w:ascii="Arial" w:hAnsi="Arial" w:cs="Arial"/>
          <w:i/>
          <w:color w:val="94A3B8"/>
          <w:sz w:val="16"/>
        </w:rPr>
        <w:t>This document contains proprietary information intended exclusively for designated recipients. Unauthorized duplication or distribution is strictly prohibited.</w:t>
      </w:r>
    </w:p>
    <w:sectPr w:rsidR="00312344" w:rsidRPr="005B1357" w:rsidSect="00C97131">
      <w:headerReference w:type="default" r:id="rId14"/>
      <w:footerReference w:type="default" r:id="rId15"/>
      <w:pgSz w:w="11907" w:h="16839" w:code="9"/>
      <w:pgMar w:top="1440" w:right="1080" w:bottom="1440" w:left="108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7D61" w:rsidRDefault="003C7D61" w:rsidP="00312344">
      <w:pPr>
        <w:spacing w:after="0" w:line="240" w:lineRule="auto"/>
      </w:pPr>
      <w:r>
        <w:separator/>
      </w:r>
    </w:p>
  </w:endnote>
  <w:endnote w:type="continuationSeparator" w:id="1">
    <w:p w:rsidR="003C7D61" w:rsidRDefault="003C7D61" w:rsidP="0031234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2344" w:rsidRDefault="00312344">
    <w:pPr>
      <w:pStyle w:val="Footer"/>
    </w:pPr>
  </w:p>
  <w:tbl>
    <w:tblPr>
      <w:tblW w:w="9360" w:type="dxa"/>
      <w:jc w:val="center"/>
      <w:tblLook w:val="04A0"/>
    </w:tblPr>
    <w:tblGrid>
      <w:gridCol w:w="3168"/>
      <w:gridCol w:w="3744"/>
      <w:gridCol w:w="2448"/>
    </w:tblGrid>
    <w:tr w:rsidR="00312344" w:rsidRPr="005B1357">
      <w:trPr>
        <w:cantSplit/>
        <w:jc w:val="center"/>
      </w:trPr>
      <w:tc>
        <w:tcPr>
          <w:tcW w:w="3168" w:type="dxa"/>
          <w:tcMar>
            <w:top w:w="20" w:type="dxa"/>
            <w:left w:w="0" w:type="dxa"/>
            <w:bottom w:w="20" w:type="dxa"/>
            <w:right w:w="0" w:type="dxa"/>
          </w:tcMar>
          <w:vAlign w:val="center"/>
        </w:tcPr>
        <w:p w:rsidR="00312344" w:rsidRPr="005B1357" w:rsidRDefault="007D490C">
          <w:pPr>
            <w:spacing w:after="0"/>
            <w:rPr>
              <w:rFonts w:ascii="Arial" w:hAnsi="Arial" w:cs="Arial"/>
              <w:iCs/>
            </w:rPr>
          </w:pPr>
          <w:r w:rsidRPr="005B1357">
            <w:rPr>
              <w:rFonts w:ascii="Arial" w:hAnsi="Arial" w:cs="Arial"/>
              <w:iCs/>
              <w:color w:val="94A3B8"/>
              <w:sz w:val="15"/>
            </w:rPr>
            <w:t>Confidential  *  Internal / Investor Use</w:t>
          </w:r>
        </w:p>
      </w:tc>
      <w:tc>
        <w:tcPr>
          <w:tcW w:w="3744" w:type="dxa"/>
          <w:tcMar>
            <w:top w:w="20" w:type="dxa"/>
            <w:left w:w="0" w:type="dxa"/>
            <w:bottom w:w="20" w:type="dxa"/>
            <w:right w:w="0" w:type="dxa"/>
          </w:tcMar>
          <w:vAlign w:val="center"/>
        </w:tcPr>
        <w:p w:rsidR="00312344" w:rsidRPr="005B1357" w:rsidRDefault="007D490C">
          <w:pPr>
            <w:spacing w:after="0"/>
            <w:jc w:val="center"/>
            <w:rPr>
              <w:rFonts w:ascii="Arial" w:hAnsi="Arial" w:cs="Arial"/>
              <w:b/>
              <w:bCs/>
            </w:rPr>
          </w:pPr>
          <w:r w:rsidRPr="005B1357">
            <w:rPr>
              <w:rFonts w:ascii="Arial" w:hAnsi="Arial" w:cs="Arial"/>
              <w:b/>
              <w:bCs/>
              <w:color w:val="B98B3B"/>
              <w:sz w:val="15"/>
            </w:rPr>
            <w:t>Aravanta Cloud OS  (c) 2026 Aravanta Tech</w:t>
          </w:r>
        </w:p>
      </w:tc>
      <w:tc>
        <w:tcPr>
          <w:tcW w:w="2448" w:type="dxa"/>
          <w:tcMar>
            <w:top w:w="20" w:type="dxa"/>
            <w:left w:w="0" w:type="dxa"/>
            <w:bottom w:w="20" w:type="dxa"/>
            <w:right w:w="0" w:type="dxa"/>
          </w:tcMar>
          <w:vAlign w:val="center"/>
        </w:tcPr>
        <w:p w:rsidR="00312344" w:rsidRPr="005B1357" w:rsidRDefault="007D490C">
          <w:pPr>
            <w:spacing w:after="0"/>
            <w:jc w:val="right"/>
            <w:rPr>
              <w:rFonts w:ascii="Arial" w:hAnsi="Arial" w:cs="Arial"/>
            </w:rPr>
          </w:pPr>
          <w:r w:rsidRPr="005B1357">
            <w:rPr>
              <w:rFonts w:ascii="Arial" w:hAnsi="Arial" w:cs="Arial"/>
              <w:color w:val="94A3B8"/>
              <w:sz w:val="15"/>
            </w:rPr>
            <w:t xml:space="preserve">Page </w:t>
          </w:r>
          <w:r w:rsidR="00EF7256" w:rsidRPr="005B1357">
            <w:rPr>
              <w:rFonts w:ascii="Arial" w:hAnsi="Arial" w:cs="Arial"/>
              <w:color w:val="94A3B8"/>
              <w:sz w:val="15"/>
            </w:rPr>
            <w:fldChar w:fldCharType="begin"/>
          </w:r>
          <w:r w:rsidRPr="005B1357">
            <w:rPr>
              <w:rFonts w:ascii="Arial" w:hAnsi="Arial" w:cs="Arial"/>
              <w:color w:val="94A3B8"/>
              <w:sz w:val="15"/>
            </w:rPr>
            <w:instrText xml:space="preserve"> PAGE </w:instrText>
          </w:r>
          <w:r w:rsidR="00EF7256" w:rsidRPr="005B1357">
            <w:rPr>
              <w:rFonts w:ascii="Arial" w:hAnsi="Arial" w:cs="Arial"/>
              <w:color w:val="94A3B8"/>
              <w:sz w:val="15"/>
            </w:rPr>
            <w:fldChar w:fldCharType="separate"/>
          </w:r>
          <w:r w:rsidR="00C97131">
            <w:rPr>
              <w:rFonts w:ascii="Arial" w:hAnsi="Arial" w:cs="Arial"/>
              <w:noProof/>
              <w:color w:val="94A3B8"/>
              <w:sz w:val="15"/>
            </w:rPr>
            <w:t>2</w:t>
          </w:r>
          <w:r w:rsidR="00EF7256" w:rsidRPr="005B1357">
            <w:rPr>
              <w:rFonts w:ascii="Arial" w:hAnsi="Arial" w:cs="Arial"/>
              <w:color w:val="94A3B8"/>
              <w:sz w:val="15"/>
            </w:rPr>
            <w:fldChar w:fldCharType="end"/>
          </w:r>
        </w:p>
      </w:tc>
    </w:tr>
  </w:tbl>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7D61" w:rsidRDefault="003C7D61" w:rsidP="00312344">
      <w:pPr>
        <w:spacing w:after="0" w:line="240" w:lineRule="auto"/>
      </w:pPr>
      <w:r>
        <w:separator/>
      </w:r>
    </w:p>
  </w:footnote>
  <w:footnote w:type="continuationSeparator" w:id="1">
    <w:p w:rsidR="003C7D61" w:rsidRDefault="003C7D61" w:rsidP="0031234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2344" w:rsidRDefault="00312344">
    <w:pPr>
      <w:pStyle w:val="Header"/>
    </w:pPr>
  </w:p>
  <w:tbl>
    <w:tblPr>
      <w:tblW w:w="9687" w:type="dxa"/>
      <w:jc w:val="center"/>
      <w:tblLook w:val="04A0"/>
    </w:tblPr>
    <w:tblGrid>
      <w:gridCol w:w="2880"/>
      <w:gridCol w:w="6807"/>
    </w:tblGrid>
    <w:tr w:rsidR="00312344" w:rsidTr="00606AD6">
      <w:trPr>
        <w:cantSplit/>
        <w:jc w:val="center"/>
      </w:trPr>
      <w:tc>
        <w:tcPr>
          <w:tcW w:w="2880" w:type="dxa"/>
          <w:tcMar>
            <w:top w:w="20" w:type="dxa"/>
            <w:left w:w="0" w:type="dxa"/>
            <w:bottom w:w="20" w:type="dxa"/>
            <w:right w:w="0" w:type="dxa"/>
          </w:tcMar>
          <w:vAlign w:val="center"/>
        </w:tcPr>
        <w:p w:rsidR="00312344" w:rsidRDefault="007D490C">
          <w:pPr>
            <w:spacing w:after="0"/>
          </w:pPr>
          <w:r>
            <w:rPr>
              <w:noProof/>
              <w:lang w:bidi="mr-IN"/>
            </w:rPr>
            <w:drawing>
              <wp:inline distT="0" distB="0" distL="0" distR="0">
                <wp:extent cx="777240" cy="777240"/>
                <wp:effectExtent l="19050" t="0" r="381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777240" cy="777240"/>
                        </a:xfrm>
                        <a:prstGeom prst="rect">
                          <a:avLst/>
                        </a:prstGeom>
                      </pic:spPr>
                    </pic:pic>
                  </a:graphicData>
                </a:graphic>
              </wp:inline>
            </w:drawing>
          </w:r>
        </w:p>
      </w:tc>
      <w:tc>
        <w:tcPr>
          <w:tcW w:w="6807" w:type="dxa"/>
          <w:tcMar>
            <w:top w:w="20" w:type="dxa"/>
            <w:left w:w="0" w:type="dxa"/>
            <w:bottom w:w="20" w:type="dxa"/>
            <w:right w:w="0" w:type="dxa"/>
          </w:tcMar>
          <w:vAlign w:val="center"/>
        </w:tcPr>
        <w:p w:rsidR="00312344" w:rsidRPr="00606AD6" w:rsidRDefault="007D490C">
          <w:pPr>
            <w:spacing w:after="0"/>
            <w:jc w:val="right"/>
            <w:rPr>
              <w:rFonts w:ascii="Arial" w:hAnsi="Arial" w:cs="Arial"/>
              <w:b/>
              <w:bCs/>
              <w:sz w:val="18"/>
              <w:szCs w:val="24"/>
            </w:rPr>
          </w:pPr>
          <w:r w:rsidRPr="00606AD6">
            <w:rPr>
              <w:rFonts w:ascii="Arial" w:hAnsi="Arial" w:cs="Arial"/>
              <w:b/>
              <w:bCs/>
              <w:i/>
              <w:color w:val="94A3B8"/>
              <w:sz w:val="18"/>
              <w:szCs w:val="24"/>
            </w:rPr>
            <w:t>Aravanta Cloud OS  *  Product Overview, Vision &amp; Strategy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8343BB0"/>
    <w:multiLevelType w:val="hybridMultilevel"/>
    <w:tmpl w:val="3EDE3100"/>
    <w:lvl w:ilvl="0" w:tplc="B6E27538">
      <w:start w:val="1"/>
      <w:numFmt w:val="bullet"/>
      <w:lvlText w:val=""/>
      <w:lvlJc w:val="left"/>
      <w:pPr>
        <w:ind w:left="720" w:hanging="360"/>
      </w:pPr>
      <w:rPr>
        <w:rFonts w:ascii="Symbol" w:hAnsi="Symbol" w:hint="default"/>
        <w:color w:val="B98B3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596B4E"/>
    <w:multiLevelType w:val="multilevel"/>
    <w:tmpl w:val="B22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365056"/>
    <w:multiLevelType w:val="hybridMultilevel"/>
    <w:tmpl w:val="4462C72E"/>
    <w:lvl w:ilvl="0" w:tplc="2D522A6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3ED76E9"/>
    <w:multiLevelType w:val="hybridMultilevel"/>
    <w:tmpl w:val="4B6CD798"/>
    <w:lvl w:ilvl="0" w:tplc="B6E27538">
      <w:start w:val="1"/>
      <w:numFmt w:val="bullet"/>
      <w:lvlText w:val=""/>
      <w:lvlJc w:val="left"/>
      <w:pPr>
        <w:ind w:left="1008" w:hanging="360"/>
      </w:pPr>
      <w:rPr>
        <w:rFonts w:ascii="Symbol" w:hAnsi="Symbol" w:hint="default"/>
        <w:color w:val="B98B3B"/>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3">
    <w:nsid w:val="737474F4"/>
    <w:multiLevelType w:val="hybridMultilevel"/>
    <w:tmpl w:val="F67EF6B2"/>
    <w:lvl w:ilvl="0" w:tplc="B6E27538">
      <w:start w:val="1"/>
      <w:numFmt w:val="bullet"/>
      <w:lvlText w:val=""/>
      <w:lvlJc w:val="left"/>
      <w:pPr>
        <w:ind w:left="1008" w:hanging="360"/>
      </w:pPr>
      <w:rPr>
        <w:rFonts w:ascii="Symbol" w:hAnsi="Symbol" w:hint="default"/>
        <w:color w:val="B98B3B"/>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
    <w:nsid w:val="797371CA"/>
    <w:multiLevelType w:val="hybridMultilevel"/>
    <w:tmpl w:val="271EF70E"/>
    <w:lvl w:ilvl="0" w:tplc="B6E27538">
      <w:start w:val="1"/>
      <w:numFmt w:val="bullet"/>
      <w:lvlText w:val=""/>
      <w:lvlJc w:val="left"/>
      <w:pPr>
        <w:ind w:left="720" w:hanging="360"/>
      </w:pPr>
      <w:rPr>
        <w:rFonts w:ascii="Symbol" w:hAnsi="Symbol" w:hint="default"/>
        <w:color w:val="B98B3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0"/>
  </w:num>
  <w:num w:numId="12">
    <w:abstractNumId w:val="14"/>
  </w:num>
  <w:num w:numId="13">
    <w:abstractNumId w:val="11"/>
  </w:num>
  <w:num w:numId="14">
    <w:abstractNumId w:val="9"/>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6146">
      <o:colormenu v:ext="edit" strokecolor="#b98b3b"/>
    </o:shapedefaults>
  </w:hdrShapeDefaults>
  <w:footnotePr>
    <w:footnote w:id="0"/>
    <w:footnote w:id="1"/>
  </w:footnotePr>
  <w:endnotePr>
    <w:endnote w:id="0"/>
    <w:endnote w:id="1"/>
  </w:endnotePr>
  <w:compat>
    <w:useFELayout/>
  </w:compat>
  <w:rsids>
    <w:rsidRoot w:val="00B47730"/>
    <w:rsid w:val="00034616"/>
    <w:rsid w:val="0006063C"/>
    <w:rsid w:val="000B7CD5"/>
    <w:rsid w:val="0015074B"/>
    <w:rsid w:val="002471E2"/>
    <w:rsid w:val="0029639D"/>
    <w:rsid w:val="00296CBF"/>
    <w:rsid w:val="002A334D"/>
    <w:rsid w:val="002A4CA2"/>
    <w:rsid w:val="002A5237"/>
    <w:rsid w:val="00312344"/>
    <w:rsid w:val="00326F90"/>
    <w:rsid w:val="00387A95"/>
    <w:rsid w:val="003B77C2"/>
    <w:rsid w:val="003C7D61"/>
    <w:rsid w:val="00496F48"/>
    <w:rsid w:val="004B6543"/>
    <w:rsid w:val="005B1357"/>
    <w:rsid w:val="005C0E22"/>
    <w:rsid w:val="00606AD6"/>
    <w:rsid w:val="00623C27"/>
    <w:rsid w:val="007D490C"/>
    <w:rsid w:val="00A35DE0"/>
    <w:rsid w:val="00A9213A"/>
    <w:rsid w:val="00AA1D8D"/>
    <w:rsid w:val="00B47730"/>
    <w:rsid w:val="00C97131"/>
    <w:rsid w:val="00CB0664"/>
    <w:rsid w:val="00DC1394"/>
    <w:rsid w:val="00E264D2"/>
    <w:rsid w:val="00EF7256"/>
    <w:rsid w:val="00F4223B"/>
    <w:rsid w:val="00F5445A"/>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colormenu v:ext="edit" strokecolor="#b98b3b"/>
    </o:shapedefaults>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42524"/>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B13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1357"/>
    <w:rPr>
      <w:rFonts w:ascii="Tahoma" w:hAnsi="Tahoma" w:cs="Tahoma"/>
      <w:color w:val="242524"/>
      <w:sz w:val="16"/>
      <w:szCs w:val="16"/>
    </w:rPr>
  </w:style>
  <w:style w:type="paragraph" w:styleId="NormalWeb">
    <w:name w:val="Normal (Web)"/>
    <w:basedOn w:val="Normal"/>
    <w:uiPriority w:val="99"/>
    <w:semiHidden/>
    <w:unhideWhenUsed/>
    <w:rsid w:val="00623C27"/>
    <w:pPr>
      <w:spacing w:before="100" w:beforeAutospacing="1" w:after="100" w:afterAutospacing="1" w:line="240" w:lineRule="auto"/>
    </w:pPr>
    <w:rPr>
      <w:rFonts w:ascii="Times New Roman" w:eastAsia="Times New Roman" w:hAnsi="Times New Roman" w:cs="Times New Roman"/>
      <w:color w:val="auto"/>
      <w:sz w:val="24"/>
      <w:szCs w:val="24"/>
      <w:lang w:bidi="mr-I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29522584">
      <w:bodyDiv w:val="1"/>
      <w:marLeft w:val="0"/>
      <w:marRight w:val="0"/>
      <w:marTop w:val="0"/>
      <w:marBottom w:val="0"/>
      <w:divBdr>
        <w:top w:val="none" w:sz="0" w:space="0" w:color="auto"/>
        <w:left w:val="none" w:sz="0" w:space="0" w:color="auto"/>
        <w:bottom w:val="none" w:sz="0" w:space="0" w:color="auto"/>
        <w:right w:val="none" w:sz="0" w:space="0" w:color="auto"/>
      </w:divBdr>
    </w:div>
    <w:div w:id="372460560">
      <w:bodyDiv w:val="1"/>
      <w:marLeft w:val="0"/>
      <w:marRight w:val="0"/>
      <w:marTop w:val="0"/>
      <w:marBottom w:val="0"/>
      <w:divBdr>
        <w:top w:val="none" w:sz="0" w:space="0" w:color="auto"/>
        <w:left w:val="none" w:sz="0" w:space="0" w:color="auto"/>
        <w:bottom w:val="none" w:sz="0" w:space="0" w:color="auto"/>
        <w:right w:val="none" w:sz="0" w:space="0" w:color="auto"/>
      </w:divBdr>
    </w:div>
    <w:div w:id="373119169">
      <w:bodyDiv w:val="1"/>
      <w:marLeft w:val="0"/>
      <w:marRight w:val="0"/>
      <w:marTop w:val="0"/>
      <w:marBottom w:val="0"/>
      <w:divBdr>
        <w:top w:val="none" w:sz="0" w:space="0" w:color="auto"/>
        <w:left w:val="none" w:sz="0" w:space="0" w:color="auto"/>
        <w:bottom w:val="none" w:sz="0" w:space="0" w:color="auto"/>
        <w:right w:val="none" w:sz="0" w:space="0" w:color="auto"/>
      </w:divBdr>
    </w:div>
    <w:div w:id="746221514">
      <w:bodyDiv w:val="1"/>
      <w:marLeft w:val="0"/>
      <w:marRight w:val="0"/>
      <w:marTop w:val="0"/>
      <w:marBottom w:val="0"/>
      <w:divBdr>
        <w:top w:val="none" w:sz="0" w:space="0" w:color="auto"/>
        <w:left w:val="none" w:sz="0" w:space="0" w:color="auto"/>
        <w:bottom w:val="none" w:sz="0" w:space="0" w:color="auto"/>
        <w:right w:val="none" w:sz="0" w:space="0" w:color="auto"/>
      </w:divBdr>
    </w:div>
    <w:div w:id="799688348">
      <w:bodyDiv w:val="1"/>
      <w:marLeft w:val="0"/>
      <w:marRight w:val="0"/>
      <w:marTop w:val="0"/>
      <w:marBottom w:val="0"/>
      <w:divBdr>
        <w:top w:val="none" w:sz="0" w:space="0" w:color="auto"/>
        <w:left w:val="none" w:sz="0" w:space="0" w:color="auto"/>
        <w:bottom w:val="none" w:sz="0" w:space="0" w:color="auto"/>
        <w:right w:val="none" w:sz="0" w:space="0" w:color="auto"/>
      </w:divBdr>
    </w:div>
    <w:div w:id="8765448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microsoft.com/office/2007/relationships/stylesWithEffects" Target="stylesWithEffects.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4DD86-7779-42D7-A010-1178D618E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18</Pages>
  <Words>3012</Words>
  <Characters>17170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20142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SHUBHAM</cp:lastModifiedBy>
  <cp:revision>13</cp:revision>
  <cp:lastPrinted>2026-09-11T15:19:00Z</cp:lastPrinted>
  <dcterms:created xsi:type="dcterms:W3CDTF">2013-12-23T23:15:00Z</dcterms:created>
  <dcterms:modified xsi:type="dcterms:W3CDTF">2026-09-11T16:10:00Z</dcterms:modified>
  <cp:category/>
</cp:coreProperties>
</file>