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483" w:rsidRDefault="007B7BCE">
      <w:pPr>
        <w:spacing w:before="800" w:after="400"/>
        <w:jc w:val="center"/>
      </w:pPr>
      <w:r>
        <w:rPr>
          <w:noProof/>
          <w:lang w:bidi="mr-IN"/>
        </w:rPr>
        <w:drawing>
          <wp:inline distT="0" distB="0" distL="0" distR="0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avanta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80"/>
        <w:jc w:val="center"/>
      </w:pPr>
      <w:r>
        <w:rPr>
          <w:b/>
          <w:color w:val="0A1628"/>
          <w:sz w:val="72"/>
        </w:rPr>
        <w:t xml:space="preserve">Aravanta </w:t>
      </w:r>
      <w:r>
        <w:rPr>
          <w:b/>
          <w:color w:val="C9A84C"/>
          <w:sz w:val="72"/>
        </w:rPr>
        <w:t>CloudOS</w:t>
      </w:r>
    </w:p>
    <w:p w:rsidR="00803483" w:rsidRDefault="007B7BCE">
      <w:pPr>
        <w:spacing w:after="480"/>
        <w:jc w:val="center"/>
      </w:pPr>
      <w:r>
        <w:rPr>
          <w:b/>
          <w:color w:val="6B7280"/>
          <w:sz w:val="26"/>
        </w:rPr>
        <w:t>CLOUD OPERATING PLATFORM</w:t>
      </w:r>
    </w:p>
    <w:p w:rsidR="00803483" w:rsidRDefault="007B7BCE">
      <w:pPr>
        <w:spacing w:after="800"/>
        <w:jc w:val="center"/>
      </w:pPr>
      <w:r>
        <w:rPr>
          <w:color w:val="374151"/>
        </w:rPr>
        <w:t>An open, self-service cloud platform for deploying, managing, and monitoring</w:t>
      </w:r>
      <w:r>
        <w:rPr>
          <w:color w:val="374151"/>
        </w:rPr>
        <w:br/>
        <w:t>cloud-native applications and modern infrastructure from a unified command center.</w:t>
      </w:r>
    </w:p>
    <w:p w:rsidR="00803483" w:rsidRDefault="007B7BCE">
      <w:pPr>
        <w:spacing w:after="0"/>
        <w:jc w:val="center"/>
      </w:pPr>
      <w:r>
        <w:rPr>
          <w:color w:val="9CA3AF"/>
          <w:sz w:val="19"/>
        </w:rPr>
        <w:t xml:space="preserve">Version 1.0 — Technical &amp; Architectural </w:t>
      </w:r>
      <w:r>
        <w:rPr>
          <w:color w:val="9CA3AF"/>
          <w:sz w:val="19"/>
        </w:rPr>
        <w:t>Documentation</w:t>
      </w:r>
      <w:r>
        <w:rPr>
          <w:color w:val="9CA3AF"/>
          <w:sz w:val="19"/>
        </w:rPr>
        <w:br/>
        <w:t>July 2026 | Prepared by Aravanta Engineering Team</w:t>
      </w:r>
    </w:p>
    <w:p w:rsidR="00803483" w:rsidRDefault="007B7BCE">
      <w: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Table of Contents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01 — Executive Summary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Vision &amp; Mission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Value Proposition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02 — Platform Architecture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High-Level Architecture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Architectural Layers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Design Principle</w:t>
      </w:r>
      <w:r>
        <w:rPr>
          <w:color w:val="4B5563"/>
          <w:sz w:val="19"/>
        </w:rPr>
        <w:t>s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03 — Aravanta Service Catalog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ArvCompute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ArvKube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ArvStore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ArvDB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ArvRegistry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ArvEdge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ArvWatch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ArvGate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04 — Core Modules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Identity Module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Dashboard Overview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Infrastructure as Code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CI/CD Pipeline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Security Module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 xml:space="preserve">• </w:t>
      </w:r>
      <w:r>
        <w:rPr>
          <w:color w:val="4B5563"/>
          <w:sz w:val="19"/>
        </w:rPr>
        <w:t>Billing Engine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05 — Technology Stack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Frontend Stack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Backend Architecture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DevOps &amp; Infrastructure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06 — API Reference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Authentication API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Resource Management APIs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07 — Deployment &amp; Operations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Repository Structure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 xml:space="preserve">• </w:t>
      </w:r>
      <w:r>
        <w:rPr>
          <w:color w:val="4B5563"/>
          <w:sz w:val="19"/>
        </w:rPr>
        <w:t>Environment Promotion Pipeline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Local Development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08 — Monitoring &amp; Observability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Metrics, Logs, and Traces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Alerting Thresholds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t>Chapter 09 — Security Architecture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Defense-in-Depth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Compliance &amp; Governance</w:t>
      </w:r>
    </w:p>
    <w:p w:rsidR="00803483" w:rsidRDefault="007B7BCE">
      <w:pPr>
        <w:spacing w:after="40"/>
      </w:pPr>
      <w:r>
        <w:rPr>
          <w:b/>
          <w:color w:val="0A1628"/>
          <w:sz w:val="21"/>
        </w:rPr>
        <w:lastRenderedPageBreak/>
        <w:t>Chapter 10 — Roadmap &amp; Portfolio Ov</w:t>
      </w:r>
      <w:r>
        <w:rPr>
          <w:b/>
          <w:color w:val="0A1628"/>
          <w:sz w:val="21"/>
        </w:rPr>
        <w:t>erview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Implementation Milestones</w:t>
      </w:r>
    </w:p>
    <w:p w:rsidR="00803483" w:rsidRDefault="007B7BCE">
      <w:pPr>
        <w:spacing w:after="40"/>
        <w:ind w:left="432"/>
      </w:pPr>
      <w:r>
        <w:rPr>
          <w:color w:val="4B5563"/>
          <w:sz w:val="19"/>
        </w:rPr>
        <w:t>• Resume Project Summary</w:t>
      </w:r>
    </w:p>
    <w:p w:rsidR="00803483" w:rsidRDefault="007B7BCE">
      <w: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Chapter 01 — Executive Summary</w:t>
      </w:r>
    </w:p>
    <w:tbl>
      <w:tblPr>
        <w:tblW w:w="0" w:type="auto"/>
        <w:jc w:val="center"/>
        <w:tblLook w:val="04A0"/>
      </w:tblPr>
      <w:tblGrid>
        <w:gridCol w:w="9360"/>
      </w:tblGrid>
      <w:tr w:rsidR="00803483">
        <w:trPr>
          <w:jc w:val="center"/>
        </w:trPr>
        <w:tc>
          <w:tcPr>
            <w:tcW w:w="9360" w:type="dxa"/>
            <w:tcBorders>
              <w:left w:val="single" w:sz="36" w:space="0" w:color="C9A84C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03483" w:rsidRDefault="007B7BCE">
            <w:pPr>
              <w:spacing w:before="40" w:after="80"/>
            </w:pPr>
            <w:r>
              <w:rPr>
                <w:rFonts w:ascii="Inter" w:hAnsi="Inter"/>
                <w:b/>
                <w:color w:val="0A1628"/>
                <w:sz w:val="20"/>
              </w:rPr>
              <w:t>VISION STATEMENT</w:t>
            </w:r>
            <w:r>
              <w:rPr>
                <w:rFonts w:ascii="Inter" w:hAnsi="Inter"/>
                <w:b/>
                <w:color w:val="0A1628"/>
                <w:sz w:val="20"/>
              </w:rPr>
              <w:br/>
            </w:r>
            <w:proofErr w:type="spellStart"/>
            <w:r>
              <w:rPr>
                <w:rFonts w:ascii="Inter" w:hAnsi="Inter"/>
                <w:color w:val="374151"/>
                <w:sz w:val="19"/>
              </w:rPr>
              <w:t>Aravanta</w:t>
            </w:r>
            <w:proofErr w:type="spellEnd"/>
            <w:r>
              <w:rPr>
                <w:rFonts w:ascii="Inter" w:hAnsi="Inter"/>
                <w:color w:val="374151"/>
                <w:sz w:val="19"/>
              </w:rPr>
              <w:t xml:space="preserve"> </w:t>
            </w:r>
            <w:proofErr w:type="spellStart"/>
            <w:r>
              <w:rPr>
                <w:rFonts w:ascii="Inter" w:hAnsi="Inter"/>
                <w:color w:val="374151"/>
                <w:sz w:val="19"/>
              </w:rPr>
              <w:t>CloudOS</w:t>
            </w:r>
            <w:proofErr w:type="spellEnd"/>
            <w:r>
              <w:rPr>
                <w:rFonts w:ascii="Inter" w:hAnsi="Inter"/>
                <w:color w:val="374151"/>
                <w:sz w:val="19"/>
              </w:rPr>
              <w:t xml:space="preserve"> is a production-grade cloud operating platform designed to unify every aspect of modern cloud infrastructure into a single, </w:t>
            </w:r>
            <w:r>
              <w:rPr>
                <w:rFonts w:ascii="Inter" w:hAnsi="Inter"/>
                <w:color w:val="374151"/>
                <w:sz w:val="19"/>
              </w:rPr>
              <w:t>intuitive experience. It empowers engineering teams to provision resources, deploy applications, manage Kubernetes workloads, automate infrastructure, and gain deep operational visibility — without switching between dozens of disconnected tools.</w:t>
            </w:r>
          </w:p>
        </w:tc>
      </w:tr>
    </w:tbl>
    <w:p w:rsidR="00803483" w:rsidRDefault="00803483">
      <w:pPr>
        <w:spacing w:after="120"/>
      </w:pP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>1.1 Visi</w:t>
      </w:r>
      <w:r>
        <w:rPr>
          <w:rFonts w:ascii="Inter" w:hAnsi="Inter"/>
          <w:b/>
          <w:color w:val="0F2038"/>
          <w:sz w:val="28"/>
        </w:rPr>
        <w:t>on &amp; Mission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The modern cloud ecosystem is fragmented. Engineers juggle separate consoles for compute, storage, databases, container orchestration, monitoring, and CI/CD. Each tool has its own learning curve, authentication mechanisms, and operational mode</w:t>
      </w:r>
      <w:r>
        <w:rPr>
          <w:rFonts w:ascii="Inter" w:hAnsi="Inter"/>
          <w:color w:val="374151"/>
          <w:sz w:val="20"/>
        </w:rPr>
        <w:t>l. Aravanta CloudOS eliminates this fragmentation by acting as the operating system for cloud resources.</w:t>
      </w: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>1.2 Value Proposition</w:t>
      </w:r>
    </w:p>
    <w:p w:rsidR="00803483" w:rsidRDefault="007B7BCE">
      <w:pPr>
        <w:pStyle w:val="ListBullet"/>
        <w:spacing w:after="80"/>
      </w:pPr>
      <w:r>
        <w:rPr>
          <w:rFonts w:ascii="Inter" w:hAnsi="Inter"/>
          <w:b/>
          <w:color w:val="111827"/>
          <w:sz w:val="19"/>
        </w:rPr>
        <w:t xml:space="preserve">For Developers: </w:t>
      </w:r>
      <w:r>
        <w:rPr>
          <w:rFonts w:ascii="Inter" w:hAnsi="Inter"/>
          <w:color w:val="374151"/>
          <w:sz w:val="19"/>
        </w:rPr>
        <w:t>One-click application deployments with zero-downtime rollouts.</w:t>
      </w:r>
    </w:p>
    <w:p w:rsidR="00803483" w:rsidRDefault="007B7BCE">
      <w:pPr>
        <w:pStyle w:val="ListBullet"/>
        <w:spacing w:after="80"/>
      </w:pPr>
      <w:r>
        <w:rPr>
          <w:rFonts w:ascii="Inter" w:hAnsi="Inter"/>
          <w:b/>
          <w:color w:val="111827"/>
          <w:sz w:val="19"/>
        </w:rPr>
        <w:t xml:space="preserve">For Developers: </w:t>
      </w:r>
      <w:r>
        <w:rPr>
          <w:rFonts w:ascii="Inter" w:hAnsi="Inter"/>
          <w:color w:val="374151"/>
          <w:sz w:val="19"/>
        </w:rPr>
        <w:t>Built-in CI/CD pipelines connected</w:t>
      </w:r>
      <w:r>
        <w:rPr>
          <w:rFonts w:ascii="Inter" w:hAnsi="Inter"/>
          <w:color w:val="374151"/>
          <w:sz w:val="19"/>
        </w:rPr>
        <w:t xml:space="preserve"> directly to Git repositories.</w:t>
      </w:r>
    </w:p>
    <w:p w:rsidR="00803483" w:rsidRDefault="007B7BCE">
      <w:pPr>
        <w:pStyle w:val="ListBullet"/>
        <w:spacing w:after="80"/>
      </w:pPr>
      <w:r>
        <w:rPr>
          <w:rFonts w:ascii="Inter" w:hAnsi="Inter"/>
          <w:b/>
          <w:color w:val="111827"/>
          <w:sz w:val="19"/>
        </w:rPr>
        <w:t xml:space="preserve">For Developers: </w:t>
      </w:r>
      <w:r>
        <w:rPr>
          <w:rFonts w:ascii="Inter" w:hAnsi="Inter"/>
          <w:color w:val="374151"/>
          <w:sz w:val="19"/>
        </w:rPr>
        <w:t>Real-time log streaming and distributed tracing out of the box.</w:t>
      </w:r>
    </w:p>
    <w:p w:rsidR="00803483" w:rsidRDefault="007B7BCE">
      <w:pPr>
        <w:pStyle w:val="ListBullet"/>
        <w:spacing w:after="80"/>
      </w:pPr>
      <w:r>
        <w:rPr>
          <w:rFonts w:ascii="Inter" w:hAnsi="Inter"/>
          <w:b/>
          <w:color w:val="111827"/>
          <w:sz w:val="19"/>
        </w:rPr>
        <w:t xml:space="preserve">For Organizations: </w:t>
      </w:r>
      <w:r>
        <w:rPr>
          <w:rFonts w:ascii="Inter" w:hAnsi="Inter"/>
          <w:color w:val="374151"/>
          <w:sz w:val="19"/>
        </w:rPr>
        <w:t>Centralized governance, audit logs, and granular RBAC across all services.</w:t>
      </w:r>
    </w:p>
    <w:p w:rsidR="00803483" w:rsidRDefault="007B7BCE">
      <w:pPr>
        <w:pStyle w:val="ListBullet"/>
        <w:spacing w:after="80"/>
      </w:pPr>
      <w:r>
        <w:rPr>
          <w:rFonts w:ascii="Inter" w:hAnsi="Inter"/>
          <w:b/>
          <w:color w:val="111827"/>
          <w:sz w:val="19"/>
        </w:rPr>
        <w:t xml:space="preserve">For Organizations: </w:t>
      </w:r>
      <w:r>
        <w:rPr>
          <w:rFonts w:ascii="Inter" w:hAnsi="Inter"/>
          <w:color w:val="374151"/>
          <w:sz w:val="19"/>
        </w:rPr>
        <w:t>Cost optimization through real-t</w:t>
      </w:r>
      <w:r>
        <w:rPr>
          <w:rFonts w:ascii="Inter" w:hAnsi="Inter"/>
          <w:color w:val="374151"/>
          <w:sz w:val="19"/>
        </w:rPr>
        <w:t>ime usage analytics and budget alerts.</w:t>
      </w: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Chapter 02 — Platform Architecture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Aravanta CloudOS follows a microservices-oriented, layered architecture. Each layer has clear responsibilities and communicates via well-defined RESTful and gRPC interfaces.</w:t>
      </w:r>
    </w:p>
    <w:p w:rsidR="00803483" w:rsidRDefault="007B7BCE">
      <w:pPr>
        <w:spacing w:before="200" w:after="40"/>
        <w:jc w:val="center"/>
      </w:pPr>
      <w:r>
        <w:rPr>
          <w:noProof/>
          <w:lang w:bidi="mr-IN"/>
        </w:rPr>
        <w:drawing>
          <wp:inline distT="0" distB="0" distL="0" distR="0">
            <wp:extent cx="5486400" cy="30621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240"/>
        <w:jc w:val="center"/>
      </w:pPr>
      <w:r>
        <w:rPr>
          <w:rFonts w:ascii="Inter" w:hAnsi="Inter"/>
          <w:i/>
          <w:color w:val="6B7280"/>
          <w:sz w:val="17"/>
        </w:rPr>
        <w:t>Figure</w:t>
      </w:r>
      <w:r>
        <w:rPr>
          <w:rFonts w:ascii="Inter" w:hAnsi="Inter"/>
          <w:i/>
          <w:color w:val="6B7280"/>
          <w:sz w:val="17"/>
        </w:rPr>
        <w:t xml:space="preserve"> 2.1 — Aravanta CloudOS High-Level Architecture Diagram</w:t>
      </w: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>2.1 Architectural Layers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880"/>
        <w:gridCol w:w="4320"/>
      </w:tblGrid>
      <w:tr w:rsidR="00803483" w:rsidTr="007B7BCE">
        <w:tc>
          <w:tcPr>
            <w:tcW w:w="216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b/>
                <w:color w:val="FFFFFF"/>
                <w:sz w:val="18"/>
              </w:rPr>
              <w:t>Layer</w:t>
            </w:r>
          </w:p>
        </w:tc>
        <w:tc>
          <w:tcPr>
            <w:tcW w:w="288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b/>
                <w:color w:val="FFFFFF"/>
                <w:sz w:val="18"/>
              </w:rPr>
              <w:t>Responsibility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Presentation Layer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Web Dashboard, CLI, Mobile App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User-facing interfaces providing graphical and command-line interactions.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API Gateway</w:t>
            </w:r>
          </w:p>
        </w:tc>
        <w:tc>
          <w:tcPr>
            <w:tcW w:w="288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ArvGateway (Nginx + Middleware)</w:t>
            </w:r>
          </w:p>
        </w:tc>
        <w:tc>
          <w:tcPr>
            <w:tcW w:w="432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Single entry point handling Auth, Rate Limiting, CORS, and TLS termination.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Application Services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Auth, Compute, Kube, Storage, DB, CICD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Domain-specific microservices implementing business logic and data persistence.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Orches</w:t>
            </w:r>
            <w:r>
              <w:rPr>
                <w:rFonts w:ascii="Inter" w:hAnsi="Inter"/>
                <w:color w:val="374151"/>
                <w:sz w:val="17"/>
              </w:rPr>
              <w:t>tration Layer</w:t>
            </w:r>
          </w:p>
        </w:tc>
        <w:tc>
          <w:tcPr>
            <w:tcW w:w="288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Container Runtime, Service Mesh</w:t>
            </w:r>
          </w:p>
        </w:tc>
        <w:tc>
          <w:tcPr>
            <w:tcW w:w="432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Manages container lifecycles, service discovery, and inter-service mTLS.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Provider Abstraction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Cloud Adapters Layer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>
            <w:r>
              <w:rPr>
                <w:rFonts w:ascii="Inter" w:hAnsi="Inter"/>
                <w:color w:val="374151"/>
                <w:sz w:val="17"/>
              </w:rPr>
              <w:t>Translates Aravanta service requests to underlying cloud/bare-metal APIs.</w:t>
            </w:r>
          </w:p>
        </w:tc>
      </w:tr>
    </w:tbl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 xml:space="preserve">Chapter 03 — </w:t>
      </w:r>
      <w:r>
        <w:rPr>
          <w:rFonts w:ascii="Inter" w:hAnsi="Inter"/>
          <w:b/>
          <w:color w:val="0A1628"/>
          <w:sz w:val="40"/>
        </w:rPr>
        <w:t>Aravanta Service Catalog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Instead of copying cloud provider branding, Aravanta CloudOS introduces its own native, cloud-agnostic service abstractions: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592"/>
        <w:gridCol w:w="4608"/>
      </w:tblGrid>
      <w:tr w:rsidR="00803483" w:rsidTr="007B7BCE">
        <w:tc>
          <w:tcPr>
            <w:tcW w:w="216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b/>
                <w:color w:val="FFFFFF"/>
                <w:sz w:val="18"/>
              </w:rPr>
              <w:t>Service Name</w:t>
            </w:r>
          </w:p>
        </w:tc>
        <w:tc>
          <w:tcPr>
            <w:tcW w:w="2592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b/>
                <w:color w:val="FFFFFF"/>
                <w:sz w:val="18"/>
              </w:rPr>
              <w:t>Category</w:t>
            </w:r>
          </w:p>
        </w:tc>
        <w:tc>
          <w:tcPr>
            <w:tcW w:w="4608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b/>
                <w:color w:val="FFFFFF"/>
                <w:sz w:val="18"/>
              </w:rPr>
              <w:t>Core Capabilities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ArvCompute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Compute Engine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 xml:space="preserve">Virtual machines, auto-scaling groups, </w:t>
            </w:r>
            <w:r>
              <w:rPr>
                <w:rFonts w:ascii="Inter" w:hAnsi="Inter"/>
                <w:color w:val="374151"/>
                <w:sz w:val="17"/>
              </w:rPr>
              <w:t>spot instances, instance templates, and SSH key management.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ArvKube</w:t>
            </w:r>
          </w:p>
        </w:tc>
        <w:tc>
          <w:tcPr>
            <w:tcW w:w="2592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Kubernetes Engine</w:t>
            </w:r>
          </w:p>
        </w:tc>
        <w:tc>
          <w:tcPr>
            <w:tcW w:w="4608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Fully managed Kubernetes clusters, node pools, rolling updates, pod inspection, and Helm charts.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ArvStore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Object Storage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 xml:space="preserve">High-durability object storage, bucket access </w:t>
            </w:r>
            <w:r>
              <w:rPr>
                <w:rFonts w:ascii="Inter" w:hAnsi="Inter"/>
                <w:color w:val="374151"/>
                <w:sz w:val="17"/>
              </w:rPr>
              <w:t>policies, object versioning, and CDN integration.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ArvDB</w:t>
            </w:r>
          </w:p>
        </w:tc>
        <w:tc>
          <w:tcPr>
            <w:tcW w:w="2592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Managed Database</w:t>
            </w:r>
          </w:p>
        </w:tc>
        <w:tc>
          <w:tcPr>
            <w:tcW w:w="4608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Managed PostgreSQL &amp; MySQL databases with automated HA failover, point-in-time recovery, and read replicas.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ArvRegistry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Container Registry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 xml:space="preserve">Private Docker image registry with </w:t>
            </w:r>
            <w:r>
              <w:rPr>
                <w:rFonts w:ascii="Inter" w:hAnsi="Inter"/>
                <w:color w:val="374151"/>
                <w:sz w:val="17"/>
              </w:rPr>
              <w:t>automatic CVE scanning, image signing, and lifecycle rules.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ArvEdge</w:t>
            </w:r>
          </w:p>
        </w:tc>
        <w:tc>
          <w:tcPr>
            <w:tcW w:w="2592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Load Balancer &amp; WAF</w:t>
            </w:r>
          </w:p>
        </w:tc>
        <w:tc>
          <w:tcPr>
            <w:tcW w:w="4608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L7 application load balancing, SSL/TLS termination, rate limiting, and edge DDoS protection.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ArvWatch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Monitoring &amp; Logs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 xml:space="preserve">Prometheus metrics, Loki log aggregation, </w:t>
            </w:r>
            <w:r>
              <w:rPr>
                <w:rFonts w:ascii="Inter" w:hAnsi="Inter"/>
                <w:color w:val="374151"/>
                <w:sz w:val="17"/>
              </w:rPr>
              <w:t>Jaeger tracing, Grafana dashboards, and Alertmanager alerts.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ArvGate</w:t>
            </w:r>
          </w:p>
        </w:tc>
        <w:tc>
          <w:tcPr>
            <w:tcW w:w="2592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Identity &amp; Access</w:t>
            </w:r>
          </w:p>
        </w:tc>
        <w:tc>
          <w:tcPr>
            <w:tcW w:w="4608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 w:line="240" w:lineRule="auto"/>
            </w:pPr>
            <w:r>
              <w:rPr>
                <w:rFonts w:ascii="Inter" w:hAnsi="Inter"/>
                <w:color w:val="374151"/>
                <w:sz w:val="17"/>
              </w:rPr>
              <w:t>JWT authentication, MFA (TOTP/FIDO2), RBAC policies, service accounts, and immutable audit logs.</w:t>
            </w:r>
          </w:p>
        </w:tc>
      </w:tr>
    </w:tbl>
    <w:p w:rsidR="00803483" w:rsidRDefault="007B7BCE" w:rsidP="007B7BCE">
      <w:pPr>
        <w:spacing w:before="200" w:after="0"/>
        <w:jc w:val="center"/>
      </w:pPr>
      <w:r>
        <w:rPr>
          <w:noProof/>
          <w:lang w:bidi="mr-IN"/>
        </w:rPr>
        <w:drawing>
          <wp:inline distT="0" distB="0" distL="0" distR="0">
            <wp:extent cx="5486400" cy="30621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ernetes_architectur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240"/>
        <w:jc w:val="center"/>
      </w:pPr>
      <w:r>
        <w:rPr>
          <w:rFonts w:ascii="Inter" w:hAnsi="Inter"/>
          <w:i/>
          <w:color w:val="6B7280"/>
          <w:sz w:val="17"/>
        </w:rPr>
        <w:t>Figure 3.1 — ArvKube Managed Kubernetes Architecture</w:t>
      </w: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 xml:space="preserve">Chapter 04 — </w:t>
      </w:r>
      <w:r>
        <w:rPr>
          <w:rFonts w:ascii="Inter" w:hAnsi="Inter"/>
          <w:b/>
          <w:color w:val="0A1628"/>
          <w:sz w:val="40"/>
        </w:rPr>
        <w:t>Core Modules &amp; Features</w:t>
      </w: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>4.1 Dashboard Command Center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The unified dashboard provides real-time operational visibility into infrastructure health, active deployments, and resource utilization.</w:t>
      </w:r>
    </w:p>
    <w:p w:rsidR="00803483" w:rsidRDefault="007B7BCE">
      <w:pPr>
        <w:spacing w:before="200" w:after="40"/>
        <w:jc w:val="center"/>
      </w:pPr>
      <w:r>
        <w:rPr>
          <w:noProof/>
          <w:lang w:bidi="mr-IN"/>
        </w:rPr>
        <w:drawing>
          <wp:inline distT="0" distB="0" distL="0" distR="0">
            <wp:extent cx="5486400" cy="30621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ock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240"/>
        <w:jc w:val="center"/>
      </w:pPr>
      <w:r>
        <w:rPr>
          <w:rFonts w:ascii="Inter" w:hAnsi="Inter"/>
          <w:i/>
          <w:color w:val="6B7280"/>
          <w:sz w:val="17"/>
        </w:rPr>
        <w:t>Figure 4.1 — Aravanta CloudOS Unified Web Dashboard Mockup</w:t>
      </w:r>
    </w:p>
    <w:p w:rsidR="007B7BCE" w:rsidRDefault="007B7BCE">
      <w:pPr>
        <w:rPr>
          <w:rFonts w:ascii="Inter" w:hAnsi="Inter" w:hint="eastAsia"/>
          <w:b/>
          <w:color w:val="0F2038"/>
          <w:sz w:val="28"/>
        </w:rPr>
      </w:pPr>
      <w:r>
        <w:rPr>
          <w:rFonts w:ascii="Inter" w:hAnsi="Inter" w:hint="eastAsia"/>
          <w:b/>
          <w:color w:val="0F2038"/>
          <w:sz w:val="28"/>
        </w:rPr>
        <w:br w:type="page"/>
      </w: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lastRenderedPageBreak/>
        <w:t xml:space="preserve">4.2 </w:t>
      </w:r>
      <w:r>
        <w:rPr>
          <w:rFonts w:ascii="Inter" w:hAnsi="Inter"/>
          <w:b/>
          <w:color w:val="0F2038"/>
          <w:sz w:val="28"/>
        </w:rPr>
        <w:t>Continuous Integration &amp; Deployment (CI/CD)</w:t>
      </w:r>
    </w:p>
    <w:p w:rsidR="00803483" w:rsidRDefault="007B7BCE" w:rsidP="007B7BCE">
      <w:pPr>
        <w:spacing w:after="0"/>
      </w:pPr>
      <w:r>
        <w:rPr>
          <w:rFonts w:ascii="Inter" w:hAnsi="Inter"/>
          <w:color w:val="374151"/>
          <w:sz w:val="20"/>
        </w:rPr>
        <w:t>Automated deployment pipelines connect Git commits directly to staging and production Kubernetes environments.</w:t>
      </w:r>
    </w:p>
    <w:p w:rsidR="00803483" w:rsidRDefault="007B7BCE">
      <w:pPr>
        <w:spacing w:before="200" w:after="40"/>
        <w:jc w:val="center"/>
      </w:pPr>
      <w:r>
        <w:rPr>
          <w:noProof/>
          <w:lang w:bidi="mr-IN"/>
        </w:rPr>
        <w:drawing>
          <wp:inline distT="0" distB="0" distL="0" distR="0">
            <wp:extent cx="5486400" cy="30621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d_pipelin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240"/>
        <w:jc w:val="center"/>
      </w:pPr>
      <w:r>
        <w:rPr>
          <w:rFonts w:ascii="Inter" w:hAnsi="Inter"/>
          <w:i/>
          <w:color w:val="6B7280"/>
          <w:sz w:val="17"/>
        </w:rPr>
        <w:t>Figure 4.2 — Continuous Integration &amp; Continuous Deployment (CI/CD) Workflow</w:t>
      </w: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 xml:space="preserve">4.3 Infrastructure as </w:t>
      </w:r>
      <w:r>
        <w:rPr>
          <w:rFonts w:ascii="Inter" w:hAnsi="Inter"/>
          <w:b/>
          <w:color w:val="0F2038"/>
          <w:sz w:val="28"/>
        </w:rPr>
        <w:t>Code (IaC) Engine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Native integration with Terraform allows users to define infrastructure declaratively, review plan outputs, apply changes safely, and detect configuration drift automatically.</w:t>
      </w: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Chapter 05 — Technology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880"/>
        <w:gridCol w:w="4320"/>
      </w:tblGrid>
      <w:tr w:rsidR="00803483" w:rsidTr="007B7BCE">
        <w:tc>
          <w:tcPr>
            <w:tcW w:w="216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Tier</w:t>
            </w:r>
          </w:p>
        </w:tc>
        <w:tc>
          <w:tcPr>
            <w:tcW w:w="288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Technology</w:t>
            </w:r>
          </w:p>
        </w:tc>
        <w:tc>
          <w:tcPr>
            <w:tcW w:w="4320" w:type="dxa"/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Role &amp; Rationale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Frontend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React 18 + TypeScript + Tailwind CSS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Modern, type-safe, responsive user interface with component reuse.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Backend API</w:t>
            </w:r>
          </w:p>
        </w:tc>
        <w:tc>
          <w:tcPr>
            <w:tcW w:w="288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Python 3.11 + FastAPI</w:t>
            </w:r>
          </w:p>
        </w:tc>
        <w:tc>
          <w:tcPr>
            <w:tcW w:w="432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High-performance async REST APIs with auto-generated OpenAPI documentation.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Database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 xml:space="preserve">PostgreSQL 15 + </w:t>
            </w:r>
            <w:r>
              <w:rPr>
                <w:rFonts w:ascii="Inter" w:hAnsi="Inter"/>
                <w:color w:val="374151"/>
                <w:sz w:val="17"/>
              </w:rPr>
              <w:t>Redis 7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ACID transactional relational storage combined with fast in-memory caching.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Orchestration</w:t>
            </w:r>
          </w:p>
        </w:tc>
        <w:tc>
          <w:tcPr>
            <w:tcW w:w="288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Docker + Kubernetes + Helm</w:t>
            </w:r>
          </w:p>
        </w:tc>
        <w:tc>
          <w:tcPr>
            <w:tcW w:w="432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Standard container execution, cluster orchestration, and package management.</w:t>
            </w:r>
          </w:p>
        </w:tc>
      </w:tr>
      <w:tr w:rsidR="00803483" w:rsidTr="007B7BCE"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Infrastructure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Terraform + AWS/Cloud SDKs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Declarative IaC for multi-environment cloud resource management.</w:t>
            </w:r>
          </w:p>
        </w:tc>
      </w:tr>
      <w:tr w:rsidR="00803483" w:rsidTr="007B7BCE">
        <w:tc>
          <w:tcPr>
            <w:tcW w:w="21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Monitoring</w:t>
            </w:r>
          </w:p>
        </w:tc>
        <w:tc>
          <w:tcPr>
            <w:tcW w:w="288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Prometheus + Grafana + Loki</w:t>
            </w:r>
          </w:p>
        </w:tc>
        <w:tc>
          <w:tcPr>
            <w:tcW w:w="432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03483" w:rsidRDefault="007B7BCE" w:rsidP="007B7BCE">
            <w:pPr>
              <w:spacing w:after="0"/>
            </w:pPr>
            <w:r>
              <w:rPr>
                <w:rFonts w:ascii="Inter" w:hAnsi="Inter"/>
                <w:color w:val="374151"/>
                <w:sz w:val="17"/>
              </w:rPr>
              <w:t>Complete observability pillar stack for metrics, logs, and alerting.</w:t>
            </w:r>
          </w:p>
        </w:tc>
      </w:tr>
    </w:tbl>
    <w:p w:rsidR="007B7BCE" w:rsidRDefault="007B7BCE" w:rsidP="007B7BCE">
      <w:pPr>
        <w:pBdr>
          <w:bottom w:val="single" w:sz="12" w:space="4" w:color="C9A84C"/>
        </w:pBdr>
        <w:spacing w:before="480" w:after="0"/>
        <w:rPr>
          <w:rFonts w:ascii="Inter" w:hAnsi="Inter" w:hint="eastAsia"/>
          <w:b/>
          <w:color w:val="0A1628"/>
          <w:sz w:val="40"/>
        </w:rPr>
      </w:pP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 w:rsidP="007B7BCE">
      <w:pPr>
        <w:pBdr>
          <w:bottom w:val="single" w:sz="12" w:space="4" w:color="C9A84C"/>
        </w:pBdr>
        <w:spacing w:before="480" w:after="0"/>
      </w:pPr>
      <w:r>
        <w:rPr>
          <w:rFonts w:ascii="Inter" w:hAnsi="Inter"/>
          <w:b/>
          <w:color w:val="0A1628"/>
          <w:sz w:val="40"/>
        </w:rPr>
        <w:lastRenderedPageBreak/>
        <w:t>Chapter 06 — API Reference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Aravanta CloudOS exposes RESTful endpoints secured via</w:t>
      </w:r>
      <w:r>
        <w:rPr>
          <w:rFonts w:ascii="Inter" w:hAnsi="Inter"/>
          <w:color w:val="374151"/>
          <w:sz w:val="20"/>
        </w:rPr>
        <w:t xml:space="preserve"> JWT bearer tokens.</w:t>
      </w: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>6.1 Authentication Endpoints</w:t>
      </w:r>
    </w:p>
    <w:tbl>
      <w:tblPr>
        <w:tblW w:w="0" w:type="auto"/>
        <w:jc w:val="center"/>
        <w:tblLook w:val="04A0"/>
      </w:tblPr>
      <w:tblGrid>
        <w:gridCol w:w="9360"/>
      </w:tblGrid>
      <w:tr w:rsidR="00803483">
        <w:trPr>
          <w:jc w:val="center"/>
        </w:trPr>
        <w:tc>
          <w:tcPr>
            <w:tcW w:w="9360" w:type="dxa"/>
            <w:shd w:val="clear" w:color="auto" w:fill="0A162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3483" w:rsidRDefault="007B7BCE"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POST /api/v1/auth/login</w:t>
            </w:r>
            <w:r>
              <w:rPr>
                <w:rFonts w:ascii="Consolas" w:hAnsi="Consolas"/>
                <w:color w:val="E2E8F0"/>
                <w:sz w:val="17"/>
              </w:rPr>
              <w:br/>
              <w:t>POST /api/v1/auth/register</w:t>
            </w:r>
            <w:r>
              <w:rPr>
                <w:rFonts w:ascii="Consolas" w:hAnsi="Consolas"/>
                <w:color w:val="E2E8F0"/>
                <w:sz w:val="17"/>
              </w:rPr>
              <w:br/>
              <w:t>POST /api/v1/auth/mfa/verify</w:t>
            </w:r>
          </w:p>
        </w:tc>
      </w:tr>
    </w:tbl>
    <w:p w:rsidR="00803483" w:rsidRDefault="00803483">
      <w:pPr>
        <w:spacing w:after="120"/>
      </w:pPr>
    </w:p>
    <w:p w:rsidR="00803483" w:rsidRDefault="007B7BCE">
      <w:pPr>
        <w:spacing w:before="320" w:after="120"/>
      </w:pPr>
      <w:r>
        <w:rPr>
          <w:rFonts w:ascii="Inter" w:hAnsi="Inter"/>
          <w:b/>
          <w:color w:val="0F2038"/>
          <w:sz w:val="28"/>
        </w:rPr>
        <w:t>6.2 Compute &amp; Cluster Provisioning Endpoints</w:t>
      </w:r>
    </w:p>
    <w:tbl>
      <w:tblPr>
        <w:tblW w:w="0" w:type="auto"/>
        <w:jc w:val="center"/>
        <w:tblLook w:val="04A0"/>
      </w:tblPr>
      <w:tblGrid>
        <w:gridCol w:w="9360"/>
      </w:tblGrid>
      <w:tr w:rsidR="00803483">
        <w:trPr>
          <w:jc w:val="center"/>
        </w:trPr>
        <w:tc>
          <w:tcPr>
            <w:tcW w:w="9360" w:type="dxa"/>
            <w:shd w:val="clear" w:color="auto" w:fill="0A162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3483" w:rsidRDefault="007B7BCE"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GET    /api/v1/compute/instances</w:t>
            </w:r>
            <w:r>
              <w:rPr>
                <w:rFonts w:ascii="Consolas" w:hAnsi="Consolas"/>
                <w:color w:val="E2E8F0"/>
                <w:sz w:val="17"/>
              </w:rPr>
              <w:br/>
              <w:t>POST   /api/v1/compute/instances</w:t>
            </w:r>
            <w:r>
              <w:rPr>
                <w:rFonts w:ascii="Consolas" w:hAnsi="Consolas"/>
                <w:color w:val="E2E8F0"/>
                <w:sz w:val="17"/>
              </w:rPr>
              <w:br/>
              <w:t>DELETE /api/v1</w:t>
            </w:r>
            <w:r>
              <w:rPr>
                <w:rFonts w:ascii="Consolas" w:hAnsi="Consolas"/>
                <w:color w:val="E2E8F0"/>
                <w:sz w:val="17"/>
              </w:rPr>
              <w:t>/compute/instances/{id}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GET    /api/v1/kubernetes/clusters</w:t>
            </w:r>
            <w:r>
              <w:rPr>
                <w:rFonts w:ascii="Consolas" w:hAnsi="Consolas"/>
                <w:color w:val="E2E8F0"/>
                <w:sz w:val="17"/>
              </w:rPr>
              <w:br/>
              <w:t>POST   /api/v1/kubernetes/clusters</w:t>
            </w:r>
            <w:r>
              <w:rPr>
                <w:rFonts w:ascii="Consolas" w:hAnsi="Consolas"/>
                <w:color w:val="E2E8F0"/>
                <w:sz w:val="17"/>
              </w:rPr>
              <w:br/>
              <w:t>GET    /api/v1/kubernetes/clusters/{id}/pods</w:t>
            </w:r>
          </w:p>
        </w:tc>
      </w:tr>
    </w:tbl>
    <w:p w:rsidR="00803483" w:rsidRDefault="00803483">
      <w:pPr>
        <w:spacing w:after="120"/>
      </w:pP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t>Chapter 07 — Deployment &amp; Monorepo Structure</w:t>
      </w:r>
    </w:p>
    <w:tbl>
      <w:tblPr>
        <w:tblW w:w="0" w:type="auto"/>
        <w:jc w:val="center"/>
        <w:tblLook w:val="04A0"/>
      </w:tblPr>
      <w:tblGrid>
        <w:gridCol w:w="9360"/>
      </w:tblGrid>
      <w:tr w:rsidR="00803483">
        <w:trPr>
          <w:jc w:val="center"/>
        </w:trPr>
        <w:tc>
          <w:tcPr>
            <w:tcW w:w="9360" w:type="dxa"/>
            <w:shd w:val="clear" w:color="auto" w:fill="0A162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3483" w:rsidRDefault="007B7BCE"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aravanta-cloudos/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├── frontend/             # React + TypeScript Web </w:t>
            </w:r>
            <w:r>
              <w:rPr>
                <w:rFonts w:ascii="Consolas" w:hAnsi="Consolas"/>
                <w:color w:val="E2E8F0"/>
                <w:sz w:val="17"/>
              </w:rPr>
              <w:t>Application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backend/              # FastAPI Python Microservices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terraform/            # Infrastructure Provisioning Modules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kubernetes/           # K8s Manifests &amp; Helm Charts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docker/               # Docker Compose for Local Development</w:t>
            </w:r>
            <w:r>
              <w:rPr>
                <w:rFonts w:ascii="Consolas" w:hAnsi="Consolas"/>
                <w:color w:val="E2E8F0"/>
                <w:sz w:val="17"/>
              </w:rPr>
              <w:br/>
              <w:t>├─</w:t>
            </w:r>
            <w:r>
              <w:rPr>
                <w:rFonts w:ascii="Consolas" w:hAnsi="Consolas"/>
                <w:color w:val="E2E8F0"/>
                <w:sz w:val="17"/>
              </w:rPr>
              <w:t>─ monitoring/           # Prometheus, Grafana, Loki Configs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nginx/                # API Gateway Reverse Proxy Rules</w:t>
            </w:r>
            <w:r>
              <w:rPr>
                <w:rFonts w:ascii="Consolas" w:hAnsi="Consolas"/>
                <w:color w:val="E2E8F0"/>
                <w:sz w:val="17"/>
              </w:rPr>
              <w:br/>
              <w:t>├── scripts/              # Automated Setup &amp; Seed Scripts</w:t>
            </w:r>
            <w:r>
              <w:rPr>
                <w:rFonts w:ascii="Consolas" w:hAnsi="Consolas"/>
                <w:color w:val="E2E8F0"/>
                <w:sz w:val="17"/>
              </w:rPr>
              <w:br/>
              <w:t>└── .github/workflows/    # CI/CD Pipeline Definitions</w:t>
            </w:r>
          </w:p>
        </w:tc>
      </w:tr>
    </w:tbl>
    <w:p w:rsidR="00803483" w:rsidRDefault="00803483">
      <w:pPr>
        <w:spacing w:after="120"/>
      </w:pP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Chapter 08 — Monitor</w:t>
      </w:r>
      <w:r>
        <w:rPr>
          <w:rFonts w:ascii="Inter" w:hAnsi="Inter"/>
          <w:b/>
          <w:color w:val="0A1628"/>
          <w:sz w:val="40"/>
        </w:rPr>
        <w:t>ing &amp; Observability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Observability is built directly into every layer of Aravanta CloudOS using Prometheus metrics, Loki log streams, and Jaeger distributed traces.</w:t>
      </w:r>
    </w:p>
    <w:p w:rsidR="00803483" w:rsidRDefault="007B7BCE">
      <w:pPr>
        <w:spacing w:before="200" w:after="40"/>
        <w:jc w:val="center"/>
      </w:pPr>
      <w:r>
        <w:rPr>
          <w:noProof/>
          <w:lang w:bidi="mr-IN"/>
        </w:rPr>
        <w:drawing>
          <wp:inline distT="0" distB="0" distL="0" distR="0">
            <wp:extent cx="5486400" cy="30621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ing_sta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240"/>
        <w:jc w:val="center"/>
      </w:pPr>
      <w:r>
        <w:rPr>
          <w:rFonts w:ascii="Inter" w:hAnsi="Inter"/>
          <w:i/>
          <w:color w:val="6B7280"/>
          <w:sz w:val="17"/>
        </w:rPr>
        <w:t>Figure 8.1 — ArvWatch Observability &amp; Alerting Stack</w:t>
      </w: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Chapter 09 — Security Architecture</w:t>
      </w:r>
    </w:p>
    <w:p w:rsidR="00803483" w:rsidRDefault="007B7BCE">
      <w:pPr>
        <w:spacing w:after="120"/>
      </w:pPr>
      <w:r>
        <w:rPr>
          <w:rFonts w:ascii="Inter" w:hAnsi="Inter"/>
          <w:color w:val="374151"/>
          <w:sz w:val="20"/>
        </w:rPr>
        <w:t>The platform enforces a defense-in-depth model across network, application, and data layers.</w:t>
      </w:r>
    </w:p>
    <w:p w:rsidR="00803483" w:rsidRDefault="007B7BCE">
      <w:pPr>
        <w:spacing w:before="200" w:after="40"/>
        <w:jc w:val="center"/>
      </w:pPr>
      <w:r>
        <w:rPr>
          <w:noProof/>
          <w:lang w:bidi="mr-IN"/>
        </w:rPr>
        <w:drawing>
          <wp:inline distT="0" distB="0" distL="0" distR="0">
            <wp:extent cx="5486400" cy="30621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_architectu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83" w:rsidRDefault="007B7BCE">
      <w:pPr>
        <w:spacing w:after="240"/>
        <w:jc w:val="center"/>
      </w:pPr>
      <w:r>
        <w:rPr>
          <w:rFonts w:ascii="Inter" w:hAnsi="Inter"/>
          <w:i/>
          <w:color w:val="6B7280"/>
          <w:sz w:val="17"/>
        </w:rPr>
        <w:t>Figure 9.1 — Defense-in-Depth Security Layers</w:t>
      </w:r>
    </w:p>
    <w:p w:rsidR="007B7BCE" w:rsidRDefault="007B7BCE">
      <w:pPr>
        <w:rPr>
          <w:rFonts w:ascii="Inter" w:hAnsi="Inter" w:hint="eastAsia"/>
          <w:b/>
          <w:color w:val="0A1628"/>
          <w:sz w:val="40"/>
        </w:rPr>
      </w:pPr>
      <w:r>
        <w:rPr>
          <w:rFonts w:ascii="Inter" w:hAnsi="Inter" w:hint="eastAsia"/>
          <w:b/>
          <w:color w:val="0A1628"/>
          <w:sz w:val="40"/>
        </w:rPr>
        <w:br w:type="page"/>
      </w:r>
    </w:p>
    <w:p w:rsidR="00803483" w:rsidRDefault="007B7BCE">
      <w:pPr>
        <w:pBdr>
          <w:bottom w:val="single" w:sz="12" w:space="4" w:color="C9A84C"/>
        </w:pBdr>
        <w:spacing w:before="480" w:after="160"/>
      </w:pPr>
      <w:r>
        <w:rPr>
          <w:rFonts w:ascii="Inter" w:hAnsi="Inter"/>
          <w:b/>
          <w:color w:val="0A1628"/>
          <w:sz w:val="40"/>
        </w:rPr>
        <w:lastRenderedPageBreak/>
        <w:t>Chapter 10 — Roadmap &amp; Resume Overview</w:t>
      </w:r>
    </w:p>
    <w:tbl>
      <w:tblPr>
        <w:tblW w:w="0" w:type="auto"/>
        <w:jc w:val="center"/>
        <w:tblLook w:val="04A0"/>
      </w:tblPr>
      <w:tblGrid>
        <w:gridCol w:w="9360"/>
      </w:tblGrid>
      <w:tr w:rsidR="00803483">
        <w:trPr>
          <w:jc w:val="center"/>
        </w:trPr>
        <w:tc>
          <w:tcPr>
            <w:tcW w:w="9360" w:type="dxa"/>
            <w:tcBorders>
              <w:left w:val="single" w:sz="36" w:space="0" w:color="3B82F6"/>
            </w:tcBorders>
            <w:shd w:val="clear" w:color="auto" w:fill="EBF5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03483" w:rsidRDefault="007B7BCE">
            <w:pPr>
              <w:spacing w:before="40" w:after="80"/>
            </w:pPr>
            <w:r>
              <w:rPr>
                <w:rFonts w:ascii="Inter" w:hAnsi="Inter"/>
                <w:b/>
                <w:color w:val="0A1628"/>
                <w:sz w:val="20"/>
              </w:rPr>
              <w:t>💼</w:t>
            </w:r>
            <w:r>
              <w:rPr>
                <w:rFonts w:ascii="Inter" w:hAnsi="Inter"/>
                <w:b/>
                <w:color w:val="0A1628"/>
                <w:sz w:val="20"/>
              </w:rPr>
              <w:t xml:space="preserve"> PORTFOLIO &amp; RESUME SUMMARY</w:t>
            </w:r>
            <w:r>
              <w:rPr>
                <w:rFonts w:ascii="Inter" w:hAnsi="Inter"/>
                <w:b/>
                <w:color w:val="0A1628"/>
                <w:sz w:val="20"/>
              </w:rPr>
              <w:br/>
            </w:r>
            <w:r>
              <w:rPr>
                <w:rFonts w:ascii="Inter" w:hAnsi="Inter"/>
                <w:color w:val="374151"/>
                <w:sz w:val="19"/>
              </w:rPr>
              <w:t>Aravanta CloudOS — A production-style cloud op</w:t>
            </w:r>
            <w:r>
              <w:rPr>
                <w:rFonts w:ascii="Inter" w:hAnsi="Inter"/>
                <w:color w:val="374151"/>
                <w:sz w:val="19"/>
              </w:rPr>
              <w:t>erating platform built with Python, React, Docker, Kubernetes, Terraform, and AWS/Cloud infrastructure. Provides secure authentication (JWT/MFA/RBAC), infrastructure provisioning (ArvCompute), managed Kubernetes orchestration (ArvKube), private container r</w:t>
            </w:r>
            <w:r>
              <w:rPr>
                <w:rFonts w:ascii="Inter" w:hAnsi="Inter"/>
                <w:color w:val="374151"/>
                <w:sz w:val="19"/>
              </w:rPr>
              <w:t>egistry (ArvRegistry), object storage (ArvStore), database management (ArvDB), observability (ArvWatch), and CI/CD automation through a unified web interface.</w:t>
            </w:r>
          </w:p>
        </w:tc>
      </w:tr>
    </w:tbl>
    <w:p w:rsidR="00803483" w:rsidRDefault="00803483">
      <w:pPr>
        <w:spacing w:after="120"/>
      </w:pPr>
    </w:p>
    <w:sectPr w:rsidR="0080348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B7BCE"/>
    <w:rsid w:val="00803483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B7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B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</cp:lastModifiedBy>
  <cp:revision>2</cp:revision>
  <dcterms:created xsi:type="dcterms:W3CDTF">2013-12-23T23:15:00Z</dcterms:created>
  <dcterms:modified xsi:type="dcterms:W3CDTF">2026-07-31T15:05:00Z</dcterms:modified>
  <cp:category/>
</cp:coreProperties>
</file>