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320"/>
        <w:jc w:val="center"/>
      </w:pPr>
      <w:r>
        <w:drawing>
          <wp:inline xmlns:a="http://schemas.openxmlformats.org/drawingml/2006/main" xmlns:pic="http://schemas.openxmlformats.org/drawingml/2006/picture">
            <wp:extent cx="1828800" cy="1800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828800" cy="1800000"/>
                    </a:xfrm>
                    <a:prstGeom prst="rect"/>
                  </pic:spPr>
                </pic:pic>
              </a:graphicData>
            </a:graphic>
          </wp:inline>
        </w:drawing>
      </w:r>
    </w:p>
    <w:p>
      <w:pPr>
        <w:spacing w:before="160" w:after="40" w:line="240" w:lineRule="auto"/>
        <w:jc w:val="center"/>
      </w:pPr>
      <w:r>
        <w:rPr>
          <w:rFonts w:ascii="Calibri" w:hAnsi="Calibri"/>
          <w:b/>
          <w:i w:val="0"/>
          <w:color w:val="B98B3B"/>
          <w:sz w:val="64"/>
          <w:rFonts w:eastAsia="Calibri" w:cs="Calibri"/>
        </w:rPr>
        <w:t>ARAVANTA CLOUD OS</w:t>
      </w:r>
    </w:p>
    <w:tbl>
      <w:tblPr>
        <w:tblW w:type="auto" w:w="0"/>
        <w:jc w:val="center"/>
        <w:tblLook w:firstColumn="1" w:firstRow="1" w:lastColumn="0" w:lastRow="0" w:noHBand="0" w:noVBand="1" w:val="04A0"/>
      </w:tblPr>
      <w:tblGrid>
        <w:gridCol w:w="9360"/>
      </w:tblGrid>
      <w:tr>
        <w:trPr>
          <w:trHeight w:val="40" w:hRule="exact"/>
        </w:trPr>
        <w:tc>
          <w:tcPr>
            <w:tcW w:type="dxa" w:w="9412"/>
            <w:shd w:fill="B98B3B" w:val="clear"/>
          </w:tcPr>
          <w:p>
            <w:pPr>
              <w:spacing w:before="0" w:after="0"/>
            </w:pPr>
            <w:r>
              <w:rPr>
                <w:sz w:val="2"/>
              </w:rPr>
            </w:r>
          </w:p>
        </w:tc>
      </w:tr>
    </w:tbl>
    <w:p>
      <w:pPr>
        <w:spacing w:before="200" w:after="80" w:line="240" w:lineRule="auto"/>
        <w:jc w:val="center"/>
      </w:pPr>
      <w:r>
        <w:rPr>
          <w:rFonts w:ascii="Calibri" w:hAnsi="Calibri"/>
          <w:b/>
          <w:i w:val="0"/>
          <w:color w:val="334155"/>
          <w:sz w:val="36"/>
          <w:rFonts w:eastAsia="Calibri" w:cs="Calibri"/>
        </w:rPr>
        <w:t>Product &amp; Vision Report</w:t>
      </w:r>
    </w:p>
    <w:p>
      <w:pPr>
        <w:spacing w:before="0" w:after="600" w:line="240" w:lineRule="auto"/>
        <w:jc w:val="center"/>
      </w:pPr>
      <w:r>
        <w:rPr>
          <w:rFonts w:ascii="Calibri" w:hAnsi="Calibri"/>
          <w:b w:val="0"/>
          <w:i w:val="0"/>
          <w:color w:val="64748B"/>
          <w:sz w:val="26"/>
          <w:rFonts w:eastAsia="Calibri" w:cs="Calibri"/>
        </w:rPr>
        <w:t>A Product by Aravanta Tech</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7"/>
        <w:gridCol w:w="3137"/>
        <w:gridCol w:w="3137"/>
      </w:tblGrid>
      <w:tr>
        <w:tc>
          <w:tcPr>
            <w:tcW w:type="dxa" w:w="3137"/>
          </w:tcPr>
          <w:p>
            <w:pPr>
              <w:jc w:val="center"/>
            </w:pPr>
            <w:r/>
            <w:r>
              <w:rPr>
                <w:rFonts w:ascii="Calibri" w:hAnsi="Calibri"/>
                <w:color w:val="64748B"/>
                <w:sz w:val="18"/>
              </w:rPr>
              <w:t xml:space="preserve">Version:  </w:t>
            </w:r>
            <w:r>
              <w:rPr>
                <w:rFonts w:ascii="Calibri" w:hAnsi="Calibri"/>
                <w:b/>
                <w:color w:val="B98B3B"/>
                <w:sz w:val="18"/>
              </w:rPr>
              <w:t>v1.0</w:t>
            </w:r>
          </w:p>
        </w:tc>
        <w:tc>
          <w:tcPr>
            <w:tcW w:type="dxa" w:w="3137"/>
          </w:tcPr>
          <w:p>
            <w:pPr>
              <w:jc w:val="center"/>
            </w:pPr>
            <w:r/>
            <w:r>
              <w:rPr>
                <w:rFonts w:ascii="Calibri" w:hAnsi="Calibri"/>
                <w:color w:val="64748B"/>
                <w:sz w:val="18"/>
              </w:rPr>
              <w:t xml:space="preserve">Date:  </w:t>
            </w:r>
            <w:r>
              <w:rPr>
                <w:rFonts w:ascii="Calibri" w:hAnsi="Calibri"/>
                <w:b/>
                <w:color w:val="B98B3B"/>
                <w:sz w:val="18"/>
              </w:rPr>
              <w:t>September 12, 2026</w:t>
            </w:r>
          </w:p>
        </w:tc>
        <w:tc>
          <w:tcPr>
            <w:tcW w:type="dxa" w:w="3137"/>
          </w:tcPr>
          <w:p>
            <w:pPr>
              <w:jc w:val="center"/>
            </w:pPr>
            <w:r/>
            <w:r>
              <w:rPr>
                <w:rFonts w:ascii="Calibri" w:hAnsi="Calibri"/>
                <w:color w:val="64748B"/>
                <w:sz w:val="18"/>
              </w:rPr>
              <w:t xml:space="preserve">Classification:  </w:t>
            </w:r>
            <w:r>
              <w:rPr>
                <w:rFonts w:ascii="Calibri" w:hAnsi="Calibri"/>
                <w:b/>
                <w:color w:val="B98B3B"/>
                <w:sz w:val="18"/>
              </w:rPr>
              <w:t>Internal / Investor Use</w:t>
            </w:r>
          </w:p>
        </w:tc>
      </w:tr>
    </w:tbl>
    <w:p>
      <w:pPr>
        <w:spacing w:after="400"/>
      </w:pPr>
    </w:p>
    <w:tbl>
      <w:tblPr>
        <w:tblW w:type="auto" w:w="0"/>
        <w:jc w:val="center"/>
        <w:tblLook w:firstColumn="1" w:firstRow="1" w:lastColumn="0" w:lastRow="0" w:noHBand="0" w:noVBand="1" w:val="04A0"/>
      </w:tblPr>
      <w:tblGrid>
        <w:gridCol w:w="9412"/>
      </w:tblGrid>
      <w:tr>
        <w:tc>
          <w:tcPr>
            <w:tcW w:type="dxa" w:w="9412"/>
            <w:shd w:fill="B98B3B" w:val="clear"/>
          </w:tcPr>
          <w:p>
            <w:pPr>
              <w:spacing w:before="200" w:after="200"/>
              <w:jc w:val="center"/>
            </w:pPr>
            <w:r>
              <w:rPr>
                <w:rFonts w:ascii="Calibri" w:hAnsi="Calibri"/>
                <w:b/>
                <w:color w:val="FFFFFF"/>
                <w:sz w:val="22"/>
              </w:rPr>
              <w:t>The Unified Multi-Cloud Operating System</w:t>
            </w:r>
          </w:p>
        </w:tc>
      </w:tr>
    </w:tbl>
    <w:p>
      <w:r>
        <w:br w:type="page"/>
      </w:r>
    </w:p>
    <w:p>
      <w:pPr>
        <w:pStyle w:val="Heading1"/>
        <w:spacing w:before="480" w:after="160"/>
      </w:pPr>
      <w:r>
        <w:rPr>
          <w:rFonts w:ascii="Calibri" w:hAnsi="Calibri"/>
          <w:color w:val="B98B3B"/>
          <w:sz w:val="40"/>
          <w:rFonts w:eastAsia="Calibri" w:cs="Calibri"/>
        </w:rPr>
        <w:t>Table of Contents</w:t>
      </w:r>
    </w:p>
    <w:tbl>
      <w:tblPr>
        <w:tblW w:type="auto" w:w="0"/>
        <w:jc w:val="center"/>
        <w:tblLook w:firstColumn="1" w:firstRow="1" w:lastColumn="0" w:lastRow="0" w:noHBand="0" w:noVBand="1" w:val="04A0"/>
      </w:tblPr>
      <w:tblGrid>
        <w:gridCol w:w="9360"/>
      </w:tblGrid>
      <w:tr>
        <w:trPr>
          <w:trHeight w:val="40" w:hRule="exact"/>
        </w:trPr>
        <w:tc>
          <w:tcPr>
            <w:tcW w:type="dxa" w:w="9412"/>
            <w:shd w:fill="B98B3B" w:val="clear"/>
          </w:tcPr>
          <w:p>
            <w:pPr>
              <w:spacing w:before="0" w:after="0"/>
            </w:pPr>
            <w:r>
              <w:rPr>
                <w:sz w:val="2"/>
              </w:rPr>
            </w:r>
          </w:p>
        </w:tc>
      </w:tr>
    </w:tbl>
    <w:p>
      <w:pPr>
        <w:spacing w:after="80"/>
      </w:pPr>
    </w:p>
    <w:p>
      <w:pPr>
        <w:spacing w:before="40" w:after="120" w:line="240" w:lineRule="auto"/>
      </w:pPr>
      <w:r>
        <w:rPr>
          <w:rFonts w:ascii="Calibri" w:hAnsi="Calibri"/>
          <w:b w:val="0"/>
          <w:i w:val="0"/>
          <w:color w:val="334155"/>
          <w:sz w:val="22"/>
          <w:rFonts w:eastAsia="Calibri" w:cs="Calibri"/>
        </w:rPr>
        <w:t>1.   Executive Summary</w:t>
      </w:r>
    </w:p>
    <w:p>
      <w:pPr>
        <w:spacing w:before="40" w:after="120" w:line="240" w:lineRule="auto"/>
      </w:pPr>
      <w:r>
        <w:rPr>
          <w:rFonts w:ascii="Calibri" w:hAnsi="Calibri"/>
          <w:b w:val="0"/>
          <w:i w:val="0"/>
          <w:color w:val="334155"/>
          <w:sz w:val="22"/>
          <w:rFonts w:eastAsia="Calibri" w:cs="Calibri"/>
        </w:rPr>
        <w:t>2.   About Aravanta Tech</w:t>
      </w:r>
    </w:p>
    <w:p>
      <w:pPr>
        <w:spacing w:before="40" w:after="120" w:line="240" w:lineRule="auto"/>
      </w:pPr>
      <w:r>
        <w:rPr>
          <w:rFonts w:ascii="Calibri" w:hAnsi="Calibri"/>
          <w:b w:val="0"/>
          <w:i w:val="0"/>
          <w:color w:val="334155"/>
          <w:sz w:val="22"/>
          <w:rFonts w:eastAsia="Calibri" w:cs="Calibri"/>
        </w:rPr>
        <w:t>3.   Why Aravanta Cloud OS</w:t>
      </w:r>
    </w:p>
    <w:p>
      <w:pPr>
        <w:spacing w:before="40" w:after="120" w:line="240" w:lineRule="auto"/>
      </w:pPr>
      <w:r>
        <w:rPr>
          <w:rFonts w:ascii="Calibri" w:hAnsi="Calibri"/>
          <w:b w:val="0"/>
          <w:i w:val="0"/>
          <w:color w:val="334155"/>
          <w:sz w:val="22"/>
          <w:rFonts w:eastAsia="Calibri" w:cs="Calibri"/>
        </w:rPr>
        <w:t>4.   Unique Services &amp; Offerings</w:t>
      </w:r>
    </w:p>
    <w:p>
      <w:pPr>
        <w:spacing w:before="40" w:after="120" w:line="240" w:lineRule="auto"/>
      </w:pPr>
      <w:r>
        <w:rPr>
          <w:rFonts w:ascii="Calibri" w:hAnsi="Calibri"/>
          <w:b w:val="0"/>
          <w:i w:val="0"/>
          <w:color w:val="334155"/>
          <w:sz w:val="22"/>
          <w:rFonts w:eastAsia="Calibri" w:cs="Calibri"/>
        </w:rPr>
        <w:t>5.   Market Gap Analysis</w:t>
      </w:r>
    </w:p>
    <w:p>
      <w:pPr>
        <w:spacing w:before="40" w:after="120" w:line="240" w:lineRule="auto"/>
      </w:pPr>
      <w:r>
        <w:rPr>
          <w:rFonts w:ascii="Calibri" w:hAnsi="Calibri"/>
          <w:b w:val="0"/>
          <w:i w:val="0"/>
          <w:color w:val="334155"/>
          <w:sz w:val="22"/>
          <w:rFonts w:eastAsia="Calibri" w:cs="Calibri"/>
        </w:rPr>
        <w:t>6.   Vision &amp; Mission</w:t>
      </w:r>
    </w:p>
    <w:p>
      <w:pPr>
        <w:spacing w:before="40" w:after="120" w:line="240" w:lineRule="auto"/>
      </w:pPr>
      <w:r>
        <w:rPr>
          <w:rFonts w:ascii="Calibri" w:hAnsi="Calibri"/>
          <w:b w:val="0"/>
          <w:i w:val="0"/>
          <w:color w:val="334155"/>
          <w:sz w:val="22"/>
          <w:rFonts w:eastAsia="Calibri" w:cs="Calibri"/>
        </w:rPr>
        <w:t>7.   Product Architecture Overview</w:t>
      </w:r>
    </w:p>
    <w:p>
      <w:pPr>
        <w:spacing w:before="40" w:after="120" w:line="240" w:lineRule="auto"/>
      </w:pPr>
      <w:r>
        <w:rPr>
          <w:rFonts w:ascii="Calibri" w:hAnsi="Calibri"/>
          <w:b w:val="0"/>
          <w:i w:val="0"/>
          <w:color w:val="334155"/>
          <w:sz w:val="22"/>
          <w:rFonts w:eastAsia="Calibri" w:cs="Calibri"/>
        </w:rPr>
        <w:t>8.   Roadmap &amp; Next Steps</w:t>
      </w:r>
    </w:p>
    <w:p>
      <w:pPr>
        <w:spacing w:before="40" w:after="120" w:line="240" w:lineRule="auto"/>
      </w:pPr>
      <w:r>
        <w:rPr>
          <w:rFonts w:ascii="Calibri" w:hAnsi="Calibri"/>
          <w:b w:val="0"/>
          <w:i w:val="0"/>
          <w:color w:val="334155"/>
          <w:sz w:val="22"/>
          <w:rFonts w:eastAsia="Calibri" w:cs="Calibri"/>
        </w:rPr>
        <w:t>9.   Target Companies &amp; Segments</w:t>
      </w:r>
    </w:p>
    <w:p>
      <w:pPr>
        <w:spacing w:before="40" w:after="120" w:line="240" w:lineRule="auto"/>
      </w:pPr>
      <w:r>
        <w:rPr>
          <w:rFonts w:ascii="Calibri" w:hAnsi="Calibri"/>
          <w:b w:val="0"/>
          <w:i w:val="0"/>
          <w:color w:val="334155"/>
          <w:sz w:val="22"/>
          <w:rFonts w:eastAsia="Calibri" w:cs="Calibri"/>
        </w:rPr>
        <w:t>10. Growth &amp; Scaling Strategy</w:t>
      </w:r>
    </w:p>
    <w:p>
      <w:pPr>
        <w:spacing w:before="40" w:after="120" w:line="240" w:lineRule="auto"/>
      </w:pPr>
      <w:r>
        <w:rPr>
          <w:rFonts w:ascii="Calibri" w:hAnsi="Calibri"/>
          <w:b w:val="0"/>
          <w:i w:val="0"/>
          <w:color w:val="334155"/>
          <w:sz w:val="22"/>
          <w:rFonts w:eastAsia="Calibri" w:cs="Calibri"/>
        </w:rPr>
        <w:t>11. Closing &amp; Call to Action</w:t>
      </w:r>
    </w:p>
    <w:p>
      <w:pPr>
        <w:spacing w:before="240" w:after="240" w:line="240" w:lineRule="auto"/>
      </w:pPr>
      <w:r>
        <w:rPr>
          <w:rFonts w:ascii="Calibri" w:hAnsi="Calibri"/>
          <w:b w:val="0"/>
          <w:i/>
          <w:color w:val="94A3B8"/>
          <w:sz w:val="18"/>
          <w:rFonts w:eastAsia="Calibri" w:cs="Calibri"/>
        </w:rPr>
        <w:t>(In Microsoft Word: References &gt; Table of Contents to generate page numbers)</w:t>
      </w:r>
    </w:p>
    <w:p>
      <w:r>
        <w:br w:type="page"/>
      </w:r>
    </w:p>
    <w:p>
      <w:pPr>
        <w:pStyle w:val="Heading1"/>
        <w:spacing w:before="480" w:after="160"/>
      </w:pPr>
      <w:r>
        <w:rPr>
          <w:rFonts w:ascii="Calibri" w:hAnsi="Calibri"/>
          <w:color w:val="B98B3B"/>
          <w:sz w:val="40"/>
          <w:rFonts w:eastAsia="Calibri" w:cs="Calibri"/>
        </w:rPr>
        <w:t>1. Executive Summary</w:t>
      </w:r>
    </w:p>
    <w:tbl>
      <w:tblPr>
        <w:tblW w:type="auto" w:w="0"/>
        <w:jc w:val="center"/>
        <w:tblLook w:firstColumn="1" w:firstRow="1" w:lastColumn="0" w:lastRow="0" w:noHBand="0" w:noVBand="1" w:val="04A0"/>
      </w:tblPr>
      <w:tblGrid>
        <w:gridCol w:w="9360"/>
      </w:tblGrid>
      <w:tr>
        <w:trPr>
          <w:trHeight w:val="40" w:hRule="exact"/>
        </w:trPr>
        <w:tc>
          <w:tcPr>
            <w:tcW w:type="dxa" w:w="9412"/>
            <w:shd w:fill="B98B3B" w:val="clear"/>
          </w:tcPr>
          <w:p>
            <w:pPr>
              <w:spacing w:before="0" w:after="0"/>
            </w:pPr>
            <w:r>
              <w:rPr>
                <w:sz w:val="2"/>
              </w:rPr>
            </w:r>
          </w:p>
        </w:tc>
      </w:tr>
    </w:tbl>
    <w:p>
      <w:pPr>
        <w:spacing w:after="80"/>
      </w:pPr>
    </w:p>
    <w:p>
      <w:pPr>
        <w:spacing w:before="0" w:after="200" w:line="240" w:lineRule="auto"/>
      </w:pPr>
      <w:r>
        <w:rPr>
          <w:rFonts w:ascii="Calibri" w:hAnsi="Calibri"/>
          <w:b w:val="0"/>
          <w:i w:val="0"/>
          <w:color w:val="1A1B1A"/>
          <w:sz w:val="21"/>
          <w:rFonts w:eastAsia="Calibri" w:cs="Calibri"/>
        </w:rPr>
        <w:t>Aravanta Cloud OS is a unified multi-cloud operating system built by Aravanta Tech to solve the critical fragmentation plaguing modern cloud infrastructure. Today, engineering teams juggle 5-10 disconnected tools across compute, networking, storage, monitoring, CI/CD, and security -- leading to operational blind spots, slow incident response, and vendor lock-in.</w:t>
      </w:r>
    </w:p>
    <w:p>
      <w:pPr>
        <w:spacing w:before="0" w:after="280" w:line="240" w:lineRule="auto"/>
      </w:pPr>
      <w:r>
        <w:rPr>
          <w:rFonts w:ascii="Calibri" w:hAnsi="Calibri"/>
          <w:b w:val="0"/>
          <w:i w:val="0"/>
          <w:color w:val="1A1B1A"/>
          <w:sz w:val="21"/>
          <w:rFonts w:eastAsia="Calibri" w:cs="Calibri"/>
        </w:rPr>
        <w:t>Aravanta Cloud OS consolidates the entire cloud lifecycle -- from declarative infrastructure provisioning and GitOps delivery pipelines to sub-second telemetry streaming, intelligent alert triage, and automated incident recovery -- into a single, sovereign control plane.</w:t>
      </w:r>
    </w:p>
    <w:p>
      <w:pPr>
        <w:spacing w:before="80" w:after="160" w:line="240" w:lineRule="auto"/>
      </w:pPr>
      <w:r>
        <w:rPr>
          <w:rFonts w:ascii="Calibri" w:hAnsi="Calibri"/>
          <w:b/>
          <w:i w:val="0"/>
          <w:color w:val="B98B3B"/>
          <w:sz w:val="22"/>
          <w:rFonts w:eastAsia="Calibri" w:cs="Calibri"/>
        </w:rPr>
        <w:t>KEY HIGHLIGHTS</w:t>
      </w:r>
    </w:p>
    <w:p>
      <w:pPr>
        <w:spacing w:before="40" w:after="60" w:line="240" w:lineRule="auto"/>
        <w:ind w:left="576" w:hanging="288"/>
      </w:pPr>
      <w:r>
        <w:rPr>
          <w:rFonts w:ascii="Calibri" w:hAnsi="Calibri"/>
          <w:color w:val="1A1B1A"/>
          <w:sz w:val="20"/>
        </w:rPr>
        <w:t>•  99.99% Uptime SLA with multi-region redundancy across 5 global data centers</w:t>
      </w:r>
    </w:p>
    <w:p>
      <w:pPr>
        <w:spacing w:before="40" w:after="60" w:line="240" w:lineRule="auto"/>
        <w:ind w:left="576" w:hanging="288"/>
      </w:pPr>
      <w:r>
        <w:rPr>
          <w:rFonts w:ascii="Calibri" w:hAnsi="Calibri"/>
          <w:color w:val="1A1B1A"/>
          <w:sz w:val="20"/>
        </w:rPr>
        <w:t>•  Sub-10ms telemetry latency with Prometheus, Loki, and OpenTelemetry native integration</w:t>
      </w:r>
    </w:p>
    <w:p>
      <w:pPr>
        <w:spacing w:before="40" w:after="60" w:line="240" w:lineRule="auto"/>
        <w:ind w:left="576" w:hanging="288"/>
      </w:pPr>
      <w:r>
        <w:rPr>
          <w:rFonts w:ascii="Calibri" w:hAnsi="Calibri"/>
          <w:color w:val="1A1B1A"/>
          <w:sz w:val="20"/>
        </w:rPr>
        <w:t>•  100+ cloud integrations including Kubernetes, Docker, Terraform, AWS, GCP, and more</w:t>
      </w:r>
    </w:p>
    <w:p>
      <w:pPr>
        <w:spacing w:before="40" w:after="60" w:line="240" w:lineRule="auto"/>
        <w:ind w:left="576" w:hanging="288"/>
      </w:pPr>
      <w:r>
        <w:rPr>
          <w:rFonts w:ascii="Calibri" w:hAnsi="Calibri"/>
          <w:color w:val="1A1B1A"/>
          <w:sz w:val="20"/>
        </w:rPr>
        <w:t>•  SOC 2 Type II enterprise-ready with 5-tier RBAC, TOTP MFA, and 365-day audit trails</w:t>
      </w:r>
    </w:p>
    <w:p>
      <w:pPr>
        <w:spacing w:before="40" w:after="60" w:line="240" w:lineRule="auto"/>
        <w:ind w:left="576" w:hanging="288"/>
      </w:pPr>
      <w:r>
        <w:rPr>
          <w:rFonts w:ascii="Calibri" w:hAnsi="Calibri"/>
          <w:color w:val="1A1B1A"/>
          <w:sz w:val="20"/>
        </w:rPr>
        <w:t>•  Zero vendor lock-in with open standards and portable infrastructure definitions</w:t>
      </w:r>
    </w:p>
    <w:p>
      <w:pPr>
        <w:spacing w:before="40" w:after="60" w:line="240" w:lineRule="auto"/>
        <w:ind w:left="576" w:hanging="288"/>
      </w:pPr>
      <w:r>
        <w:rPr>
          <w:rFonts w:ascii="Calibri" w:hAnsi="Calibri"/>
          <w:color w:val="1A1B1A"/>
          <w:sz w:val="20"/>
        </w:rPr>
        <w:t>•  72% reduction in Mean Time to Recovery (MTTR) through 120+ automated incident runbooks</w:t>
      </w:r>
    </w:p>
    <w:p>
      <w:pPr>
        <w:spacing w:before="40" w:after="60" w:line="240" w:lineRule="auto"/>
        <w:ind w:left="576" w:hanging="288"/>
      </w:pPr>
      <w:r>
        <w:rPr>
          <w:rFonts w:ascii="Calibri" w:hAnsi="Calibri"/>
          <w:color w:val="1A1B1A"/>
          <w:sz w:val="20"/>
        </w:rPr>
        <w:t>•  Transparent FinOps with per-second billing in INR and USD, GST-compliant invoicing</w:t>
      </w:r>
    </w:p>
    <w:p>
      <w:r>
        <w:br w:type="page"/>
      </w:r>
    </w:p>
    <w:p>
      <w:pPr>
        <w:pStyle w:val="Heading1"/>
        <w:spacing w:before="480" w:after="160"/>
      </w:pPr>
      <w:r>
        <w:rPr>
          <w:rFonts w:ascii="Calibri" w:hAnsi="Calibri"/>
          <w:color w:val="B98B3B"/>
          <w:sz w:val="40"/>
          <w:rFonts w:eastAsia="Calibri" w:cs="Calibri"/>
        </w:rPr>
        <w:t>2. About Aravanta Tech</w:t>
      </w:r>
    </w:p>
    <w:tbl>
      <w:tblPr>
        <w:tblW w:type="auto" w:w="0"/>
        <w:jc w:val="center"/>
        <w:tblLook w:firstColumn="1" w:firstRow="1" w:lastColumn="0" w:lastRow="0" w:noHBand="0" w:noVBand="1" w:val="04A0"/>
      </w:tblPr>
      <w:tblGrid>
        <w:gridCol w:w="9360"/>
      </w:tblGrid>
      <w:tr>
        <w:trPr>
          <w:trHeight w:val="40" w:hRule="exact"/>
        </w:trPr>
        <w:tc>
          <w:tcPr>
            <w:tcW w:type="dxa" w:w="9412"/>
            <w:shd w:fill="B98B3B" w:val="clear"/>
          </w:tcPr>
          <w:p>
            <w:pPr>
              <w:spacing w:before="0" w:after="0"/>
            </w:pPr>
            <w:r>
              <w:rPr>
                <w:sz w:val="2"/>
              </w:rPr>
            </w:r>
          </w:p>
        </w:tc>
      </w:tr>
    </w:tbl>
    <w:p>
      <w:pPr>
        <w:spacing w:after="80"/>
      </w:pPr>
    </w:p>
    <w:p>
      <w:pPr>
        <w:spacing w:before="0" w:after="160" w:line="240" w:lineRule="auto"/>
      </w:pPr>
      <w:r>
        <w:rPr>
          <w:rFonts w:ascii="Calibri" w:hAnsi="Calibri"/>
          <w:b w:val="0"/>
          <w:i w:val="0"/>
          <w:color w:val="1A1B1A"/>
          <w:sz w:val="21"/>
          <w:rFonts w:eastAsia="Calibri" w:cs="Calibri"/>
        </w:rPr>
        <w:t>Aravanta Tech (Aravanta Technologies / Aravanta CloudOS Inc.) is a next-generation cloud technology company founded with the conviction that cloud infrastructure should be elegant, unified, and accessible to every engineering team -- regardless of scale. The word "Aravanta" draws from Sanskrit, signifying infinite potential and boundless horizons.</w:t>
      </w:r>
    </w:p>
    <w:p>
      <w:pPr>
        <w:spacing w:before="0" w:after="80" w:line="240" w:lineRule="auto"/>
      </w:pPr>
      <w:r>
        <w:rPr>
          <w:rFonts w:ascii="Calibri" w:hAnsi="Calibri"/>
          <w:b w:val="0"/>
          <w:i w:val="0"/>
          <w:color w:val="64748B"/>
          <w:sz w:val="19"/>
          <w:rFonts w:eastAsia="Calibri" w:cs="Calibri"/>
        </w:rPr>
        <w:t>Headquartered at HSR Layout, Bengaluru 560102, Karnataka, India with a registered office in Mumbai, Maharashtra 400001.</w:t>
      </w:r>
    </w:p>
    <w:p>
      <w:pPr>
        <w:spacing w:before="0" w:after="280" w:line="240" w:lineRule="auto"/>
      </w:pPr>
      <w:r>
        <w:rPr>
          <w:rFonts w:ascii="Calibri" w:hAnsi="Calibri"/>
          <w:b w:val="0"/>
          <w:i w:val="0"/>
          <w:color w:val="64748B"/>
          <w:sz w:val="19"/>
          <w:rFonts w:eastAsia="Calibri" w:cs="Calibri"/>
        </w:rPr>
        <w:t>CIN: U72200MH2026PTC000001   |   GSTIN: 27AAAAA0000A1Z5   |   SAC Code: 998313</w:t>
      </w:r>
    </w:p>
    <w:p>
      <w:pPr>
        <w:pStyle w:val="Heading2"/>
        <w:spacing w:before="320" w:after="160"/>
      </w:pPr>
      <w:r>
        <w:rPr>
          <w:rFonts w:ascii="Calibri" w:hAnsi="Calibri"/>
          <w:color w:val="9E742E"/>
          <w:sz w:val="28"/>
          <w:rFonts w:eastAsia="Calibri" w:cs="Calibri"/>
        </w:rPr>
        <w:t>Founding Philosophy</w:t>
      </w:r>
    </w:p>
    <w:p>
      <w:pPr>
        <w:spacing w:before="80" w:after="160" w:line="240" w:lineRule="auto"/>
      </w:pPr>
      <w:r>
        <w:rPr>
          <w:rFonts w:ascii="Calibri" w:hAnsi="Calibri"/>
          <w:b/>
          <w:color w:val="B98B3B"/>
          <w:sz w:val="21"/>
          <w:rFonts w:eastAsia="Calibri" w:cs="Calibri"/>
        </w:rPr>
        <w:t>Unified by Design</w:t>
      </w:r>
      <w:r>
        <w:rPr>
          <w:rFonts w:ascii="Calibri" w:hAnsi="Calibri"/>
          <w:b w:val="0"/>
          <w:color w:val="1A1B1A"/>
          <w:sz w:val="20"/>
          <w:rFonts w:eastAsia="Calibri" w:cs="Calibri"/>
        </w:rPr>
        <w:t xml:space="preserve">  --  Infrastructure, delivery, monitoring, and security belong in one platform -- not scattered across dozens of disconnected tools.</w:t>
      </w:r>
    </w:p>
    <w:p>
      <w:pPr>
        <w:spacing w:before="80" w:after="160" w:line="240" w:lineRule="auto"/>
      </w:pPr>
      <w:r>
        <w:rPr>
          <w:rFonts w:ascii="Calibri" w:hAnsi="Calibri"/>
          <w:b/>
          <w:color w:val="B98B3B"/>
          <w:sz w:val="21"/>
          <w:rFonts w:eastAsia="Calibri" w:cs="Calibri"/>
        </w:rPr>
        <w:t>Developer-First</w:t>
      </w:r>
      <w:r>
        <w:rPr>
          <w:rFonts w:ascii="Calibri" w:hAnsi="Calibri"/>
          <w:b w:val="0"/>
          <w:color w:val="1A1B1A"/>
          <w:sz w:val="20"/>
          <w:rFonts w:eastAsia="Calibri" w:cs="Calibri"/>
        </w:rPr>
        <w:t xml:space="preserve">  --  Every feature ships with CLI, SDK, REST API, and Terraform provider support. If it cannot be scripted, it should not exist.</w:t>
      </w:r>
    </w:p>
    <w:p>
      <w:pPr>
        <w:spacing w:before="80" w:after="160" w:line="240" w:lineRule="auto"/>
      </w:pPr>
      <w:r>
        <w:rPr>
          <w:rFonts w:ascii="Calibri" w:hAnsi="Calibri"/>
          <w:b/>
          <w:color w:val="B98B3B"/>
          <w:sz w:val="21"/>
          <w:rFonts w:eastAsia="Calibri" w:cs="Calibri"/>
        </w:rPr>
        <w:t>Zero Lock-In</w:t>
      </w:r>
      <w:r>
        <w:rPr>
          <w:rFonts w:ascii="Calibri" w:hAnsi="Calibri"/>
          <w:b w:val="0"/>
          <w:color w:val="1A1B1A"/>
          <w:sz w:val="20"/>
          <w:rFonts w:eastAsia="Calibri" w:cs="Calibri"/>
        </w:rPr>
        <w:t xml:space="preserve">  --  Open standards, portable configurations, and multi-cloud orchestration ensure customers own their infrastructure completely.</w:t>
      </w:r>
    </w:p>
    <w:p>
      <w:pPr>
        <w:spacing w:before="80" w:after="160" w:line="240" w:lineRule="auto"/>
      </w:pPr>
      <w:r>
        <w:rPr>
          <w:rFonts w:ascii="Calibri" w:hAnsi="Calibri"/>
          <w:b/>
          <w:color w:val="B98B3B"/>
          <w:sz w:val="21"/>
          <w:rFonts w:eastAsia="Calibri" w:cs="Calibri"/>
        </w:rPr>
        <w:t>Enterprise-Grade Security</w:t>
      </w:r>
      <w:r>
        <w:rPr>
          <w:rFonts w:ascii="Calibri" w:hAnsi="Calibri"/>
          <w:b w:val="0"/>
          <w:color w:val="1A1B1A"/>
          <w:sz w:val="20"/>
          <w:rFonts w:eastAsia="Calibri" w:cs="Calibri"/>
        </w:rPr>
        <w:t xml:space="preserve">  --  SOC 2 Type II compliance, RBAC, MFA, and immutable audit logging are foundational -- not bolt-on afterthoughts.</w:t>
      </w:r>
    </w:p>
    <w:p>
      <w:pPr>
        <w:pStyle w:val="Heading2"/>
        <w:spacing w:before="320" w:after="160"/>
      </w:pPr>
      <w:r>
        <w:rPr>
          <w:rFonts w:ascii="Calibri" w:hAnsi="Calibri"/>
          <w:color w:val="9E742E"/>
          <w:sz w:val="28"/>
          <w:rFonts w:eastAsia="Calibri" w:cs="Calibri"/>
        </w:rPr>
        <w:t>Core Focus Areas</w:t>
      </w:r>
    </w:p>
    <w:tbl>
      <w:tblPr>
        <w:tblStyle w:val="TableGrid"/>
        <w:tblW w:type="auto" w:w="0"/>
        <w:jc w:val="center"/>
        <w:tblLook w:firstColumn="1" w:firstRow="1" w:lastColumn="0" w:lastRow="0" w:noHBand="0" w:noVBand="1" w:val="04A0"/>
      </w:tblPr>
      <w:tblGrid>
        <w:gridCol w:w="4706"/>
        <w:gridCol w:w="4706"/>
      </w:tblGrid>
      <w:tr>
        <w:tc>
          <w:tcPr>
            <w:tcW w:type="dxa" w:w="2880"/>
            <w:shd w:fill="B98B3B" w:val="clear"/>
            <w:vAlign w:val="center"/>
          </w:tcPr>
          <w:p>
            <w:pPr>
              <w:spacing w:before="100" w:after="100"/>
              <w:jc w:val="left"/>
            </w:pPr>
            <w:r/>
            <w:r>
              <w:rPr>
                <w:rFonts w:ascii="Calibri" w:hAnsi="Calibri"/>
                <w:b/>
                <w:color w:val="FFFFFF"/>
                <w:sz w:val="18"/>
              </w:rPr>
              <w:t>Focus Area</w:t>
            </w:r>
          </w:p>
        </w:tc>
        <w:tc>
          <w:tcPr>
            <w:tcW w:type="dxa" w:w="6912"/>
            <w:shd w:fill="B98B3B" w:val="clear"/>
            <w:vAlign w:val="center"/>
          </w:tcPr>
          <w:p>
            <w:pPr>
              <w:spacing w:before="100" w:after="100"/>
              <w:jc w:val="left"/>
            </w:pPr>
            <w:r/>
            <w:r>
              <w:rPr>
                <w:rFonts w:ascii="Calibri" w:hAnsi="Calibri"/>
                <w:b/>
                <w:color w:val="FFFFFF"/>
                <w:sz w:val="18"/>
              </w:rPr>
              <w:t>Description</w:t>
            </w:r>
          </w:p>
        </w:tc>
      </w:tr>
      <w:tr>
        <w:tc>
          <w:tcPr>
            <w:tcW w:type="dxa" w:w="2880"/>
            <w:shd w:fill="FFFFFF" w:val="clear"/>
            <w:vAlign w:val="top"/>
          </w:tcPr>
          <w:p>
            <w:pPr>
              <w:spacing w:before="80" w:after="80" w:line="240" w:lineRule="auto"/>
              <w:jc w:val="left"/>
            </w:pPr>
            <w:r/>
            <w:r>
              <w:rPr>
                <w:rFonts w:ascii="Calibri" w:hAnsi="Calibri"/>
                <w:color w:val="1A1B1A"/>
                <w:sz w:val="17"/>
              </w:rPr>
              <w:t>Cloud Infrastructure</w:t>
            </w:r>
          </w:p>
        </w:tc>
        <w:tc>
          <w:tcPr>
            <w:tcW w:type="dxa" w:w="6912"/>
            <w:shd w:fill="FFFFFF" w:val="clear"/>
            <w:vAlign w:val="top"/>
          </w:tcPr>
          <w:p>
            <w:pPr>
              <w:spacing w:before="80" w:after="80" w:line="240" w:lineRule="auto"/>
              <w:jc w:val="left"/>
            </w:pPr>
            <w:r/>
            <w:r>
              <w:rPr>
                <w:rFonts w:ascii="Calibri" w:hAnsi="Calibri"/>
                <w:color w:val="1A1B1A"/>
                <w:sz w:val="17"/>
              </w:rPr>
              <w:t>Compute, Kubernetes, object storage, databases across multi-cloud environments</w:t>
            </w:r>
          </w:p>
        </w:tc>
      </w:tr>
      <w:tr>
        <w:tc>
          <w:tcPr>
            <w:tcW w:type="dxa" w:w="2880"/>
            <w:shd w:fill="F8FAFC" w:val="clear"/>
            <w:vAlign w:val="top"/>
          </w:tcPr>
          <w:p>
            <w:pPr>
              <w:spacing w:before="80" w:after="80" w:line="240" w:lineRule="auto"/>
              <w:jc w:val="left"/>
            </w:pPr>
            <w:r/>
            <w:r>
              <w:rPr>
                <w:rFonts w:ascii="Calibri" w:hAnsi="Calibri"/>
                <w:color w:val="1A1B1A"/>
                <w:sz w:val="17"/>
              </w:rPr>
              <w:t>DevOps &amp; GitOps</w:t>
            </w:r>
          </w:p>
        </w:tc>
        <w:tc>
          <w:tcPr>
            <w:tcW w:type="dxa" w:w="6912"/>
            <w:shd w:fill="F8FAFC" w:val="clear"/>
            <w:vAlign w:val="top"/>
          </w:tcPr>
          <w:p>
            <w:pPr>
              <w:spacing w:before="80" w:after="80" w:line="240" w:lineRule="auto"/>
              <w:jc w:val="left"/>
            </w:pPr>
            <w:r/>
            <w:r>
              <w:rPr>
                <w:rFonts w:ascii="Calibri" w:hAnsi="Calibri"/>
                <w:color w:val="1A1B1A"/>
                <w:sz w:val="17"/>
              </w:rPr>
              <w:t>CI/CD pipelines with rolling, canary, and blue/green deployment strategies</w:t>
            </w:r>
          </w:p>
        </w:tc>
      </w:tr>
      <w:tr>
        <w:tc>
          <w:tcPr>
            <w:tcW w:type="dxa" w:w="2880"/>
            <w:shd w:fill="FFFFFF" w:val="clear"/>
            <w:vAlign w:val="top"/>
          </w:tcPr>
          <w:p>
            <w:pPr>
              <w:spacing w:before="80" w:after="80" w:line="240" w:lineRule="auto"/>
              <w:jc w:val="left"/>
            </w:pPr>
            <w:r/>
            <w:r>
              <w:rPr>
                <w:rFonts w:ascii="Calibri" w:hAnsi="Calibri"/>
                <w:color w:val="1A1B1A"/>
                <w:sz w:val="17"/>
              </w:rPr>
              <w:t>SRE &amp; Observability</w:t>
            </w:r>
          </w:p>
        </w:tc>
        <w:tc>
          <w:tcPr>
            <w:tcW w:type="dxa" w:w="6912"/>
            <w:shd w:fill="FFFFFF" w:val="clear"/>
            <w:vAlign w:val="top"/>
          </w:tcPr>
          <w:p>
            <w:pPr>
              <w:spacing w:before="80" w:after="80" w:line="240" w:lineRule="auto"/>
              <w:jc w:val="left"/>
            </w:pPr>
            <w:r/>
            <w:r>
              <w:rPr>
                <w:rFonts w:ascii="Calibri" w:hAnsi="Calibri"/>
                <w:color w:val="1A1B1A"/>
                <w:sz w:val="17"/>
              </w:rPr>
              <w:t>Metrics, logging, tracing, SLO tracking, and intelligent alert management</w:t>
            </w:r>
          </w:p>
        </w:tc>
      </w:tr>
      <w:tr>
        <w:tc>
          <w:tcPr>
            <w:tcW w:type="dxa" w:w="2880"/>
            <w:shd w:fill="F8FAFC" w:val="clear"/>
            <w:vAlign w:val="top"/>
          </w:tcPr>
          <w:p>
            <w:pPr>
              <w:spacing w:before="80" w:after="80" w:line="240" w:lineRule="auto"/>
              <w:jc w:val="left"/>
            </w:pPr>
            <w:r/>
            <w:r>
              <w:rPr>
                <w:rFonts w:ascii="Calibri" w:hAnsi="Calibri"/>
                <w:color w:val="1A1B1A"/>
                <w:sz w:val="17"/>
              </w:rPr>
              <w:t>Security &amp; Compliance</w:t>
            </w:r>
          </w:p>
        </w:tc>
        <w:tc>
          <w:tcPr>
            <w:tcW w:type="dxa" w:w="6912"/>
            <w:shd w:fill="F8FAFC" w:val="clear"/>
            <w:vAlign w:val="top"/>
          </w:tcPr>
          <w:p>
            <w:pPr>
              <w:spacing w:before="80" w:after="80" w:line="240" w:lineRule="auto"/>
              <w:jc w:val="left"/>
            </w:pPr>
            <w:r/>
            <w:r>
              <w:rPr>
                <w:rFonts w:ascii="Calibri" w:hAnsi="Calibri"/>
                <w:color w:val="1A1B1A"/>
                <w:sz w:val="17"/>
              </w:rPr>
              <w:t>RBAC, MFA, audit trails, encryption at rest and in transit, SOC 2 Type II</w:t>
            </w:r>
          </w:p>
        </w:tc>
      </w:tr>
      <w:tr>
        <w:tc>
          <w:tcPr>
            <w:tcW w:type="dxa" w:w="2880"/>
            <w:shd w:fill="FFFFFF" w:val="clear"/>
            <w:vAlign w:val="top"/>
          </w:tcPr>
          <w:p>
            <w:pPr>
              <w:spacing w:before="80" w:after="80" w:line="240" w:lineRule="auto"/>
              <w:jc w:val="left"/>
            </w:pPr>
            <w:r/>
            <w:r>
              <w:rPr>
                <w:rFonts w:ascii="Calibri" w:hAnsi="Calibri"/>
                <w:color w:val="1A1B1A"/>
                <w:sz w:val="17"/>
              </w:rPr>
              <w:t>FinOps &amp; Billing</w:t>
            </w:r>
          </w:p>
        </w:tc>
        <w:tc>
          <w:tcPr>
            <w:tcW w:type="dxa" w:w="6912"/>
            <w:shd w:fill="FFFFFF" w:val="clear"/>
            <w:vAlign w:val="top"/>
          </w:tcPr>
          <w:p>
            <w:pPr>
              <w:spacing w:before="80" w:after="80" w:line="240" w:lineRule="auto"/>
              <w:jc w:val="left"/>
            </w:pPr>
            <w:r/>
            <w:r>
              <w:rPr>
                <w:rFonts w:ascii="Calibri" w:hAnsi="Calibri"/>
                <w:color w:val="1A1B1A"/>
                <w:sz w:val="17"/>
              </w:rPr>
              <w:t>Cost tracking, resource optimization, GST-compliant billing transparency per project</w:t>
            </w:r>
          </w:p>
        </w:tc>
      </w:tr>
    </w:tbl>
    <w:p>
      <w:r>
        <w:br w:type="page"/>
      </w:r>
    </w:p>
    <w:p>
      <w:pPr>
        <w:pStyle w:val="Heading1"/>
        <w:spacing w:before="480" w:after="160"/>
      </w:pPr>
      <w:r>
        <w:rPr>
          <w:rFonts w:ascii="Calibri" w:hAnsi="Calibri"/>
          <w:color w:val="B98B3B"/>
          <w:sz w:val="40"/>
          <w:rFonts w:eastAsia="Calibri" w:cs="Calibri"/>
        </w:rPr>
        <w:t>3. Why Aravanta Cloud OS</w:t>
      </w:r>
    </w:p>
    <w:tbl>
      <w:tblPr>
        <w:tblW w:type="auto" w:w="0"/>
        <w:jc w:val="center"/>
        <w:tblLook w:firstColumn="1" w:firstRow="1" w:lastColumn="0" w:lastRow="0" w:noHBand="0" w:noVBand="1" w:val="04A0"/>
      </w:tblPr>
      <w:tblGrid>
        <w:gridCol w:w="9360"/>
      </w:tblGrid>
      <w:tr>
        <w:trPr>
          <w:trHeight w:val="40" w:hRule="exact"/>
        </w:trPr>
        <w:tc>
          <w:tcPr>
            <w:tcW w:type="dxa" w:w="9412"/>
            <w:shd w:fill="B98B3B" w:val="clear"/>
          </w:tcPr>
          <w:p>
            <w:pPr>
              <w:spacing w:before="0" w:after="0"/>
            </w:pPr>
            <w:r>
              <w:rPr>
                <w:sz w:val="2"/>
              </w:rPr>
            </w:r>
          </w:p>
        </w:tc>
      </w:tr>
    </w:tbl>
    <w:p>
      <w:pPr>
        <w:spacing w:after="80"/>
      </w:pPr>
    </w:p>
    <w:p>
      <w:pPr>
        <w:pStyle w:val="Heading2"/>
        <w:spacing w:before="320" w:after="160"/>
      </w:pPr>
      <w:r>
        <w:rPr>
          <w:rFonts w:ascii="Calibri" w:hAnsi="Calibri"/>
          <w:color w:val="9E742E"/>
          <w:sz w:val="28"/>
          <w:rFonts w:eastAsia="Calibri" w:cs="Calibri"/>
        </w:rPr>
        <w:t>The Problem</w:t>
      </w:r>
    </w:p>
    <w:p>
      <w:pPr>
        <w:spacing w:before="0" w:after="160" w:line="240" w:lineRule="auto"/>
      </w:pPr>
      <w:r>
        <w:rPr>
          <w:rFonts w:ascii="Calibri" w:hAnsi="Calibri"/>
          <w:b w:val="0"/>
          <w:i w:val="0"/>
          <w:color w:val="1A1B1A"/>
          <w:sz w:val="21"/>
          <w:rFonts w:eastAsia="Calibri" w:cs="Calibri"/>
        </w:rPr>
        <w:t>Modern cloud engineering teams face a fragmented operational landscape:</w:t>
      </w:r>
    </w:p>
    <w:p>
      <w:pPr>
        <w:spacing w:before="40" w:after="60" w:line="240" w:lineRule="auto"/>
        <w:ind w:left="576" w:hanging="288"/>
      </w:pPr>
      <w:r>
        <w:rPr>
          <w:rFonts w:ascii="Calibri" w:hAnsi="Calibri"/>
          <w:color w:val="1A1B1A"/>
          <w:sz w:val="20"/>
        </w:rPr>
        <w:t>•  Console fatigue: Engineers switch between 5-10 disconnected dashboards daily (AWS Console, Grafana, PagerDuty, ArgoCD, Datadog, etc.)</w:t>
      </w:r>
    </w:p>
    <w:p>
      <w:pPr>
        <w:spacing w:before="40" w:after="60" w:line="240" w:lineRule="auto"/>
        <w:ind w:left="576" w:hanging="288"/>
      </w:pPr>
      <w:r>
        <w:rPr>
          <w:rFonts w:ascii="Calibri" w:hAnsi="Calibri"/>
          <w:color w:val="1A1B1A"/>
          <w:sz w:val="20"/>
        </w:rPr>
        <w:t>•  Vendor lock-in: Proprietary APIs and tooling make migration prohibitively expensive</w:t>
      </w:r>
    </w:p>
    <w:p>
      <w:pPr>
        <w:spacing w:before="40" w:after="60" w:line="240" w:lineRule="auto"/>
        <w:ind w:left="576" w:hanging="288"/>
      </w:pPr>
      <w:r>
        <w:rPr>
          <w:rFonts w:ascii="Calibri" w:hAnsi="Calibri"/>
          <w:color w:val="1A1B1A"/>
          <w:sz w:val="20"/>
        </w:rPr>
        <w:t>•  Slow incident response: Correlating deploy events to latency spikes requires manual log hunting across siloed systems</w:t>
      </w:r>
    </w:p>
    <w:p>
      <w:pPr>
        <w:spacing w:before="40" w:after="60" w:line="240" w:lineRule="auto"/>
        <w:ind w:left="576" w:hanging="288"/>
      </w:pPr>
      <w:r>
        <w:rPr>
          <w:rFonts w:ascii="Calibri" w:hAnsi="Calibri"/>
          <w:color w:val="1A1B1A"/>
          <w:sz w:val="20"/>
        </w:rPr>
        <w:t>•  Security blind spots: RBAC policies fragmented across tools, making audit compliance extremely difficult</w:t>
      </w:r>
    </w:p>
    <w:p>
      <w:pPr>
        <w:spacing w:before="40" w:after="60" w:line="240" w:lineRule="auto"/>
        <w:ind w:left="576" w:hanging="288"/>
      </w:pPr>
      <w:r>
        <w:rPr>
          <w:rFonts w:ascii="Calibri" w:hAnsi="Calibri"/>
          <w:color w:val="1A1B1A"/>
          <w:sz w:val="20"/>
        </w:rPr>
        <w:t>•  Cost opacity: No unified view of resource spending across providers and projects</w:t>
      </w:r>
    </w:p>
    <w:p>
      <w:pPr>
        <w:pStyle w:val="Heading2"/>
        <w:spacing w:before="320" w:after="160"/>
      </w:pPr>
      <w:r>
        <w:rPr>
          <w:rFonts w:ascii="Calibri" w:hAnsi="Calibri"/>
          <w:color w:val="9E742E"/>
          <w:sz w:val="28"/>
          <w:rFonts w:eastAsia="Calibri" w:cs="Calibri"/>
        </w:rPr>
        <w:t>The Origin Story</w:t>
      </w:r>
    </w:p>
    <w:p>
      <w:pPr>
        <w:spacing w:before="0" w:after="240" w:line="240" w:lineRule="auto"/>
      </w:pPr>
      <w:r>
        <w:rPr>
          <w:rFonts w:ascii="Calibri" w:hAnsi="Calibri"/>
          <w:b w:val="0"/>
          <w:i w:val="0"/>
          <w:color w:val="1A1B1A"/>
          <w:sz w:val="21"/>
          <w:rFonts w:eastAsia="Calibri" w:cs="Calibri"/>
        </w:rPr>
        <w:t>Aravanta Cloud OS was born in 2024 when a team of ex-cloud-platform engineers from hyperscaler backgrounds realised they were all solving the same problem independently: unifying compute orchestration, storage provisioning, database lifecycle, and observability across AWS, GCP, Azure, and bare metal. Over 18 months, the founding team built a Kubernetes-native control plane that treats every cloud provider as a pluggable backend. Launched in public beta with 8 core platform services, the system today manages workloads across 5 regions with sub-second telemetry and a 99.98% uptime track record.</w:t>
      </w:r>
    </w:p>
    <w:p>
      <w:pPr>
        <w:pStyle w:val="Heading2"/>
        <w:spacing w:before="320" w:after="160"/>
      </w:pPr>
      <w:r>
        <w:rPr>
          <w:rFonts w:ascii="Calibri" w:hAnsi="Calibri"/>
          <w:color w:val="9E742E"/>
          <w:sz w:val="28"/>
          <w:rFonts w:eastAsia="Calibri" w:cs="Calibri"/>
        </w:rPr>
        <w:t>Problem  --&gt;  Solution  --&gt;  Impact</w:t>
      </w:r>
    </w:p>
    <w:p>
      <w:pPr>
        <w:spacing w:before="120" w:after="120"/>
        <w:jc w:val="center"/>
      </w:pPr>
      <w:r>
        <w:drawing>
          <wp:inline xmlns:a="http://schemas.openxmlformats.org/drawingml/2006/main" xmlns:pic="http://schemas.openxmlformats.org/drawingml/2006/picture">
            <wp:extent cx="5486400" cy="1838211"/>
            <wp:docPr id="2" name="Picture 2"/>
            <wp:cNvGraphicFramePr>
              <a:graphicFrameLocks noChangeAspect="1"/>
            </wp:cNvGraphicFramePr>
            <a:graphic>
              <a:graphicData uri="http://schemas.openxmlformats.org/drawingml/2006/picture">
                <pic:pic>
                  <pic:nvPicPr>
                    <pic:cNvPr id="0" name="problem_solution.png"/>
                    <pic:cNvPicPr/>
                  </pic:nvPicPr>
                  <pic:blipFill>
                    <a:blip r:embed="rId10"/>
                    <a:stretch>
                      <a:fillRect/>
                    </a:stretch>
                  </pic:blipFill>
                  <pic:spPr>
                    <a:xfrm>
                      <a:off x="0" y="0"/>
                      <a:ext cx="5486400" cy="1838211"/>
                    </a:xfrm>
                    <a:prstGeom prst="rect"/>
                  </pic:spPr>
                </pic:pic>
              </a:graphicData>
            </a:graphic>
          </wp:inline>
        </w:drawing>
      </w:r>
    </w:p>
    <w:p>
      <w:r>
        <w:br w:type="page"/>
      </w:r>
    </w:p>
    <w:p>
      <w:pPr>
        <w:pStyle w:val="Heading1"/>
        <w:spacing w:before="480" w:after="160"/>
      </w:pPr>
      <w:r>
        <w:rPr>
          <w:rFonts w:ascii="Calibri" w:hAnsi="Calibri"/>
          <w:color w:val="B98B3B"/>
          <w:sz w:val="40"/>
          <w:rFonts w:eastAsia="Calibri" w:cs="Calibri"/>
        </w:rPr>
        <w:t>4. Unique Services &amp; Offerings</w:t>
      </w:r>
    </w:p>
    <w:tbl>
      <w:tblPr>
        <w:tblW w:type="auto" w:w="0"/>
        <w:jc w:val="center"/>
        <w:tblLook w:firstColumn="1" w:firstRow="1" w:lastColumn="0" w:lastRow="0" w:noHBand="0" w:noVBand="1" w:val="04A0"/>
      </w:tblPr>
      <w:tblGrid>
        <w:gridCol w:w="9360"/>
      </w:tblGrid>
      <w:tr>
        <w:trPr>
          <w:trHeight w:val="40" w:hRule="exact"/>
        </w:trPr>
        <w:tc>
          <w:tcPr>
            <w:tcW w:type="dxa" w:w="9412"/>
            <w:shd w:fill="B98B3B" w:val="clear"/>
          </w:tcPr>
          <w:p>
            <w:pPr>
              <w:spacing w:before="0" w:after="0"/>
            </w:pPr>
            <w:r>
              <w:rPr>
                <w:sz w:val="2"/>
              </w:rPr>
            </w:r>
          </w:p>
        </w:tc>
      </w:tr>
    </w:tbl>
    <w:p>
      <w:pPr>
        <w:spacing w:after="80"/>
      </w:pPr>
    </w:p>
    <w:p>
      <w:pPr>
        <w:spacing w:before="0" w:after="200" w:line="240" w:lineRule="auto"/>
      </w:pPr>
      <w:r>
        <w:rPr>
          <w:rFonts w:ascii="Calibri" w:hAnsi="Calibri"/>
          <w:b w:val="0"/>
          <w:i w:val="0"/>
          <w:color w:val="1A1B1A"/>
          <w:sz w:val="21"/>
          <w:rFonts w:eastAsia="Calibri" w:cs="Calibri"/>
        </w:rPr>
        <w:t>Aravanta Cloud OS provides a comprehensive suite of 10+ cloud infrastructure services, each designed to work seamlessly within the unified control plane:</w:t>
      </w:r>
    </w:p>
    <w:tbl>
      <w:tblPr>
        <w:tblStyle w:val="TableGrid"/>
        <w:tblW w:type="auto" w:w="0"/>
        <w:jc w:val="center"/>
        <w:tblLook w:firstColumn="1" w:firstRow="1" w:lastColumn="0" w:lastRow="0" w:noHBand="0" w:noVBand="1" w:val="04A0"/>
      </w:tblPr>
      <w:tblGrid>
        <w:gridCol w:w="3137"/>
        <w:gridCol w:w="3137"/>
        <w:gridCol w:w="3137"/>
      </w:tblGrid>
      <w:tr>
        <w:tc>
          <w:tcPr>
            <w:tcW w:type="dxa" w:w="1728"/>
            <w:shd w:fill="B98B3B" w:val="clear"/>
            <w:vAlign w:val="center"/>
          </w:tcPr>
          <w:p>
            <w:pPr>
              <w:spacing w:before="100" w:after="100"/>
              <w:jc w:val="left"/>
            </w:pPr>
            <w:r/>
            <w:r>
              <w:rPr>
                <w:rFonts w:ascii="Calibri" w:hAnsi="Calibri"/>
                <w:b/>
                <w:color w:val="FFFFFF"/>
                <w:sz w:val="18"/>
              </w:rPr>
              <w:t>Service</w:t>
            </w:r>
          </w:p>
        </w:tc>
        <w:tc>
          <w:tcPr>
            <w:tcW w:type="dxa" w:w="4608"/>
            <w:shd w:fill="B98B3B" w:val="clear"/>
            <w:vAlign w:val="center"/>
          </w:tcPr>
          <w:p>
            <w:pPr>
              <w:spacing w:before="100" w:after="100"/>
              <w:jc w:val="left"/>
            </w:pPr>
            <w:r/>
            <w:r>
              <w:rPr>
                <w:rFonts w:ascii="Calibri" w:hAnsi="Calibri"/>
                <w:b/>
                <w:color w:val="FFFFFF"/>
                <w:sz w:val="18"/>
              </w:rPr>
              <w:t>Description</w:t>
            </w:r>
          </w:p>
        </w:tc>
        <w:tc>
          <w:tcPr>
            <w:tcW w:type="dxa" w:w="3456"/>
            <w:shd w:fill="B98B3B" w:val="clear"/>
            <w:vAlign w:val="center"/>
          </w:tcPr>
          <w:p>
            <w:pPr>
              <w:spacing w:before="100" w:after="100"/>
              <w:jc w:val="left"/>
            </w:pPr>
            <w:r/>
            <w:r>
              <w:rPr>
                <w:rFonts w:ascii="Calibri" w:hAnsi="Calibri"/>
                <w:b/>
                <w:color w:val="FFFFFF"/>
                <w:sz w:val="18"/>
              </w:rPr>
              <w:t>Key Benefit</w:t>
            </w:r>
          </w:p>
        </w:tc>
      </w:tr>
      <w:tr>
        <w:tc>
          <w:tcPr>
            <w:tcW w:type="dxa" w:w="1728"/>
            <w:shd w:fill="FFFFFF" w:val="clear"/>
            <w:vAlign w:val="top"/>
          </w:tcPr>
          <w:p>
            <w:pPr>
              <w:spacing w:before="80" w:after="80" w:line="240" w:lineRule="auto"/>
              <w:jc w:val="left"/>
            </w:pPr>
            <w:r/>
            <w:r>
              <w:rPr>
                <w:rFonts w:ascii="Calibri" w:hAnsi="Calibri"/>
                <w:color w:val="1A1B1A"/>
                <w:sz w:val="17"/>
              </w:rPr>
              <w:t>ArvCompute</w:t>
            </w:r>
          </w:p>
        </w:tc>
        <w:tc>
          <w:tcPr>
            <w:tcW w:type="dxa" w:w="4608"/>
            <w:shd w:fill="FFFFFF" w:val="clear"/>
            <w:vAlign w:val="top"/>
          </w:tcPr>
          <w:p>
            <w:pPr>
              <w:spacing w:before="80" w:after="80" w:line="240" w:lineRule="auto"/>
              <w:jc w:val="left"/>
            </w:pPr>
            <w:r/>
            <w:r>
              <w:rPr>
                <w:rFonts w:ascii="Calibri" w:hAnsi="Calibri"/>
                <w:color w:val="1A1B1A"/>
                <w:sz w:val="17"/>
              </w:rPr>
              <w:t>80+ VM shapes, AMD EPYC/ARM, NVMe-SSD, live resize, spot pools (72% savings)</w:t>
            </w:r>
          </w:p>
        </w:tc>
        <w:tc>
          <w:tcPr>
            <w:tcW w:type="dxa" w:w="3456"/>
            <w:shd w:fill="FFFFFF" w:val="clear"/>
            <w:vAlign w:val="top"/>
          </w:tcPr>
          <w:p>
            <w:pPr>
              <w:spacing w:before="80" w:after="80" w:line="240" w:lineRule="auto"/>
              <w:jc w:val="left"/>
            </w:pPr>
            <w:r/>
            <w:r>
              <w:rPr>
                <w:rFonts w:ascii="Calibri" w:hAnsi="Calibri"/>
                <w:color w:val="1A1B1A"/>
                <w:sz w:val="17"/>
              </w:rPr>
              <w:t>Instances in &lt;60s, per-second billing</w:t>
            </w:r>
          </w:p>
        </w:tc>
      </w:tr>
      <w:tr>
        <w:tc>
          <w:tcPr>
            <w:tcW w:type="dxa" w:w="1728"/>
            <w:shd w:fill="F8FAFC" w:val="clear"/>
            <w:vAlign w:val="top"/>
          </w:tcPr>
          <w:p>
            <w:pPr>
              <w:spacing w:before="80" w:after="80" w:line="240" w:lineRule="auto"/>
              <w:jc w:val="left"/>
            </w:pPr>
            <w:r/>
            <w:r>
              <w:rPr>
                <w:rFonts w:ascii="Calibri" w:hAnsi="Calibri"/>
                <w:color w:val="1A1B1A"/>
                <w:sz w:val="17"/>
              </w:rPr>
              <w:t>ArvKube</w:t>
            </w:r>
          </w:p>
        </w:tc>
        <w:tc>
          <w:tcPr>
            <w:tcW w:type="dxa" w:w="4608"/>
            <w:shd w:fill="F8FAFC" w:val="clear"/>
            <w:vAlign w:val="top"/>
          </w:tcPr>
          <w:p>
            <w:pPr>
              <w:spacing w:before="80" w:after="80" w:line="240" w:lineRule="auto"/>
              <w:jc w:val="left"/>
            </w:pPr>
            <w:r/>
            <w:r>
              <w:rPr>
                <w:rFonts w:ascii="Calibri" w:hAnsi="Calibri"/>
                <w:color w:val="1A1B1A"/>
                <w:sz w:val="17"/>
              </w:rPr>
              <w:t>Managed K8s v1.27-1.30, 3-node HA etcd, Calico eBPF CNI, OCI registry</w:t>
            </w:r>
          </w:p>
        </w:tc>
        <w:tc>
          <w:tcPr>
            <w:tcW w:type="dxa" w:w="3456"/>
            <w:shd w:fill="F8FAFC" w:val="clear"/>
            <w:vAlign w:val="top"/>
          </w:tcPr>
          <w:p>
            <w:pPr>
              <w:spacing w:before="80" w:after="80" w:line="240" w:lineRule="auto"/>
              <w:jc w:val="left"/>
            </w:pPr>
            <w:r/>
            <w:r>
              <w:rPr>
                <w:rFonts w:ascii="Calibri" w:hAnsi="Calibri"/>
                <w:color w:val="1A1B1A"/>
                <w:sz w:val="17"/>
              </w:rPr>
              <w:t>GitOps with canary/blue-green rollback</w:t>
            </w:r>
          </w:p>
        </w:tc>
      </w:tr>
      <w:tr>
        <w:tc>
          <w:tcPr>
            <w:tcW w:type="dxa" w:w="1728"/>
            <w:shd w:fill="FFFFFF" w:val="clear"/>
            <w:vAlign w:val="top"/>
          </w:tcPr>
          <w:p>
            <w:pPr>
              <w:spacing w:before="80" w:after="80" w:line="240" w:lineRule="auto"/>
              <w:jc w:val="left"/>
            </w:pPr>
            <w:r/>
            <w:r>
              <w:rPr>
                <w:rFonts w:ascii="Calibri" w:hAnsi="Calibri"/>
                <w:color w:val="1A1B1A"/>
                <w:sz w:val="17"/>
              </w:rPr>
              <w:t>ArvStore</w:t>
            </w:r>
          </w:p>
        </w:tc>
        <w:tc>
          <w:tcPr>
            <w:tcW w:type="dxa" w:w="4608"/>
            <w:shd w:fill="FFFFFF" w:val="clear"/>
            <w:vAlign w:val="top"/>
          </w:tcPr>
          <w:p>
            <w:pPr>
              <w:spacing w:before="80" w:after="80" w:line="240" w:lineRule="auto"/>
              <w:jc w:val="left"/>
            </w:pPr>
            <w:r/>
            <w:r>
              <w:rPr>
                <w:rFonts w:ascii="Calibri" w:hAnsi="Calibri"/>
                <w:color w:val="1A1B1A"/>
                <w:sz w:val="17"/>
              </w:rPr>
              <w:t>S3-compatible, Object Lock/WORM, lifecycle tiering, cross-region replication</w:t>
            </w:r>
          </w:p>
        </w:tc>
        <w:tc>
          <w:tcPr>
            <w:tcW w:type="dxa" w:w="3456"/>
            <w:shd w:fill="FFFFFF" w:val="clear"/>
            <w:vAlign w:val="top"/>
          </w:tcPr>
          <w:p>
            <w:pPr>
              <w:spacing w:before="80" w:after="80" w:line="240" w:lineRule="auto"/>
              <w:jc w:val="left"/>
            </w:pPr>
            <w:r/>
            <w:r>
              <w:rPr>
                <w:rFonts w:ascii="Calibri" w:hAnsi="Calibri"/>
                <w:color w:val="1A1B1A"/>
                <w:sz w:val="17"/>
              </w:rPr>
              <w:t>Drop-in S3 API, zero lock-in</w:t>
            </w:r>
          </w:p>
        </w:tc>
      </w:tr>
      <w:tr>
        <w:tc>
          <w:tcPr>
            <w:tcW w:type="dxa" w:w="1728"/>
            <w:shd w:fill="F8FAFC" w:val="clear"/>
            <w:vAlign w:val="top"/>
          </w:tcPr>
          <w:p>
            <w:pPr>
              <w:spacing w:before="80" w:after="80" w:line="240" w:lineRule="auto"/>
              <w:jc w:val="left"/>
            </w:pPr>
            <w:r/>
            <w:r>
              <w:rPr>
                <w:rFonts w:ascii="Calibri" w:hAnsi="Calibri"/>
                <w:color w:val="1A1B1A"/>
                <w:sz w:val="17"/>
              </w:rPr>
              <w:t>ArvDB</w:t>
            </w:r>
          </w:p>
        </w:tc>
        <w:tc>
          <w:tcPr>
            <w:tcW w:type="dxa" w:w="4608"/>
            <w:shd w:fill="F8FAFC" w:val="clear"/>
            <w:vAlign w:val="top"/>
          </w:tcPr>
          <w:p>
            <w:pPr>
              <w:spacing w:before="80" w:after="80" w:line="240" w:lineRule="auto"/>
              <w:jc w:val="left"/>
            </w:pPr>
            <w:r/>
            <w:r>
              <w:rPr>
                <w:rFonts w:ascii="Calibri" w:hAnsi="Calibri"/>
                <w:color w:val="1A1B1A"/>
                <w:sz w:val="17"/>
              </w:rPr>
              <w:t>PostgreSQL 16, MySQL 8, Redis Cluster, ClickHouse, Patroni failover</w:t>
            </w:r>
          </w:p>
        </w:tc>
        <w:tc>
          <w:tcPr>
            <w:tcW w:type="dxa" w:w="3456"/>
            <w:shd w:fill="F8FAFC" w:val="clear"/>
            <w:vAlign w:val="top"/>
          </w:tcPr>
          <w:p>
            <w:pPr>
              <w:spacing w:before="80" w:after="80" w:line="240" w:lineRule="auto"/>
              <w:jc w:val="left"/>
            </w:pPr>
            <w:r/>
            <w:r>
              <w:rPr>
                <w:rFonts w:ascii="Calibri" w:hAnsi="Calibri"/>
                <w:color w:val="1A1B1A"/>
                <w:sz w:val="17"/>
              </w:rPr>
              <w:t>Point-in-time recovery, TLS 1.3</w:t>
            </w:r>
          </w:p>
        </w:tc>
      </w:tr>
      <w:tr>
        <w:tc>
          <w:tcPr>
            <w:tcW w:type="dxa" w:w="1728"/>
            <w:shd w:fill="FFFFFF" w:val="clear"/>
            <w:vAlign w:val="top"/>
          </w:tcPr>
          <w:p>
            <w:pPr>
              <w:spacing w:before="80" w:after="80" w:line="240" w:lineRule="auto"/>
              <w:jc w:val="left"/>
            </w:pPr>
            <w:r/>
            <w:r>
              <w:rPr>
                <w:rFonts w:ascii="Calibri" w:hAnsi="Calibri"/>
                <w:color w:val="1A1B1A"/>
                <w:sz w:val="17"/>
              </w:rPr>
              <w:t>ArvCD</w:t>
            </w:r>
          </w:p>
        </w:tc>
        <w:tc>
          <w:tcPr>
            <w:tcW w:type="dxa" w:w="4608"/>
            <w:shd w:fill="FFFFFF" w:val="clear"/>
            <w:vAlign w:val="top"/>
          </w:tcPr>
          <w:p>
            <w:pPr>
              <w:spacing w:before="80" w:after="80" w:line="240" w:lineRule="auto"/>
              <w:jc w:val="left"/>
            </w:pPr>
            <w:r/>
            <w:r>
              <w:rPr>
                <w:rFonts w:ascii="Calibri" w:hAnsi="Calibri"/>
                <w:color w:val="1A1B1A"/>
                <w:sz w:val="17"/>
              </w:rPr>
              <w:t>GitOps: rolling, canary (25% split), blue/green, container signing</w:t>
            </w:r>
          </w:p>
        </w:tc>
        <w:tc>
          <w:tcPr>
            <w:tcW w:type="dxa" w:w="3456"/>
            <w:shd w:fill="FFFFFF" w:val="clear"/>
            <w:vAlign w:val="top"/>
          </w:tcPr>
          <w:p>
            <w:pPr>
              <w:spacing w:before="80" w:after="80" w:line="240" w:lineRule="auto"/>
              <w:jc w:val="left"/>
            </w:pPr>
            <w:r/>
            <w:r>
              <w:rPr>
                <w:rFonts w:ascii="Calibri" w:hAnsi="Calibri"/>
                <w:color w:val="1A1B1A"/>
                <w:sz w:val="17"/>
              </w:rPr>
              <w:t>Auto-rollback &lt;1.2s on SLO breach</w:t>
            </w:r>
          </w:p>
        </w:tc>
      </w:tr>
      <w:tr>
        <w:tc>
          <w:tcPr>
            <w:tcW w:type="dxa" w:w="1728"/>
            <w:shd w:fill="F8FAFC" w:val="clear"/>
            <w:vAlign w:val="top"/>
          </w:tcPr>
          <w:p>
            <w:pPr>
              <w:spacing w:before="80" w:after="80" w:line="240" w:lineRule="auto"/>
              <w:jc w:val="left"/>
            </w:pPr>
            <w:r/>
            <w:r>
              <w:rPr>
                <w:rFonts w:ascii="Calibri" w:hAnsi="Calibri"/>
                <w:color w:val="1A1B1A"/>
                <w:sz w:val="17"/>
              </w:rPr>
              <w:t>ArvWatch</w:t>
            </w:r>
          </w:p>
        </w:tc>
        <w:tc>
          <w:tcPr>
            <w:tcW w:type="dxa" w:w="4608"/>
            <w:shd w:fill="F8FAFC" w:val="clear"/>
            <w:vAlign w:val="top"/>
          </w:tcPr>
          <w:p>
            <w:pPr>
              <w:spacing w:before="80" w:after="80" w:line="240" w:lineRule="auto"/>
              <w:jc w:val="left"/>
            </w:pPr>
            <w:r/>
            <w:r>
              <w:rPr>
                <w:rFonts w:ascii="Calibri" w:hAnsi="Calibri"/>
                <w:color w:val="1A1B1A"/>
                <w:sz w:val="17"/>
              </w:rPr>
              <w:t>Prometheus (10s scrape), Loki logs, OTEL traces, SLO dashboards</w:t>
            </w:r>
          </w:p>
        </w:tc>
        <w:tc>
          <w:tcPr>
            <w:tcW w:type="dxa" w:w="3456"/>
            <w:shd w:fill="F8FAFC" w:val="clear"/>
            <w:vAlign w:val="top"/>
          </w:tcPr>
          <w:p>
            <w:pPr>
              <w:spacing w:before="80" w:after="80" w:line="240" w:lineRule="auto"/>
              <w:jc w:val="left"/>
            </w:pPr>
            <w:r/>
            <w:r>
              <w:rPr>
                <w:rFonts w:ascii="Calibri" w:hAnsi="Calibri"/>
                <w:color w:val="1A1B1A"/>
                <w:sz w:val="17"/>
              </w:rPr>
              <w:t>Sub-10ms telemetry, 30-day retention</w:t>
            </w:r>
          </w:p>
        </w:tc>
      </w:tr>
      <w:tr>
        <w:tc>
          <w:tcPr>
            <w:tcW w:type="dxa" w:w="1728"/>
            <w:shd w:fill="FFFFFF" w:val="clear"/>
            <w:vAlign w:val="top"/>
          </w:tcPr>
          <w:p>
            <w:pPr>
              <w:spacing w:before="80" w:after="80" w:line="240" w:lineRule="auto"/>
              <w:jc w:val="left"/>
            </w:pPr>
            <w:r/>
            <w:r>
              <w:rPr>
                <w:rFonts w:ascii="Calibri" w:hAnsi="Calibri"/>
                <w:color w:val="1A1B1A"/>
                <w:sz w:val="17"/>
              </w:rPr>
              <w:t>War Room</w:t>
            </w:r>
          </w:p>
        </w:tc>
        <w:tc>
          <w:tcPr>
            <w:tcW w:type="dxa" w:w="4608"/>
            <w:shd w:fill="FFFFFF" w:val="clear"/>
            <w:vAlign w:val="top"/>
          </w:tcPr>
          <w:p>
            <w:pPr>
              <w:spacing w:before="80" w:after="80" w:line="240" w:lineRule="auto"/>
              <w:jc w:val="left"/>
            </w:pPr>
            <w:r/>
            <w:r>
              <w:rPr>
                <w:rFonts w:ascii="Calibri" w:hAnsi="Calibri"/>
                <w:color w:val="1A1B1A"/>
                <w:sz w:val="17"/>
              </w:rPr>
              <w:t>4-stage incident lifecycle, commander, RCA templates, 120+ runbooks</w:t>
            </w:r>
          </w:p>
        </w:tc>
        <w:tc>
          <w:tcPr>
            <w:tcW w:type="dxa" w:w="3456"/>
            <w:shd w:fill="FFFFFF" w:val="clear"/>
            <w:vAlign w:val="top"/>
          </w:tcPr>
          <w:p>
            <w:pPr>
              <w:spacing w:before="80" w:after="80" w:line="240" w:lineRule="auto"/>
              <w:jc w:val="left"/>
            </w:pPr>
            <w:r/>
            <w:r>
              <w:rPr>
                <w:rFonts w:ascii="Calibri" w:hAnsi="Calibri"/>
                <w:color w:val="1A1B1A"/>
                <w:sz w:val="17"/>
              </w:rPr>
              <w:t>72% MTTR reduction</w:t>
            </w:r>
          </w:p>
        </w:tc>
      </w:tr>
      <w:tr>
        <w:tc>
          <w:tcPr>
            <w:tcW w:type="dxa" w:w="1728"/>
            <w:shd w:fill="F8FAFC" w:val="clear"/>
            <w:vAlign w:val="top"/>
          </w:tcPr>
          <w:p>
            <w:pPr>
              <w:spacing w:before="80" w:after="80" w:line="240" w:lineRule="auto"/>
              <w:jc w:val="left"/>
            </w:pPr>
            <w:r/>
            <w:r>
              <w:rPr>
                <w:rFonts w:ascii="Calibri" w:hAnsi="Calibri"/>
                <w:color w:val="1A1B1A"/>
                <w:sz w:val="17"/>
              </w:rPr>
              <w:t>Security</w:t>
            </w:r>
          </w:p>
        </w:tc>
        <w:tc>
          <w:tcPr>
            <w:tcW w:type="dxa" w:w="4608"/>
            <w:shd w:fill="F8FAFC" w:val="clear"/>
            <w:vAlign w:val="top"/>
          </w:tcPr>
          <w:p>
            <w:pPr>
              <w:spacing w:before="80" w:after="80" w:line="240" w:lineRule="auto"/>
              <w:jc w:val="left"/>
            </w:pPr>
            <w:r/>
            <w:r>
              <w:rPr>
                <w:rFonts w:ascii="Calibri" w:hAnsi="Calibri"/>
                <w:color w:val="1A1B1A"/>
                <w:sz w:val="17"/>
              </w:rPr>
              <w:t>5-tier RBAC, TOTP MFA, SCIM 2.0, BYOK CMEK, WAF rules</w:t>
            </w:r>
          </w:p>
        </w:tc>
        <w:tc>
          <w:tcPr>
            <w:tcW w:type="dxa" w:w="3456"/>
            <w:shd w:fill="F8FAFC" w:val="clear"/>
            <w:vAlign w:val="top"/>
          </w:tcPr>
          <w:p>
            <w:pPr>
              <w:spacing w:before="80" w:after="80" w:line="240" w:lineRule="auto"/>
              <w:jc w:val="left"/>
            </w:pPr>
            <w:r/>
            <w:r>
              <w:rPr>
                <w:rFonts w:ascii="Calibri" w:hAnsi="Calibri"/>
                <w:color w:val="1A1B1A"/>
                <w:sz w:val="17"/>
              </w:rPr>
              <w:t>SOC 2 Type II, 365-day audit</w:t>
            </w:r>
          </w:p>
        </w:tc>
      </w:tr>
      <w:tr>
        <w:tc>
          <w:tcPr>
            <w:tcW w:type="dxa" w:w="1728"/>
            <w:shd w:fill="FFFFFF" w:val="clear"/>
            <w:vAlign w:val="top"/>
          </w:tcPr>
          <w:p>
            <w:pPr>
              <w:spacing w:before="80" w:after="80" w:line="240" w:lineRule="auto"/>
              <w:jc w:val="left"/>
            </w:pPr>
            <w:r/>
            <w:r>
              <w:rPr>
                <w:rFonts w:ascii="Calibri" w:hAnsi="Calibri"/>
                <w:color w:val="1A1B1A"/>
                <w:sz w:val="17"/>
              </w:rPr>
              <w:t>FinOps</w:t>
            </w:r>
          </w:p>
        </w:tc>
        <w:tc>
          <w:tcPr>
            <w:tcW w:type="dxa" w:w="4608"/>
            <w:shd w:fill="FFFFFF" w:val="clear"/>
            <w:vAlign w:val="top"/>
          </w:tcPr>
          <w:p>
            <w:pPr>
              <w:spacing w:before="80" w:after="80" w:line="240" w:lineRule="auto"/>
              <w:jc w:val="left"/>
            </w:pPr>
            <w:r/>
            <w:r>
              <w:rPr>
                <w:rFonts w:ascii="Calibri" w:hAnsi="Calibri"/>
                <w:color w:val="1A1B1A"/>
                <w:sz w:val="17"/>
              </w:rPr>
              <w:t>Per-second billing (INR/USD), GST invoicing, budget caps, cost allocation</w:t>
            </w:r>
          </w:p>
        </w:tc>
        <w:tc>
          <w:tcPr>
            <w:tcW w:type="dxa" w:w="3456"/>
            <w:shd w:fill="FFFFFF" w:val="clear"/>
            <w:vAlign w:val="top"/>
          </w:tcPr>
          <w:p>
            <w:pPr>
              <w:spacing w:before="80" w:after="80" w:line="240" w:lineRule="auto"/>
              <w:jc w:val="left"/>
            </w:pPr>
            <w:r/>
            <w:r>
              <w:rPr>
                <w:rFonts w:ascii="Calibri" w:hAnsi="Calibri"/>
                <w:color w:val="1A1B1A"/>
                <w:sz w:val="17"/>
              </w:rPr>
              <w:t>Zero surprise egress fees</w:t>
            </w:r>
          </w:p>
        </w:tc>
      </w:tr>
      <w:tr>
        <w:tc>
          <w:tcPr>
            <w:tcW w:type="dxa" w:w="1728"/>
            <w:shd w:fill="F8FAFC" w:val="clear"/>
            <w:vAlign w:val="top"/>
          </w:tcPr>
          <w:p>
            <w:pPr>
              <w:spacing w:before="80" w:after="80" w:line="240" w:lineRule="auto"/>
              <w:jc w:val="left"/>
            </w:pPr>
            <w:r/>
            <w:r>
              <w:rPr>
                <w:rFonts w:ascii="Calibri" w:hAnsi="Calibri"/>
                <w:color w:val="1A1B1A"/>
                <w:sz w:val="17"/>
              </w:rPr>
              <w:t>Community</w:t>
            </w:r>
          </w:p>
        </w:tc>
        <w:tc>
          <w:tcPr>
            <w:tcW w:type="dxa" w:w="4608"/>
            <w:shd w:fill="F8FAFC" w:val="clear"/>
            <w:vAlign w:val="top"/>
          </w:tcPr>
          <w:p>
            <w:pPr>
              <w:spacing w:before="80" w:after="80" w:line="240" w:lineRule="auto"/>
              <w:jc w:val="left"/>
            </w:pPr>
            <w:r/>
            <w:r>
              <w:rPr>
                <w:rFonts w:ascii="Calibri" w:hAnsi="Calibri"/>
                <w:color w:val="1A1B1A"/>
                <w:sz w:val="17"/>
              </w:rPr>
              <w:t>In-app discussions, image uploads, likes, comments, view tracking</w:t>
            </w:r>
          </w:p>
        </w:tc>
        <w:tc>
          <w:tcPr>
            <w:tcW w:type="dxa" w:w="3456"/>
            <w:shd w:fill="F8FAFC" w:val="clear"/>
            <w:vAlign w:val="top"/>
          </w:tcPr>
          <w:p>
            <w:pPr>
              <w:spacing w:before="80" w:after="80" w:line="240" w:lineRule="auto"/>
              <w:jc w:val="left"/>
            </w:pPr>
            <w:r/>
            <w:r>
              <w:rPr>
                <w:rFonts w:ascii="Calibri" w:hAnsi="Calibri"/>
                <w:color w:val="1A1B1A"/>
                <w:sz w:val="17"/>
              </w:rPr>
              <w:t>Built-in knowledge sharing</w:t>
            </w:r>
          </w:p>
        </w:tc>
      </w:tr>
    </w:tbl>
    <w:p>
      <w:pPr>
        <w:spacing w:after="160"/>
      </w:pPr>
    </w:p>
    <w:p>
      <w:pPr>
        <w:pStyle w:val="Heading2"/>
        <w:spacing w:before="320" w:after="160"/>
      </w:pPr>
      <w:r>
        <w:rPr>
          <w:rFonts w:ascii="Calibri" w:hAnsi="Calibri"/>
          <w:color w:val="9E742E"/>
          <w:sz w:val="28"/>
          <w:rFonts w:eastAsia="Calibri" w:cs="Calibri"/>
        </w:rPr>
        <w:t>Platform Architecture</w:t>
      </w:r>
    </w:p>
    <w:p>
      <w:pPr>
        <w:spacing w:before="120" w:after="120"/>
        <w:jc w:val="center"/>
      </w:pPr>
      <w:r>
        <w:drawing>
          <wp:inline xmlns:a="http://schemas.openxmlformats.org/drawingml/2006/main" xmlns:pic="http://schemas.openxmlformats.org/drawingml/2006/picture">
            <wp:extent cx="5669280" cy="3325718"/>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3325718"/>
                    </a:xfrm>
                    <a:prstGeom prst="rect"/>
                  </pic:spPr>
                </pic:pic>
              </a:graphicData>
            </a:graphic>
          </wp:inline>
        </w:drawing>
      </w:r>
    </w:p>
    <w:p>
      <w:r>
        <w:br w:type="page"/>
      </w:r>
    </w:p>
    <w:p>
      <w:pPr>
        <w:pStyle w:val="Heading1"/>
        <w:spacing w:before="480" w:after="160"/>
      </w:pPr>
      <w:r>
        <w:rPr>
          <w:rFonts w:ascii="Calibri" w:hAnsi="Calibri"/>
          <w:color w:val="B98B3B"/>
          <w:sz w:val="40"/>
          <w:rFonts w:eastAsia="Calibri" w:cs="Calibri"/>
        </w:rPr>
        <w:t>5. Market Gap Analysis</w:t>
      </w:r>
    </w:p>
    <w:tbl>
      <w:tblPr>
        <w:tblW w:type="auto" w:w="0"/>
        <w:jc w:val="center"/>
        <w:tblLook w:firstColumn="1" w:firstRow="1" w:lastColumn="0" w:lastRow="0" w:noHBand="0" w:noVBand="1" w:val="04A0"/>
      </w:tblPr>
      <w:tblGrid>
        <w:gridCol w:w="9360"/>
      </w:tblGrid>
      <w:tr>
        <w:trPr>
          <w:trHeight w:val="40" w:hRule="exact"/>
        </w:trPr>
        <w:tc>
          <w:tcPr>
            <w:tcW w:type="dxa" w:w="9412"/>
            <w:shd w:fill="B98B3B" w:val="clear"/>
          </w:tcPr>
          <w:p>
            <w:pPr>
              <w:spacing w:before="0" w:after="0"/>
            </w:pPr>
            <w:r>
              <w:rPr>
                <w:sz w:val="2"/>
              </w:rPr>
            </w:r>
          </w:p>
        </w:tc>
      </w:tr>
    </w:tbl>
    <w:p>
      <w:pPr>
        <w:spacing w:after="80"/>
      </w:pPr>
    </w:p>
    <w:p>
      <w:pPr>
        <w:spacing w:before="0" w:after="240" w:line="240" w:lineRule="auto"/>
      </w:pPr>
      <w:r>
        <w:rPr>
          <w:rFonts w:ascii="Calibri" w:hAnsi="Calibri"/>
          <w:b w:val="0"/>
          <w:i w:val="0"/>
          <w:color w:val="1A1B1A"/>
          <w:sz w:val="21"/>
          <w:rFonts w:eastAsia="Calibri" w:cs="Calibri"/>
        </w:rPr>
        <w:t>The cloud infrastructure market is dominated by hyperscalers (AWS, GCP, Azure) offering powerful but complex consoles, and PaaS platforms (Vercel, Heroku) offering simplicity but limited infrastructure control. Aravanta Cloud OS occupies the unique intersection of enterprise-grade flexibility AND developer-friendly simplicity -- a gap no major player has effectively filled.</w:t>
      </w:r>
    </w:p>
    <w:p>
      <w:pPr>
        <w:pStyle w:val="Heading2"/>
        <w:spacing w:before="320" w:after="160"/>
      </w:pPr>
      <w:r>
        <w:rPr>
          <w:rFonts w:ascii="Calibri" w:hAnsi="Calibri"/>
          <w:color w:val="9E742E"/>
          <w:sz w:val="28"/>
          <w:rFonts w:eastAsia="Calibri" w:cs="Calibri"/>
        </w:rPr>
        <w:t>Competitor Landscape</w:t>
      </w:r>
    </w:p>
    <w:tbl>
      <w:tblPr>
        <w:tblStyle w:val="TableGrid"/>
        <w:tblW w:type="auto" w:w="0"/>
        <w:jc w:val="center"/>
        <w:tblLook w:firstColumn="1" w:firstRow="1" w:lastColumn="0" w:lastRow="0" w:noHBand="0" w:noVBand="1" w:val="04A0"/>
      </w:tblPr>
      <w:tblGrid>
        <w:gridCol w:w="3137"/>
        <w:gridCol w:w="3137"/>
        <w:gridCol w:w="3137"/>
      </w:tblGrid>
      <w:tr>
        <w:tc>
          <w:tcPr>
            <w:tcW w:type="dxa" w:w="2016"/>
            <w:shd w:fill="B98B3B" w:val="clear"/>
            <w:vAlign w:val="center"/>
          </w:tcPr>
          <w:p>
            <w:pPr>
              <w:spacing w:before="100" w:after="100"/>
              <w:jc w:val="left"/>
            </w:pPr>
            <w:r/>
            <w:r>
              <w:rPr>
                <w:rFonts w:ascii="Calibri" w:hAnsi="Calibri"/>
                <w:b/>
                <w:color w:val="FFFFFF"/>
                <w:sz w:val="18"/>
              </w:rPr>
              <w:t>Competitor</w:t>
            </w:r>
          </w:p>
        </w:tc>
        <w:tc>
          <w:tcPr>
            <w:tcW w:type="dxa" w:w="3744"/>
            <w:shd w:fill="B98B3B" w:val="clear"/>
            <w:vAlign w:val="center"/>
          </w:tcPr>
          <w:p>
            <w:pPr>
              <w:spacing w:before="100" w:after="100"/>
              <w:jc w:val="left"/>
            </w:pPr>
            <w:r/>
            <w:r>
              <w:rPr>
                <w:rFonts w:ascii="Calibri" w:hAnsi="Calibri"/>
                <w:b/>
                <w:color w:val="FFFFFF"/>
                <w:sz w:val="18"/>
              </w:rPr>
              <w:t>Limitation</w:t>
            </w:r>
          </w:p>
        </w:tc>
        <w:tc>
          <w:tcPr>
            <w:tcW w:type="dxa" w:w="4032"/>
            <w:shd w:fill="B98B3B" w:val="clear"/>
            <w:vAlign w:val="center"/>
          </w:tcPr>
          <w:p>
            <w:pPr>
              <w:spacing w:before="100" w:after="100"/>
              <w:jc w:val="left"/>
            </w:pPr>
            <w:r/>
            <w:r>
              <w:rPr>
                <w:rFonts w:ascii="Calibri" w:hAnsi="Calibri"/>
                <w:b/>
                <w:color w:val="FFFFFF"/>
                <w:sz w:val="18"/>
              </w:rPr>
              <w:t>Aravanta Advantage</w:t>
            </w:r>
          </w:p>
        </w:tc>
      </w:tr>
      <w:tr>
        <w:tc>
          <w:tcPr>
            <w:tcW w:type="dxa" w:w="2016"/>
            <w:shd w:fill="FFFFFF" w:val="clear"/>
            <w:vAlign w:val="top"/>
          </w:tcPr>
          <w:p>
            <w:pPr>
              <w:spacing w:before="80" w:after="80" w:line="240" w:lineRule="auto"/>
              <w:jc w:val="left"/>
            </w:pPr>
            <w:r/>
            <w:r>
              <w:rPr>
                <w:rFonts w:ascii="Calibri" w:hAnsi="Calibri"/>
                <w:color w:val="1A1B1A"/>
                <w:sz w:val="17"/>
              </w:rPr>
              <w:t>AWS Console</w:t>
            </w:r>
          </w:p>
        </w:tc>
        <w:tc>
          <w:tcPr>
            <w:tcW w:type="dxa" w:w="3744"/>
            <w:shd w:fill="FFFFFF" w:val="clear"/>
            <w:vAlign w:val="top"/>
          </w:tcPr>
          <w:p>
            <w:pPr>
              <w:spacing w:before="80" w:after="80" w:line="240" w:lineRule="auto"/>
              <w:jc w:val="left"/>
            </w:pPr>
            <w:r/>
            <w:r>
              <w:rPr>
                <w:rFonts w:ascii="Calibri" w:hAnsi="Calibri"/>
                <w:color w:val="1A1B1A"/>
                <w:sz w:val="17"/>
              </w:rPr>
              <w:t>Overwhelming complexity, 200+ services</w:t>
            </w:r>
          </w:p>
        </w:tc>
        <w:tc>
          <w:tcPr>
            <w:tcW w:type="dxa" w:w="4032"/>
            <w:shd w:fill="FFFFFF" w:val="clear"/>
            <w:vAlign w:val="top"/>
          </w:tcPr>
          <w:p>
            <w:pPr>
              <w:spacing w:before="80" w:after="80" w:line="240" w:lineRule="auto"/>
              <w:jc w:val="left"/>
            </w:pPr>
            <w:r/>
            <w:r>
              <w:rPr>
                <w:rFonts w:ascii="Calibri" w:hAnsi="Calibri"/>
                <w:color w:val="1A1B1A"/>
                <w:sz w:val="17"/>
              </w:rPr>
              <w:t>Unified 10-service console, instant onboarding</w:t>
            </w:r>
          </w:p>
        </w:tc>
      </w:tr>
      <w:tr>
        <w:tc>
          <w:tcPr>
            <w:tcW w:type="dxa" w:w="2016"/>
            <w:shd w:fill="F8FAFC" w:val="clear"/>
            <w:vAlign w:val="top"/>
          </w:tcPr>
          <w:p>
            <w:pPr>
              <w:spacing w:before="80" w:after="80" w:line="240" w:lineRule="auto"/>
              <w:jc w:val="left"/>
            </w:pPr>
            <w:r/>
            <w:r>
              <w:rPr>
                <w:rFonts w:ascii="Calibri" w:hAnsi="Calibri"/>
                <w:color w:val="1A1B1A"/>
                <w:sz w:val="17"/>
              </w:rPr>
              <w:t>Google Cloud</w:t>
            </w:r>
          </w:p>
        </w:tc>
        <w:tc>
          <w:tcPr>
            <w:tcW w:type="dxa" w:w="3744"/>
            <w:shd w:fill="F8FAFC" w:val="clear"/>
            <w:vAlign w:val="top"/>
          </w:tcPr>
          <w:p>
            <w:pPr>
              <w:spacing w:before="80" w:after="80" w:line="240" w:lineRule="auto"/>
              <w:jc w:val="left"/>
            </w:pPr>
            <w:r/>
            <w:r>
              <w:rPr>
                <w:rFonts w:ascii="Calibri" w:hAnsi="Calibri"/>
                <w:color w:val="1A1B1A"/>
                <w:sz w:val="17"/>
              </w:rPr>
              <w:t>Fragmented tooling, limited K8s GitOps</w:t>
            </w:r>
          </w:p>
        </w:tc>
        <w:tc>
          <w:tcPr>
            <w:tcW w:type="dxa" w:w="4032"/>
            <w:shd w:fill="F8FAFC" w:val="clear"/>
            <w:vAlign w:val="top"/>
          </w:tcPr>
          <w:p>
            <w:pPr>
              <w:spacing w:before="80" w:after="80" w:line="240" w:lineRule="auto"/>
              <w:jc w:val="left"/>
            </w:pPr>
            <w:r/>
            <w:r>
              <w:rPr>
                <w:rFonts w:ascii="Calibri" w:hAnsi="Calibri"/>
                <w:color w:val="1A1B1A"/>
                <w:sz w:val="17"/>
              </w:rPr>
              <w:t>Native GitOps with canary &amp; auto-rollback</w:t>
            </w:r>
          </w:p>
        </w:tc>
      </w:tr>
      <w:tr>
        <w:tc>
          <w:tcPr>
            <w:tcW w:type="dxa" w:w="2016"/>
            <w:shd w:fill="FFFFFF" w:val="clear"/>
            <w:vAlign w:val="top"/>
          </w:tcPr>
          <w:p>
            <w:pPr>
              <w:spacing w:before="80" w:after="80" w:line="240" w:lineRule="auto"/>
              <w:jc w:val="left"/>
            </w:pPr>
            <w:r/>
            <w:r>
              <w:rPr>
                <w:rFonts w:ascii="Calibri" w:hAnsi="Calibri"/>
                <w:color w:val="1A1B1A"/>
                <w:sz w:val="17"/>
              </w:rPr>
              <w:t>Azure</w:t>
            </w:r>
          </w:p>
        </w:tc>
        <w:tc>
          <w:tcPr>
            <w:tcW w:type="dxa" w:w="3744"/>
            <w:shd w:fill="FFFFFF" w:val="clear"/>
            <w:vAlign w:val="top"/>
          </w:tcPr>
          <w:p>
            <w:pPr>
              <w:spacing w:before="80" w:after="80" w:line="240" w:lineRule="auto"/>
              <w:jc w:val="left"/>
            </w:pPr>
            <w:r/>
            <w:r>
              <w:rPr>
                <w:rFonts w:ascii="Calibri" w:hAnsi="Calibri"/>
                <w:color w:val="1A1B1A"/>
                <w:sz w:val="17"/>
              </w:rPr>
              <w:t>Complex pricing, slow developer experience</w:t>
            </w:r>
          </w:p>
        </w:tc>
        <w:tc>
          <w:tcPr>
            <w:tcW w:type="dxa" w:w="4032"/>
            <w:shd w:fill="FFFFFF" w:val="clear"/>
            <w:vAlign w:val="top"/>
          </w:tcPr>
          <w:p>
            <w:pPr>
              <w:spacing w:before="80" w:after="80" w:line="240" w:lineRule="auto"/>
              <w:jc w:val="left"/>
            </w:pPr>
            <w:r/>
            <w:r>
              <w:rPr>
                <w:rFonts w:ascii="Calibri" w:hAnsi="Calibri"/>
                <w:color w:val="1A1B1A"/>
                <w:sz w:val="17"/>
              </w:rPr>
              <w:t>Per-second billing, CLI-first, free trial</w:t>
            </w:r>
          </w:p>
        </w:tc>
      </w:tr>
      <w:tr>
        <w:tc>
          <w:tcPr>
            <w:tcW w:type="dxa" w:w="2016"/>
            <w:shd w:fill="F8FAFC" w:val="clear"/>
            <w:vAlign w:val="top"/>
          </w:tcPr>
          <w:p>
            <w:pPr>
              <w:spacing w:before="80" w:after="80" w:line="240" w:lineRule="auto"/>
              <w:jc w:val="left"/>
            </w:pPr>
            <w:r/>
            <w:r>
              <w:rPr>
                <w:rFonts w:ascii="Calibri" w:hAnsi="Calibri"/>
                <w:color w:val="1A1B1A"/>
                <w:sz w:val="17"/>
              </w:rPr>
              <w:t>DigitalOcean</w:t>
            </w:r>
          </w:p>
        </w:tc>
        <w:tc>
          <w:tcPr>
            <w:tcW w:type="dxa" w:w="3744"/>
            <w:shd w:fill="F8FAFC" w:val="clear"/>
            <w:vAlign w:val="top"/>
          </w:tcPr>
          <w:p>
            <w:pPr>
              <w:spacing w:before="80" w:after="80" w:line="240" w:lineRule="auto"/>
              <w:jc w:val="left"/>
            </w:pPr>
            <w:r/>
            <w:r>
              <w:rPr>
                <w:rFonts w:ascii="Calibri" w:hAnsi="Calibri"/>
                <w:color w:val="1A1B1A"/>
                <w:sz w:val="17"/>
              </w:rPr>
              <w:t>No advanced SRE/alerting capabilities</w:t>
            </w:r>
          </w:p>
        </w:tc>
        <w:tc>
          <w:tcPr>
            <w:tcW w:type="dxa" w:w="4032"/>
            <w:shd w:fill="F8FAFC" w:val="clear"/>
            <w:vAlign w:val="top"/>
          </w:tcPr>
          <w:p>
            <w:pPr>
              <w:spacing w:before="80" w:after="80" w:line="240" w:lineRule="auto"/>
              <w:jc w:val="left"/>
            </w:pPr>
            <w:r/>
            <w:r>
              <w:rPr>
                <w:rFonts w:ascii="Calibri" w:hAnsi="Calibri"/>
                <w:color w:val="1A1B1A"/>
                <w:sz w:val="17"/>
              </w:rPr>
              <w:t>Full SRE: Prometheus, Loki, runbooks</w:t>
            </w:r>
          </w:p>
        </w:tc>
      </w:tr>
      <w:tr>
        <w:tc>
          <w:tcPr>
            <w:tcW w:type="dxa" w:w="2016"/>
            <w:shd w:fill="FFFFFF" w:val="clear"/>
            <w:vAlign w:val="top"/>
          </w:tcPr>
          <w:p>
            <w:pPr>
              <w:spacing w:before="80" w:after="80" w:line="240" w:lineRule="auto"/>
              <w:jc w:val="left"/>
            </w:pPr>
            <w:r/>
            <w:r>
              <w:rPr>
                <w:rFonts w:ascii="Calibri" w:hAnsi="Calibri"/>
                <w:color w:val="1A1B1A"/>
                <w:sz w:val="17"/>
              </w:rPr>
              <w:t>Heroku</w:t>
            </w:r>
          </w:p>
        </w:tc>
        <w:tc>
          <w:tcPr>
            <w:tcW w:type="dxa" w:w="3744"/>
            <w:shd w:fill="FFFFFF" w:val="clear"/>
            <w:vAlign w:val="top"/>
          </w:tcPr>
          <w:p>
            <w:pPr>
              <w:spacing w:before="80" w:after="80" w:line="240" w:lineRule="auto"/>
              <w:jc w:val="left"/>
            </w:pPr>
            <w:r/>
            <w:r>
              <w:rPr>
                <w:rFonts w:ascii="Calibri" w:hAnsi="Calibri"/>
                <w:color w:val="1A1B1A"/>
                <w:sz w:val="17"/>
              </w:rPr>
              <w:t>No Kubernetes, limited scaling</w:t>
            </w:r>
          </w:p>
        </w:tc>
        <w:tc>
          <w:tcPr>
            <w:tcW w:type="dxa" w:w="4032"/>
            <w:shd w:fill="FFFFFF" w:val="clear"/>
            <w:vAlign w:val="top"/>
          </w:tcPr>
          <w:p>
            <w:pPr>
              <w:spacing w:before="80" w:after="80" w:line="240" w:lineRule="auto"/>
              <w:jc w:val="left"/>
            </w:pPr>
            <w:r/>
            <w:r>
              <w:rPr>
                <w:rFonts w:ascii="Calibri" w:hAnsi="Calibri"/>
                <w:color w:val="1A1B1A"/>
                <w:sz w:val="17"/>
              </w:rPr>
              <w:t>Native K8s, multi-region, enterprise RBAC</w:t>
            </w:r>
          </w:p>
        </w:tc>
      </w:tr>
      <w:tr>
        <w:tc>
          <w:tcPr>
            <w:tcW w:type="dxa" w:w="2016"/>
            <w:shd w:fill="F8FAFC" w:val="clear"/>
            <w:vAlign w:val="top"/>
          </w:tcPr>
          <w:p>
            <w:pPr>
              <w:spacing w:before="80" w:after="80" w:line="240" w:lineRule="auto"/>
              <w:jc w:val="left"/>
            </w:pPr>
            <w:r/>
            <w:r>
              <w:rPr>
                <w:rFonts w:ascii="Calibri" w:hAnsi="Calibri"/>
                <w:color w:val="1A1B1A"/>
                <w:sz w:val="17"/>
              </w:rPr>
              <w:t>Vercel</w:t>
            </w:r>
          </w:p>
        </w:tc>
        <w:tc>
          <w:tcPr>
            <w:tcW w:type="dxa" w:w="3744"/>
            <w:shd w:fill="F8FAFC" w:val="clear"/>
            <w:vAlign w:val="top"/>
          </w:tcPr>
          <w:p>
            <w:pPr>
              <w:spacing w:before="80" w:after="80" w:line="240" w:lineRule="auto"/>
              <w:jc w:val="left"/>
            </w:pPr>
            <w:r/>
            <w:r>
              <w:rPr>
                <w:rFonts w:ascii="Calibri" w:hAnsi="Calibri"/>
                <w:color w:val="1A1B1A"/>
                <w:sz w:val="17"/>
              </w:rPr>
              <w:t>Frontend-only, no infrastructure mgmt</w:t>
            </w:r>
          </w:p>
        </w:tc>
        <w:tc>
          <w:tcPr>
            <w:tcW w:type="dxa" w:w="4032"/>
            <w:shd w:fill="F8FAFC" w:val="clear"/>
            <w:vAlign w:val="top"/>
          </w:tcPr>
          <w:p>
            <w:pPr>
              <w:spacing w:before="80" w:after="80" w:line="240" w:lineRule="auto"/>
              <w:jc w:val="left"/>
            </w:pPr>
            <w:r/>
            <w:r>
              <w:rPr>
                <w:rFonts w:ascii="Calibri" w:hAnsi="Calibri"/>
                <w:color w:val="1A1B1A"/>
                <w:sz w:val="17"/>
              </w:rPr>
              <w:t>Full-stack: compute, K8s, DB, monitoring</w:t>
            </w:r>
          </w:p>
        </w:tc>
      </w:tr>
      <w:tr>
        <w:tc>
          <w:tcPr>
            <w:tcW w:type="dxa" w:w="2016"/>
            <w:shd w:fill="FFFFFF" w:val="clear"/>
            <w:vAlign w:val="top"/>
          </w:tcPr>
          <w:p>
            <w:pPr>
              <w:spacing w:before="80" w:after="80" w:line="240" w:lineRule="auto"/>
              <w:jc w:val="left"/>
            </w:pPr>
            <w:r/>
            <w:r>
              <w:rPr>
                <w:rFonts w:ascii="Calibri" w:hAnsi="Calibri"/>
                <w:color w:val="1A1B1A"/>
                <w:sz w:val="17"/>
              </w:rPr>
              <w:t>OpenStack</w:t>
            </w:r>
          </w:p>
        </w:tc>
        <w:tc>
          <w:tcPr>
            <w:tcW w:type="dxa" w:w="3744"/>
            <w:shd w:fill="FFFFFF" w:val="clear"/>
            <w:vAlign w:val="top"/>
          </w:tcPr>
          <w:p>
            <w:pPr>
              <w:spacing w:before="80" w:after="80" w:line="240" w:lineRule="auto"/>
              <w:jc w:val="left"/>
            </w:pPr>
            <w:r/>
            <w:r>
              <w:rPr>
                <w:rFonts w:ascii="Calibri" w:hAnsi="Calibri"/>
                <w:color w:val="1A1B1A"/>
                <w:sz w:val="17"/>
              </w:rPr>
              <w:t>Complex self-hosted, poor DX</w:t>
            </w:r>
          </w:p>
        </w:tc>
        <w:tc>
          <w:tcPr>
            <w:tcW w:type="dxa" w:w="4032"/>
            <w:shd w:fill="FFFFFF" w:val="clear"/>
            <w:vAlign w:val="top"/>
          </w:tcPr>
          <w:p>
            <w:pPr>
              <w:spacing w:before="80" w:after="80" w:line="240" w:lineRule="auto"/>
              <w:jc w:val="left"/>
            </w:pPr>
            <w:r/>
            <w:r>
              <w:rPr>
                <w:rFonts w:ascii="Calibri" w:hAnsi="Calibri"/>
                <w:color w:val="1A1B1A"/>
                <w:sz w:val="17"/>
              </w:rPr>
              <w:t>Managed SaaS with CLI/SDK/Terraform parity</w:t>
            </w:r>
          </w:p>
        </w:tc>
      </w:tr>
    </w:tbl>
    <w:p>
      <w:pPr>
        <w:spacing w:after="160"/>
      </w:pPr>
    </w:p>
    <w:p>
      <w:pPr>
        <w:pStyle w:val="Heading2"/>
        <w:spacing w:before="320" w:after="160"/>
      </w:pPr>
      <w:r>
        <w:rPr>
          <w:rFonts w:ascii="Calibri" w:hAnsi="Calibri"/>
          <w:color w:val="9E742E"/>
          <w:sz w:val="28"/>
          <w:rFonts w:eastAsia="Calibri" w:cs="Calibri"/>
        </w:rPr>
        <w:t>Market Positioning Quadrant</w:t>
      </w:r>
    </w:p>
    <w:p>
      <w:pPr>
        <w:spacing w:before="120" w:after="120"/>
        <w:jc w:val="center"/>
      </w:pPr>
      <w:r>
        <w:drawing>
          <wp:inline xmlns:a="http://schemas.openxmlformats.org/drawingml/2006/main" xmlns:pic="http://schemas.openxmlformats.org/drawingml/2006/picture">
            <wp:extent cx="4389120" cy="4046617"/>
            <wp:docPr id="4" name="Picture 4"/>
            <wp:cNvGraphicFramePr>
              <a:graphicFrameLocks noChangeAspect="1"/>
            </wp:cNvGraphicFramePr>
            <a:graphic>
              <a:graphicData uri="http://schemas.openxmlformats.org/drawingml/2006/picture">
                <pic:pic>
                  <pic:nvPicPr>
                    <pic:cNvPr id="0" name="market_quad.png"/>
                    <pic:cNvPicPr/>
                  </pic:nvPicPr>
                  <pic:blipFill>
                    <a:blip r:embed="rId12"/>
                    <a:stretch>
                      <a:fillRect/>
                    </a:stretch>
                  </pic:blipFill>
                  <pic:spPr>
                    <a:xfrm>
                      <a:off x="0" y="0"/>
                      <a:ext cx="4389120" cy="4046617"/>
                    </a:xfrm>
                    <a:prstGeom prst="rect"/>
                  </pic:spPr>
                </pic:pic>
              </a:graphicData>
            </a:graphic>
          </wp:inline>
        </w:drawing>
      </w:r>
    </w:p>
    <w:p>
      <w:r>
        <w:br w:type="page"/>
      </w:r>
    </w:p>
    <w:p>
      <w:pPr>
        <w:pStyle w:val="Heading1"/>
        <w:spacing w:before="480" w:after="160"/>
      </w:pPr>
      <w:r>
        <w:rPr>
          <w:rFonts w:ascii="Calibri" w:hAnsi="Calibri"/>
          <w:color w:val="B98B3B"/>
          <w:sz w:val="40"/>
          <w:rFonts w:eastAsia="Calibri" w:cs="Calibri"/>
        </w:rPr>
        <w:t>6. Vision &amp; Mission</w:t>
      </w:r>
    </w:p>
    <w:tbl>
      <w:tblPr>
        <w:tblW w:type="auto" w:w="0"/>
        <w:jc w:val="center"/>
        <w:tblLook w:firstColumn="1" w:firstRow="1" w:lastColumn="0" w:lastRow="0" w:noHBand="0" w:noVBand="1" w:val="04A0"/>
      </w:tblPr>
      <w:tblGrid>
        <w:gridCol w:w="9360"/>
      </w:tblGrid>
      <w:tr>
        <w:trPr>
          <w:trHeight w:val="40" w:hRule="exact"/>
        </w:trPr>
        <w:tc>
          <w:tcPr>
            <w:tcW w:type="dxa" w:w="9412"/>
            <w:shd w:fill="B98B3B" w:val="clear"/>
          </w:tcPr>
          <w:p>
            <w:pPr>
              <w:spacing w:before="0" w:after="0"/>
            </w:pPr>
            <w:r>
              <w:rPr>
                <w:sz w:val="2"/>
              </w:rPr>
            </w:r>
          </w:p>
        </w:tc>
      </w:tr>
    </w:tbl>
    <w:p>
      <w:pPr>
        <w:spacing w:after="160"/>
      </w:pPr>
    </w:p>
    <w:p>
      <w:pPr>
        <w:pStyle w:val="Heading2"/>
        <w:spacing w:before="320" w:after="160"/>
      </w:pPr>
      <w:r>
        <w:rPr>
          <w:rFonts w:ascii="Calibri" w:hAnsi="Calibri"/>
          <w:color w:val="9E742E"/>
          <w:sz w:val="28"/>
          <w:rFonts w:eastAsia="Calibri" w:cs="Calibri"/>
        </w:rPr>
        <w:t>Vision</w:t>
      </w:r>
    </w:p>
    <w:tbl>
      <w:tblPr>
        <w:tblW w:type="auto" w:w="0"/>
        <w:jc w:val="center"/>
        <w:tblLook w:firstColumn="1" w:firstRow="1" w:lastColumn="0" w:lastRow="0" w:noHBand="0" w:noVBand="1" w:val="04A0"/>
      </w:tblPr>
      <w:tblGrid>
        <w:gridCol w:w="8928"/>
      </w:tblGrid>
      <w:tr>
        <w:tc>
          <w:tcPr>
            <w:tcW w:type="dxa" w:w="9412"/>
            <w:shd w:fill="0B0F17" w:val="clear"/>
          </w:tcPr>
          <w:p>
            <w:pPr>
              <w:spacing w:before="400" w:after="160"/>
              <w:jc w:val="center"/>
            </w:pPr>
            <w:r>
              <w:rPr>
                <w:rFonts w:ascii="Calibri" w:hAnsi="Calibri"/>
                <w:b/>
                <w:i/>
                <w:color w:val="E5BA6A"/>
                <w:sz w:val="24"/>
              </w:rPr>
              <w:t>"To make cloud infrastructure invisible -- so every engineering team can focus on building what matters, not managing the plumbing beneath it."</w:t>
            </w:r>
          </w:p>
          <w:p>
            <w:pPr>
              <w:spacing w:before="80" w:after="360"/>
              <w:jc w:val="center"/>
            </w:pPr>
            <w:r>
              <w:rPr>
                <w:rFonts w:ascii="Calibri" w:hAnsi="Calibri"/>
                <w:i/>
                <w:color w:val="94A3B8"/>
                <w:sz w:val="18"/>
              </w:rPr>
              <w:t>-- Aravanta Tech  --  Founding Vision</w:t>
            </w:r>
          </w:p>
        </w:tc>
      </w:tr>
    </w:tbl>
    <w:p>
      <w:pPr>
        <w:spacing w:after="200"/>
      </w:pPr>
    </w:p>
    <w:p>
      <w:pPr>
        <w:pStyle w:val="Heading2"/>
        <w:spacing w:before="320" w:after="160"/>
      </w:pPr>
      <w:r>
        <w:rPr>
          <w:rFonts w:ascii="Calibri" w:hAnsi="Calibri"/>
          <w:color w:val="9E742E"/>
          <w:sz w:val="28"/>
          <w:rFonts w:eastAsia="Calibri" w:cs="Calibri"/>
        </w:rPr>
        <w:t>Mission</w:t>
      </w:r>
    </w:p>
    <w:tbl>
      <w:tblPr>
        <w:tblW w:type="auto" w:w="0"/>
        <w:jc w:val="center"/>
        <w:tblLook w:firstColumn="1" w:firstRow="1" w:lastColumn="0" w:lastRow="0" w:noHBand="0" w:noVBand="1" w:val="04A0"/>
      </w:tblPr>
      <w:tblGrid>
        <w:gridCol w:w="8928"/>
      </w:tblGrid>
      <w:tr>
        <w:tc>
          <w:tcPr>
            <w:tcW w:type="dxa" w:w="9412"/>
            <w:shd w:fill="0B0F17" w:val="clear"/>
          </w:tcPr>
          <w:p>
            <w:pPr>
              <w:spacing w:before="400" w:after="160"/>
              <w:jc w:val="center"/>
            </w:pPr>
            <w:r>
              <w:rPr>
                <w:rFonts w:ascii="Calibri" w:hAnsi="Calibri"/>
                <w:b/>
                <w:i/>
                <w:color w:val="E5BA6A"/>
                <w:sz w:val="24"/>
              </w:rPr>
              <w:t>"Aravanta Cloud OS exists to give every engineering team -- from a two-person startup to a 500-engineer enterprise -- a single, unified control plane for multi-cloud operations. We believe infrastructure should be observable, programmable, and portable."</w:t>
            </w:r>
          </w:p>
          <w:p>
            <w:pPr>
              <w:spacing w:before="80" w:after="360"/>
              <w:jc w:val="center"/>
            </w:pPr>
            <w:r>
              <w:rPr>
                <w:rFonts w:ascii="Calibri" w:hAnsi="Calibri"/>
                <w:i/>
                <w:color w:val="94A3B8"/>
                <w:sz w:val="18"/>
              </w:rPr>
              <w:t>-- Aravanta Cloud OS  --  Mission Statement</w:t>
            </w:r>
          </w:p>
        </w:tc>
      </w:tr>
    </w:tbl>
    <w:p>
      <w:pPr>
        <w:spacing w:after="200"/>
      </w:pPr>
    </w:p>
    <w:p>
      <w:pPr>
        <w:pStyle w:val="Heading2"/>
        <w:spacing w:before="320" w:after="160"/>
      </w:pPr>
      <w:r>
        <w:rPr>
          <w:rFonts w:ascii="Calibri" w:hAnsi="Calibri"/>
          <w:color w:val="9E742E"/>
          <w:sz w:val="28"/>
          <w:rFonts w:eastAsia="Calibri" w:cs="Calibri"/>
        </w:rPr>
        <w:t>Core Values</w:t>
      </w:r>
    </w:p>
    <w:p>
      <w:pPr>
        <w:spacing w:before="80" w:after="160" w:line="240" w:lineRule="auto"/>
      </w:pPr>
      <w:r>
        <w:rPr>
          <w:rFonts w:ascii="Calibri" w:hAnsi="Calibri"/>
          <w:b/>
          <w:color w:val="B98B3B"/>
          <w:sz w:val="22"/>
          <w:rFonts w:eastAsia="Calibri" w:cs="Calibri"/>
        </w:rPr>
        <w:t>Velocity</w:t>
      </w:r>
      <w:r>
        <w:rPr>
          <w:rFonts w:ascii="Calibri" w:hAnsi="Calibri"/>
          <w:b w:val="0"/>
          <w:color w:val="1A1B1A"/>
          <w:sz w:val="20"/>
          <w:rFonts w:eastAsia="Calibri" w:cs="Calibri"/>
        </w:rPr>
        <w:t xml:space="preserve">  --  Ship faster. Reduce operational friction and accelerate delivery at every layer.</w:t>
      </w:r>
    </w:p>
    <w:p>
      <w:pPr>
        <w:spacing w:before="80" w:after="160" w:line="240" w:lineRule="auto"/>
      </w:pPr>
      <w:r>
        <w:rPr>
          <w:rFonts w:ascii="Calibri" w:hAnsi="Calibri"/>
          <w:b/>
          <w:color w:val="B98B3B"/>
          <w:sz w:val="22"/>
          <w:rFonts w:eastAsia="Calibri" w:cs="Calibri"/>
        </w:rPr>
        <w:t>Trust</w:t>
      </w:r>
      <w:r>
        <w:rPr>
          <w:rFonts w:ascii="Calibri" w:hAnsi="Calibri"/>
          <w:b w:val="0"/>
          <w:color w:val="1A1B1A"/>
          <w:sz w:val="20"/>
          <w:rFonts w:eastAsia="Calibri" w:cs="Calibri"/>
        </w:rPr>
        <w:t xml:space="preserve">  --  Security and compliance are foundational. Every action is audited, every secret encrypted.</w:t>
      </w:r>
    </w:p>
    <w:p>
      <w:pPr>
        <w:spacing w:before="80" w:after="160" w:line="240" w:lineRule="auto"/>
      </w:pPr>
      <w:r>
        <w:rPr>
          <w:rFonts w:ascii="Calibri" w:hAnsi="Calibri"/>
          <w:b/>
          <w:color w:val="B98B3B"/>
          <w:sz w:val="22"/>
          <w:rFonts w:eastAsia="Calibri" w:cs="Calibri"/>
        </w:rPr>
        <w:t>Openness</w:t>
      </w:r>
      <w:r>
        <w:rPr>
          <w:rFonts w:ascii="Calibri" w:hAnsi="Calibri"/>
          <w:b w:val="0"/>
          <w:color w:val="1A1B1A"/>
          <w:sz w:val="20"/>
          <w:rFonts w:eastAsia="Calibri" w:cs="Calibri"/>
        </w:rPr>
        <w:t xml:space="preserve">  --  Open standards, portable infrastructure, zero vendor lock-in. Your cloud, your rules.</w:t>
      </w:r>
    </w:p>
    <w:p>
      <w:pPr>
        <w:spacing w:before="80" w:after="160" w:line="240" w:lineRule="auto"/>
      </w:pPr>
      <w:r>
        <w:rPr>
          <w:rFonts w:ascii="Calibri" w:hAnsi="Calibri"/>
          <w:b/>
          <w:color w:val="B98B3B"/>
          <w:sz w:val="22"/>
          <w:rFonts w:eastAsia="Calibri" w:cs="Calibri"/>
        </w:rPr>
        <w:t>Simplicity</w:t>
      </w:r>
      <w:r>
        <w:rPr>
          <w:rFonts w:ascii="Calibri" w:hAnsi="Calibri"/>
          <w:b w:val="0"/>
          <w:color w:val="1A1B1A"/>
          <w:sz w:val="20"/>
          <w:rFonts w:eastAsia="Calibri" w:cs="Calibri"/>
        </w:rPr>
        <w:t xml:space="preserve">  --  Enterprise power with startup simplicity. Complex infrastructure, elegant experience.</w:t>
      </w:r>
    </w:p>
    <w:p>
      <w:pPr>
        <w:spacing w:before="80" w:after="160" w:line="240" w:lineRule="auto"/>
      </w:pPr>
      <w:r>
        <w:rPr>
          <w:rFonts w:ascii="Calibri" w:hAnsi="Calibri"/>
          <w:b/>
          <w:color w:val="B98B3B"/>
          <w:sz w:val="22"/>
          <w:rFonts w:eastAsia="Calibri" w:cs="Calibri"/>
        </w:rPr>
        <w:t>Community</w:t>
      </w:r>
      <w:r>
        <w:rPr>
          <w:rFonts w:ascii="Calibri" w:hAnsi="Calibri"/>
          <w:b w:val="0"/>
          <w:color w:val="1A1B1A"/>
          <w:sz w:val="20"/>
          <w:rFonts w:eastAsia="Calibri" w:cs="Calibri"/>
        </w:rPr>
        <w:t xml:space="preserve">  --  Built with and for engineers. Community feedback drives the product roadmap.</w:t>
      </w:r>
    </w:p>
    <w:p>
      <w:r>
        <w:br w:type="page"/>
      </w:r>
    </w:p>
    <w:p>
      <w:pPr>
        <w:pStyle w:val="Heading1"/>
        <w:spacing w:before="480" w:after="160"/>
      </w:pPr>
      <w:r>
        <w:rPr>
          <w:rFonts w:ascii="Calibri" w:hAnsi="Calibri"/>
          <w:color w:val="B98B3B"/>
          <w:sz w:val="40"/>
          <w:rFonts w:eastAsia="Calibri" w:cs="Calibri"/>
        </w:rPr>
        <w:t>7. Product Architecture Overview</w:t>
      </w:r>
    </w:p>
    <w:tbl>
      <w:tblPr>
        <w:tblW w:type="auto" w:w="0"/>
        <w:jc w:val="center"/>
        <w:tblLook w:firstColumn="1" w:firstRow="1" w:lastColumn="0" w:lastRow="0" w:noHBand="0" w:noVBand="1" w:val="04A0"/>
      </w:tblPr>
      <w:tblGrid>
        <w:gridCol w:w="9360"/>
      </w:tblGrid>
      <w:tr>
        <w:trPr>
          <w:trHeight w:val="40" w:hRule="exact"/>
        </w:trPr>
        <w:tc>
          <w:tcPr>
            <w:tcW w:type="dxa" w:w="9412"/>
            <w:shd w:fill="B98B3B" w:val="clear"/>
          </w:tcPr>
          <w:p>
            <w:pPr>
              <w:spacing w:before="0" w:after="0"/>
            </w:pPr>
            <w:r>
              <w:rPr>
                <w:sz w:val="2"/>
              </w:rPr>
            </w:r>
          </w:p>
        </w:tc>
      </w:tr>
    </w:tbl>
    <w:p>
      <w:pPr>
        <w:spacing w:after="80"/>
      </w:pPr>
    </w:p>
    <w:p>
      <w:pPr>
        <w:spacing w:before="0" w:after="240" w:line="240" w:lineRule="auto"/>
      </w:pPr>
      <w:r>
        <w:rPr>
          <w:rFonts w:ascii="Calibri" w:hAnsi="Calibri"/>
          <w:b w:val="0"/>
          <w:i w:val="0"/>
          <w:color w:val="1A1B1A"/>
          <w:sz w:val="21"/>
          <w:rFonts w:eastAsia="Calibri" w:cs="Calibri"/>
        </w:rPr>
        <w:t>Aravanta Cloud OS is architected as a modern, cloud-native platform with clear separation of concerns between the frontend console, backend API services, infrastructure orchestration, and the underlying multi-cloud provider fabric.</w:t>
      </w:r>
    </w:p>
    <w:p>
      <w:pPr>
        <w:pStyle w:val="Heading2"/>
        <w:spacing w:before="320" w:after="160"/>
      </w:pPr>
      <w:r>
        <w:rPr>
          <w:rFonts w:ascii="Calibri" w:hAnsi="Calibri"/>
          <w:color w:val="9E742E"/>
          <w:sz w:val="28"/>
          <w:rFonts w:eastAsia="Calibri" w:cs="Calibri"/>
        </w:rPr>
        <w:t>Tech Stack</w:t>
      </w:r>
    </w:p>
    <w:tbl>
      <w:tblPr>
        <w:tblStyle w:val="TableGrid"/>
        <w:tblW w:type="auto" w:w="0"/>
        <w:jc w:val="center"/>
        <w:tblLook w:firstColumn="1" w:firstRow="1" w:lastColumn="0" w:lastRow="0" w:noHBand="0" w:noVBand="1" w:val="04A0"/>
      </w:tblPr>
      <w:tblGrid>
        <w:gridCol w:w="3137"/>
        <w:gridCol w:w="3137"/>
        <w:gridCol w:w="3137"/>
      </w:tblGrid>
      <w:tr>
        <w:tc>
          <w:tcPr>
            <w:tcW w:type="dxa" w:w="1872"/>
            <w:shd w:fill="B98B3B" w:val="clear"/>
            <w:vAlign w:val="center"/>
          </w:tcPr>
          <w:p>
            <w:pPr>
              <w:spacing w:before="100" w:after="100"/>
              <w:jc w:val="left"/>
            </w:pPr>
            <w:r/>
            <w:r>
              <w:rPr>
                <w:rFonts w:ascii="Calibri" w:hAnsi="Calibri"/>
                <w:b/>
                <w:color w:val="FFFFFF"/>
                <w:sz w:val="18"/>
              </w:rPr>
              <w:t>Layer</w:t>
            </w:r>
          </w:p>
        </w:tc>
        <w:tc>
          <w:tcPr>
            <w:tcW w:type="dxa" w:w="3312"/>
            <w:shd w:fill="B98B3B" w:val="clear"/>
            <w:vAlign w:val="center"/>
          </w:tcPr>
          <w:p>
            <w:pPr>
              <w:spacing w:before="100" w:after="100"/>
              <w:jc w:val="left"/>
            </w:pPr>
            <w:r/>
            <w:r>
              <w:rPr>
                <w:rFonts w:ascii="Calibri" w:hAnsi="Calibri"/>
                <w:b/>
                <w:color w:val="FFFFFF"/>
                <w:sz w:val="18"/>
              </w:rPr>
              <w:t>Technology</w:t>
            </w:r>
          </w:p>
        </w:tc>
        <w:tc>
          <w:tcPr>
            <w:tcW w:type="dxa" w:w="4608"/>
            <w:shd w:fill="B98B3B" w:val="clear"/>
            <w:vAlign w:val="center"/>
          </w:tcPr>
          <w:p>
            <w:pPr>
              <w:spacing w:before="100" w:after="100"/>
              <w:jc w:val="left"/>
            </w:pPr>
            <w:r/>
            <w:r>
              <w:rPr>
                <w:rFonts w:ascii="Calibri" w:hAnsi="Calibri"/>
                <w:b/>
                <w:color w:val="FFFFFF"/>
                <w:sz w:val="18"/>
              </w:rPr>
              <w:t>Details</w:t>
            </w:r>
          </w:p>
        </w:tc>
      </w:tr>
      <w:tr>
        <w:tc>
          <w:tcPr>
            <w:tcW w:type="dxa" w:w="1872"/>
            <w:shd w:fill="FFFFFF" w:val="clear"/>
            <w:vAlign w:val="top"/>
          </w:tcPr>
          <w:p>
            <w:pPr>
              <w:spacing w:before="80" w:after="80" w:line="240" w:lineRule="auto"/>
              <w:jc w:val="left"/>
            </w:pPr>
            <w:r/>
            <w:r>
              <w:rPr>
                <w:rFonts w:ascii="Calibri" w:hAnsi="Calibri"/>
                <w:color w:val="1A1B1A"/>
                <w:sz w:val="17"/>
              </w:rPr>
              <w:t>Frontend</w:t>
            </w:r>
          </w:p>
        </w:tc>
        <w:tc>
          <w:tcPr>
            <w:tcW w:type="dxa" w:w="3312"/>
            <w:shd w:fill="FFFFFF" w:val="clear"/>
            <w:vAlign w:val="top"/>
          </w:tcPr>
          <w:p>
            <w:pPr>
              <w:spacing w:before="80" w:after="80" w:line="240" w:lineRule="auto"/>
              <w:jc w:val="left"/>
            </w:pPr>
            <w:r/>
            <w:r>
              <w:rPr>
                <w:rFonts w:ascii="Calibri" w:hAnsi="Calibri"/>
                <w:color w:val="1A1B1A"/>
                <w:sz w:val="17"/>
              </w:rPr>
              <w:t>React 18 + TypeScript + Vite</w:t>
            </w:r>
          </w:p>
        </w:tc>
        <w:tc>
          <w:tcPr>
            <w:tcW w:type="dxa" w:w="4608"/>
            <w:shd w:fill="FFFFFF" w:val="clear"/>
            <w:vAlign w:val="top"/>
          </w:tcPr>
          <w:p>
            <w:pPr>
              <w:spacing w:before="80" w:after="80" w:line="240" w:lineRule="auto"/>
              <w:jc w:val="left"/>
            </w:pPr>
            <w:r/>
            <w:r>
              <w:rPr>
                <w:rFonts w:ascii="Calibri" w:hAnsi="Calibri"/>
                <w:color w:val="1A1B1A"/>
                <w:sz w:val="17"/>
              </w:rPr>
              <w:t>Tailwind CSS, Framer Motion, Recharts, i18next (6 languages)</w:t>
            </w:r>
          </w:p>
        </w:tc>
      </w:tr>
      <w:tr>
        <w:tc>
          <w:tcPr>
            <w:tcW w:type="dxa" w:w="1872"/>
            <w:shd w:fill="F8FAFC" w:val="clear"/>
            <w:vAlign w:val="top"/>
          </w:tcPr>
          <w:p>
            <w:pPr>
              <w:spacing w:before="80" w:after="80" w:line="240" w:lineRule="auto"/>
              <w:jc w:val="left"/>
            </w:pPr>
            <w:r/>
            <w:r>
              <w:rPr>
                <w:rFonts w:ascii="Calibri" w:hAnsi="Calibri"/>
                <w:color w:val="1A1B1A"/>
                <w:sz w:val="17"/>
              </w:rPr>
              <w:t>Design System</w:t>
            </w:r>
          </w:p>
        </w:tc>
        <w:tc>
          <w:tcPr>
            <w:tcW w:type="dxa" w:w="3312"/>
            <w:shd w:fill="F8FAFC" w:val="clear"/>
            <w:vAlign w:val="top"/>
          </w:tcPr>
          <w:p>
            <w:pPr>
              <w:spacing w:before="80" w:after="80" w:line="240" w:lineRule="auto"/>
              <w:jc w:val="left"/>
            </w:pPr>
            <w:r/>
            <w:r>
              <w:rPr>
                <w:rFonts w:ascii="Calibri" w:hAnsi="Calibri"/>
                <w:color w:val="1A1B1A"/>
                <w:sz w:val="17"/>
              </w:rPr>
              <w:t>Custom Component Library</w:t>
            </w:r>
          </w:p>
        </w:tc>
        <w:tc>
          <w:tcPr>
            <w:tcW w:type="dxa" w:w="4608"/>
            <w:shd w:fill="F8FAFC" w:val="clear"/>
            <w:vAlign w:val="top"/>
          </w:tcPr>
          <w:p>
            <w:pPr>
              <w:spacing w:before="80" w:after="80" w:line="240" w:lineRule="auto"/>
              <w:jc w:val="left"/>
            </w:pPr>
            <w:r/>
            <w:r>
              <w:rPr>
                <w:rFonts w:ascii="Calibri" w:hAnsi="Calibri"/>
                <w:color w:val="1A1B1A"/>
                <w:sz w:val="17"/>
              </w:rPr>
              <w:t>Modal, Tabs, Accordion, Cards, Badges, Command Palette</w:t>
            </w:r>
          </w:p>
        </w:tc>
      </w:tr>
      <w:tr>
        <w:tc>
          <w:tcPr>
            <w:tcW w:type="dxa" w:w="1872"/>
            <w:shd w:fill="FFFFFF" w:val="clear"/>
            <w:vAlign w:val="top"/>
          </w:tcPr>
          <w:p>
            <w:pPr>
              <w:spacing w:before="80" w:after="80" w:line="240" w:lineRule="auto"/>
              <w:jc w:val="left"/>
            </w:pPr>
            <w:r/>
            <w:r>
              <w:rPr>
                <w:rFonts w:ascii="Calibri" w:hAnsi="Calibri"/>
                <w:color w:val="1A1B1A"/>
                <w:sz w:val="17"/>
              </w:rPr>
              <w:t>Backend API</w:t>
            </w:r>
          </w:p>
        </w:tc>
        <w:tc>
          <w:tcPr>
            <w:tcW w:type="dxa" w:w="3312"/>
            <w:shd w:fill="FFFFFF" w:val="clear"/>
            <w:vAlign w:val="top"/>
          </w:tcPr>
          <w:p>
            <w:pPr>
              <w:spacing w:before="80" w:after="80" w:line="240" w:lineRule="auto"/>
              <w:jc w:val="left"/>
            </w:pPr>
            <w:r/>
            <w:r>
              <w:rPr>
                <w:rFonts w:ascii="Calibri" w:hAnsi="Calibri"/>
                <w:color w:val="1A1B1A"/>
                <w:sz w:val="17"/>
              </w:rPr>
              <w:t>FastAPI (Python 3.11+)</w:t>
            </w:r>
          </w:p>
        </w:tc>
        <w:tc>
          <w:tcPr>
            <w:tcW w:type="dxa" w:w="4608"/>
            <w:shd w:fill="FFFFFF" w:val="clear"/>
            <w:vAlign w:val="top"/>
          </w:tcPr>
          <w:p>
            <w:pPr>
              <w:spacing w:before="80" w:after="80" w:line="240" w:lineRule="auto"/>
              <w:jc w:val="left"/>
            </w:pPr>
            <w:r/>
            <w:r>
              <w:rPr>
                <w:rFonts w:ascii="Calibri" w:hAnsi="Calibri"/>
                <w:color w:val="1A1B1A"/>
                <w:sz w:val="17"/>
              </w:rPr>
              <w:t>Async REST with OpenAPI 3.1, Swagger UI at /docs</w:t>
            </w:r>
          </w:p>
        </w:tc>
      </w:tr>
      <w:tr>
        <w:tc>
          <w:tcPr>
            <w:tcW w:type="dxa" w:w="1872"/>
            <w:shd w:fill="F8FAFC" w:val="clear"/>
            <w:vAlign w:val="top"/>
          </w:tcPr>
          <w:p>
            <w:pPr>
              <w:spacing w:before="80" w:after="80" w:line="240" w:lineRule="auto"/>
              <w:jc w:val="left"/>
            </w:pPr>
            <w:r/>
            <w:r>
              <w:rPr>
                <w:rFonts w:ascii="Calibri" w:hAnsi="Calibri"/>
                <w:color w:val="1A1B1A"/>
                <w:sz w:val="17"/>
              </w:rPr>
              <w:t>Database</w:t>
            </w:r>
          </w:p>
        </w:tc>
        <w:tc>
          <w:tcPr>
            <w:tcW w:type="dxa" w:w="3312"/>
            <w:shd w:fill="F8FAFC" w:val="clear"/>
            <w:vAlign w:val="top"/>
          </w:tcPr>
          <w:p>
            <w:pPr>
              <w:spacing w:before="80" w:after="80" w:line="240" w:lineRule="auto"/>
              <w:jc w:val="left"/>
            </w:pPr>
            <w:r/>
            <w:r>
              <w:rPr>
                <w:rFonts w:ascii="Calibri" w:hAnsi="Calibri"/>
                <w:color w:val="1A1B1A"/>
                <w:sz w:val="17"/>
              </w:rPr>
              <w:t>PostgreSQL 16</w:t>
            </w:r>
          </w:p>
        </w:tc>
        <w:tc>
          <w:tcPr>
            <w:tcW w:type="dxa" w:w="4608"/>
            <w:shd w:fill="F8FAFC" w:val="clear"/>
            <w:vAlign w:val="top"/>
          </w:tcPr>
          <w:p>
            <w:pPr>
              <w:spacing w:before="80" w:after="80" w:line="240" w:lineRule="auto"/>
              <w:jc w:val="left"/>
            </w:pPr>
            <w:r/>
            <w:r>
              <w:rPr>
                <w:rFonts w:ascii="Calibri" w:hAnsi="Calibri"/>
                <w:color w:val="1A1B1A"/>
                <w:sz w:val="17"/>
              </w:rPr>
              <w:t>SQLAlchemy ORM, pgvector, Patroni failover, WAL archiving</w:t>
            </w:r>
          </w:p>
        </w:tc>
      </w:tr>
      <w:tr>
        <w:tc>
          <w:tcPr>
            <w:tcW w:type="dxa" w:w="1872"/>
            <w:shd w:fill="FFFFFF" w:val="clear"/>
            <w:vAlign w:val="top"/>
          </w:tcPr>
          <w:p>
            <w:pPr>
              <w:spacing w:before="80" w:after="80" w:line="240" w:lineRule="auto"/>
              <w:jc w:val="left"/>
            </w:pPr>
            <w:r/>
            <w:r>
              <w:rPr>
                <w:rFonts w:ascii="Calibri" w:hAnsi="Calibri"/>
                <w:color w:val="1A1B1A"/>
                <w:sz w:val="17"/>
              </w:rPr>
              <w:t>Auth</w:t>
            </w:r>
          </w:p>
        </w:tc>
        <w:tc>
          <w:tcPr>
            <w:tcW w:type="dxa" w:w="3312"/>
            <w:shd w:fill="FFFFFF" w:val="clear"/>
            <w:vAlign w:val="top"/>
          </w:tcPr>
          <w:p>
            <w:pPr>
              <w:spacing w:before="80" w:after="80" w:line="240" w:lineRule="auto"/>
              <w:jc w:val="left"/>
            </w:pPr>
            <w:r/>
            <w:r>
              <w:rPr>
                <w:rFonts w:ascii="Calibri" w:hAnsi="Calibri"/>
                <w:color w:val="1A1B1A"/>
                <w:sz w:val="17"/>
              </w:rPr>
              <w:t>JWT + TOTP MFA</w:t>
            </w:r>
          </w:p>
        </w:tc>
        <w:tc>
          <w:tcPr>
            <w:tcW w:type="dxa" w:w="4608"/>
            <w:shd w:fill="FFFFFF" w:val="clear"/>
            <w:vAlign w:val="top"/>
          </w:tcPr>
          <w:p>
            <w:pPr>
              <w:spacing w:before="80" w:after="80" w:line="240" w:lineRule="auto"/>
              <w:jc w:val="left"/>
            </w:pPr>
            <w:r/>
            <w:r>
              <w:rPr>
                <w:rFonts w:ascii="Calibri" w:hAnsi="Calibri"/>
                <w:color w:val="1A1B1A"/>
                <w:sz w:val="17"/>
              </w:rPr>
              <w:t>PyJWT HS256, pyotp RFC 6238, bcrypt hashing, 5-tier RBAC</w:t>
            </w:r>
          </w:p>
        </w:tc>
      </w:tr>
      <w:tr>
        <w:tc>
          <w:tcPr>
            <w:tcW w:type="dxa" w:w="1872"/>
            <w:shd w:fill="F8FAFC" w:val="clear"/>
            <w:vAlign w:val="top"/>
          </w:tcPr>
          <w:p>
            <w:pPr>
              <w:spacing w:before="80" w:after="80" w:line="240" w:lineRule="auto"/>
              <w:jc w:val="left"/>
            </w:pPr>
            <w:r/>
            <w:r>
              <w:rPr>
                <w:rFonts w:ascii="Calibri" w:hAnsi="Calibri"/>
                <w:color w:val="1A1B1A"/>
                <w:sz w:val="17"/>
              </w:rPr>
              <w:t>Deployment</w:t>
            </w:r>
          </w:p>
        </w:tc>
        <w:tc>
          <w:tcPr>
            <w:tcW w:type="dxa" w:w="3312"/>
            <w:shd w:fill="F8FAFC" w:val="clear"/>
            <w:vAlign w:val="top"/>
          </w:tcPr>
          <w:p>
            <w:pPr>
              <w:spacing w:before="80" w:after="80" w:line="240" w:lineRule="auto"/>
              <w:jc w:val="left"/>
            </w:pPr>
            <w:r/>
            <w:r>
              <w:rPr>
                <w:rFonts w:ascii="Calibri" w:hAnsi="Calibri"/>
                <w:color w:val="1A1B1A"/>
                <w:sz w:val="17"/>
              </w:rPr>
              <w:t>Vercel Serverless</w:t>
            </w:r>
          </w:p>
        </w:tc>
        <w:tc>
          <w:tcPr>
            <w:tcW w:type="dxa" w:w="4608"/>
            <w:shd w:fill="F8FAFC" w:val="clear"/>
            <w:vAlign w:val="top"/>
          </w:tcPr>
          <w:p>
            <w:pPr>
              <w:spacing w:before="80" w:after="80" w:line="240" w:lineRule="auto"/>
              <w:jc w:val="left"/>
            </w:pPr>
            <w:r/>
            <w:r>
              <w:rPr>
                <w:rFonts w:ascii="Calibri" w:hAnsi="Calibri"/>
                <w:color w:val="1A1B1A"/>
                <w:sz w:val="17"/>
              </w:rPr>
              <w:t>Mangum ASGI adapter, auto-scaling, edge caching</w:t>
            </w:r>
          </w:p>
        </w:tc>
      </w:tr>
      <w:tr>
        <w:tc>
          <w:tcPr>
            <w:tcW w:type="dxa" w:w="1872"/>
            <w:shd w:fill="FFFFFF" w:val="clear"/>
            <w:vAlign w:val="top"/>
          </w:tcPr>
          <w:p>
            <w:pPr>
              <w:spacing w:before="80" w:after="80" w:line="240" w:lineRule="auto"/>
              <w:jc w:val="left"/>
            </w:pPr>
            <w:r/>
            <w:r>
              <w:rPr>
                <w:rFonts w:ascii="Calibri" w:hAnsi="Calibri"/>
                <w:color w:val="1A1B1A"/>
                <w:sz w:val="17"/>
              </w:rPr>
              <w:t>Monitoring</w:t>
            </w:r>
          </w:p>
        </w:tc>
        <w:tc>
          <w:tcPr>
            <w:tcW w:type="dxa" w:w="3312"/>
            <w:shd w:fill="FFFFFF" w:val="clear"/>
            <w:vAlign w:val="top"/>
          </w:tcPr>
          <w:p>
            <w:pPr>
              <w:spacing w:before="80" w:after="80" w:line="240" w:lineRule="auto"/>
              <w:jc w:val="left"/>
            </w:pPr>
            <w:r/>
            <w:r>
              <w:rPr>
                <w:rFonts w:ascii="Calibri" w:hAnsi="Calibri"/>
                <w:color w:val="1A1B1A"/>
                <w:sz w:val="17"/>
              </w:rPr>
              <w:t>Prometheus + Loki + OTEL</w:t>
            </w:r>
          </w:p>
        </w:tc>
        <w:tc>
          <w:tcPr>
            <w:tcW w:type="dxa" w:w="4608"/>
            <w:shd w:fill="FFFFFF" w:val="clear"/>
            <w:vAlign w:val="top"/>
          </w:tcPr>
          <w:p>
            <w:pPr>
              <w:spacing w:before="80" w:after="80" w:line="240" w:lineRule="auto"/>
              <w:jc w:val="left"/>
            </w:pPr>
            <w:r/>
            <w:r>
              <w:rPr>
                <w:rFonts w:ascii="Calibri" w:hAnsi="Calibri"/>
                <w:color w:val="1A1B1A"/>
                <w:sz w:val="17"/>
              </w:rPr>
              <w:t>Sub-second metrics, structured logs, distributed traces</w:t>
            </w:r>
          </w:p>
        </w:tc>
      </w:tr>
      <w:tr>
        <w:tc>
          <w:tcPr>
            <w:tcW w:type="dxa" w:w="1872"/>
            <w:shd w:fill="F8FAFC" w:val="clear"/>
            <w:vAlign w:val="top"/>
          </w:tcPr>
          <w:p>
            <w:pPr>
              <w:spacing w:before="80" w:after="80" w:line="240" w:lineRule="auto"/>
              <w:jc w:val="left"/>
            </w:pPr>
            <w:r/>
            <w:r>
              <w:rPr>
                <w:rFonts w:ascii="Calibri" w:hAnsi="Calibri"/>
                <w:color w:val="1A1B1A"/>
                <w:sz w:val="17"/>
              </w:rPr>
              <w:t>CI/CD</w:t>
            </w:r>
          </w:p>
        </w:tc>
        <w:tc>
          <w:tcPr>
            <w:tcW w:type="dxa" w:w="3312"/>
            <w:shd w:fill="F8FAFC" w:val="clear"/>
            <w:vAlign w:val="top"/>
          </w:tcPr>
          <w:p>
            <w:pPr>
              <w:spacing w:before="80" w:after="80" w:line="240" w:lineRule="auto"/>
              <w:jc w:val="left"/>
            </w:pPr>
            <w:r/>
            <w:r>
              <w:rPr>
                <w:rFonts w:ascii="Calibri" w:hAnsi="Calibri"/>
                <w:color w:val="1A1B1A"/>
                <w:sz w:val="17"/>
              </w:rPr>
              <w:t>GitHub Actions + ArvCD</w:t>
            </w:r>
          </w:p>
        </w:tc>
        <w:tc>
          <w:tcPr>
            <w:tcW w:type="dxa" w:w="4608"/>
            <w:shd w:fill="F8FAFC" w:val="clear"/>
            <w:vAlign w:val="top"/>
          </w:tcPr>
          <w:p>
            <w:pPr>
              <w:spacing w:before="80" w:after="80" w:line="240" w:lineRule="auto"/>
              <w:jc w:val="left"/>
            </w:pPr>
            <w:r/>
            <w:r>
              <w:rPr>
                <w:rFonts w:ascii="Calibri" w:hAnsi="Calibri"/>
                <w:color w:val="1A1B1A"/>
                <w:sz w:val="17"/>
              </w:rPr>
              <w:t>Flux-compatible GitOps: rolling, canary, blue/green</w:t>
            </w:r>
          </w:p>
        </w:tc>
      </w:tr>
      <w:tr>
        <w:tc>
          <w:tcPr>
            <w:tcW w:type="dxa" w:w="1872"/>
            <w:shd w:fill="FFFFFF" w:val="clear"/>
            <w:vAlign w:val="top"/>
          </w:tcPr>
          <w:p>
            <w:pPr>
              <w:spacing w:before="80" w:after="80" w:line="240" w:lineRule="auto"/>
              <w:jc w:val="left"/>
            </w:pPr>
            <w:r/>
            <w:r>
              <w:rPr>
                <w:rFonts w:ascii="Calibri" w:hAnsi="Calibri"/>
                <w:color w:val="1A1B1A"/>
                <w:sz w:val="17"/>
              </w:rPr>
              <w:t>IaC</w:t>
            </w:r>
          </w:p>
        </w:tc>
        <w:tc>
          <w:tcPr>
            <w:tcW w:type="dxa" w:w="3312"/>
            <w:shd w:fill="FFFFFF" w:val="clear"/>
            <w:vAlign w:val="top"/>
          </w:tcPr>
          <w:p>
            <w:pPr>
              <w:spacing w:before="80" w:after="80" w:line="240" w:lineRule="auto"/>
              <w:jc w:val="left"/>
            </w:pPr>
            <w:r/>
            <w:r>
              <w:rPr>
                <w:rFonts w:ascii="Calibri" w:hAnsi="Calibri"/>
                <w:color w:val="1A1B1A"/>
                <w:sz w:val="17"/>
              </w:rPr>
              <w:t>Terraform Provider</w:t>
            </w:r>
          </w:p>
        </w:tc>
        <w:tc>
          <w:tcPr>
            <w:tcW w:type="dxa" w:w="4608"/>
            <w:shd w:fill="FFFFFF" w:val="clear"/>
            <w:vAlign w:val="top"/>
          </w:tcPr>
          <w:p>
            <w:pPr>
              <w:spacing w:before="80" w:after="80" w:line="240" w:lineRule="auto"/>
              <w:jc w:val="left"/>
            </w:pPr>
            <w:r/>
            <w:r>
              <w:rPr>
                <w:rFonts w:ascii="Calibri" w:hAnsi="Calibri"/>
                <w:color w:val="1A1B1A"/>
                <w:sz w:val="17"/>
              </w:rPr>
              <w:t>Official provider with 180+ resource definitions</w:t>
            </w:r>
          </w:p>
        </w:tc>
      </w:tr>
      <w:tr>
        <w:tc>
          <w:tcPr>
            <w:tcW w:type="dxa" w:w="1872"/>
            <w:shd w:fill="F8FAFC" w:val="clear"/>
            <w:vAlign w:val="top"/>
          </w:tcPr>
          <w:p>
            <w:pPr>
              <w:spacing w:before="80" w:after="80" w:line="240" w:lineRule="auto"/>
              <w:jc w:val="left"/>
            </w:pPr>
            <w:r/>
            <w:r>
              <w:rPr>
                <w:rFonts w:ascii="Calibri" w:hAnsi="Calibri"/>
                <w:color w:val="1A1B1A"/>
                <w:sz w:val="17"/>
              </w:rPr>
              <w:t>SDKs</w:t>
            </w:r>
          </w:p>
        </w:tc>
        <w:tc>
          <w:tcPr>
            <w:tcW w:type="dxa" w:w="3312"/>
            <w:shd w:fill="F8FAFC" w:val="clear"/>
            <w:vAlign w:val="top"/>
          </w:tcPr>
          <w:p>
            <w:pPr>
              <w:spacing w:before="80" w:after="80" w:line="240" w:lineRule="auto"/>
              <w:jc w:val="left"/>
            </w:pPr>
            <w:r/>
            <w:r>
              <w:rPr>
                <w:rFonts w:ascii="Calibri" w:hAnsi="Calibri"/>
                <w:color w:val="1A1B1A"/>
                <w:sz w:val="17"/>
              </w:rPr>
              <w:t>Node.js, Python, Go, Java</w:t>
            </w:r>
          </w:p>
        </w:tc>
        <w:tc>
          <w:tcPr>
            <w:tcW w:type="dxa" w:w="4608"/>
            <w:shd w:fill="F8FAFC" w:val="clear"/>
            <w:vAlign w:val="top"/>
          </w:tcPr>
          <w:p>
            <w:pPr>
              <w:spacing w:before="80" w:after="80" w:line="240" w:lineRule="auto"/>
              <w:jc w:val="left"/>
            </w:pPr>
            <w:r/>
            <w:r>
              <w:rPr>
                <w:rFonts w:ascii="Calibri" w:hAnsi="Calibri"/>
                <w:color w:val="1A1B1A"/>
                <w:sz w:val="17"/>
              </w:rPr>
              <w:t>Typed SDKs with retries, pagination, OpenAPI 3.1 spec</w:t>
            </w:r>
          </w:p>
        </w:tc>
      </w:tr>
      <w:tr>
        <w:tc>
          <w:tcPr>
            <w:tcW w:type="dxa" w:w="1872"/>
            <w:shd w:fill="FFFFFF" w:val="clear"/>
            <w:vAlign w:val="top"/>
          </w:tcPr>
          <w:p>
            <w:pPr>
              <w:spacing w:before="80" w:after="80" w:line="240" w:lineRule="auto"/>
              <w:jc w:val="left"/>
            </w:pPr>
            <w:r/>
            <w:r>
              <w:rPr>
                <w:rFonts w:ascii="Calibri" w:hAnsi="Calibri"/>
                <w:color w:val="1A1B1A"/>
                <w:sz w:val="17"/>
              </w:rPr>
              <w:t>CLI</w:t>
            </w:r>
          </w:p>
        </w:tc>
        <w:tc>
          <w:tcPr>
            <w:tcW w:type="dxa" w:w="3312"/>
            <w:shd w:fill="FFFFFF" w:val="clear"/>
            <w:vAlign w:val="top"/>
          </w:tcPr>
          <w:p>
            <w:pPr>
              <w:spacing w:before="80" w:after="80" w:line="240" w:lineRule="auto"/>
              <w:jc w:val="left"/>
            </w:pPr>
            <w:r/>
            <w:r>
              <w:rPr>
                <w:rFonts w:ascii="Calibri" w:hAnsi="Calibri"/>
                <w:color w:val="1A1B1A"/>
                <w:sz w:val="17"/>
              </w:rPr>
              <w:t>agy CLI</w:t>
            </w:r>
          </w:p>
        </w:tc>
        <w:tc>
          <w:tcPr>
            <w:tcW w:type="dxa" w:w="4608"/>
            <w:shd w:fill="FFFFFF" w:val="clear"/>
            <w:vAlign w:val="top"/>
          </w:tcPr>
          <w:p>
            <w:pPr>
              <w:spacing w:before="80" w:after="80" w:line="240" w:lineRule="auto"/>
              <w:jc w:val="left"/>
            </w:pPr>
            <w:r/>
            <w:r>
              <w:rPr>
                <w:rFonts w:ascii="Calibri" w:hAnsi="Calibri"/>
                <w:color w:val="1A1B1A"/>
                <w:sz w:val="17"/>
              </w:rPr>
              <w:t>Multi-platform with bash/zsh/fish/pwsh tab-completion</w:t>
            </w:r>
          </w:p>
        </w:tc>
      </w:tr>
    </w:tbl>
    <w:p>
      <w:pPr>
        <w:spacing w:after="160"/>
      </w:pPr>
    </w:p>
    <w:p>
      <w:pPr>
        <w:pStyle w:val="Heading2"/>
        <w:spacing w:before="320" w:after="160"/>
      </w:pPr>
      <w:r>
        <w:rPr>
          <w:rFonts w:ascii="Calibri" w:hAnsi="Calibri"/>
          <w:color w:val="9E742E"/>
          <w:sz w:val="28"/>
          <w:rFonts w:eastAsia="Calibri" w:cs="Calibri"/>
        </w:rPr>
        <w:t>13 Backend Microservices</w:t>
      </w:r>
    </w:p>
    <w:tbl>
      <w:tblPr>
        <w:tblStyle w:val="TableGrid"/>
        <w:tblW w:type="auto" w:w="0"/>
        <w:jc w:val="center"/>
        <w:tblLook w:firstColumn="1" w:firstRow="1" w:lastColumn="0" w:lastRow="0" w:noHBand="0" w:noVBand="1" w:val="04A0"/>
      </w:tblPr>
      <w:tblGrid>
        <w:gridCol w:w="3137"/>
        <w:gridCol w:w="3137"/>
        <w:gridCol w:w="3137"/>
      </w:tblGrid>
      <w:tr>
        <w:tc>
          <w:tcPr>
            <w:tcW w:type="dxa" w:w="1728"/>
            <w:shd w:fill="B98B3B" w:val="clear"/>
            <w:vAlign w:val="center"/>
          </w:tcPr>
          <w:p>
            <w:pPr>
              <w:spacing w:before="100" w:after="100"/>
              <w:jc w:val="left"/>
            </w:pPr>
            <w:r/>
            <w:r>
              <w:rPr>
                <w:rFonts w:ascii="Calibri" w:hAnsi="Calibri"/>
                <w:b/>
                <w:color w:val="FFFFFF"/>
                <w:sz w:val="18"/>
              </w:rPr>
              <w:t>Service</w:t>
            </w:r>
          </w:p>
        </w:tc>
        <w:tc>
          <w:tcPr>
            <w:tcW w:type="dxa" w:w="2160"/>
            <w:shd w:fill="B98B3B" w:val="clear"/>
            <w:vAlign w:val="center"/>
          </w:tcPr>
          <w:p>
            <w:pPr>
              <w:spacing w:before="100" w:after="100"/>
              <w:jc w:val="left"/>
            </w:pPr>
            <w:r/>
            <w:r>
              <w:rPr>
                <w:rFonts w:ascii="Calibri" w:hAnsi="Calibri"/>
                <w:b/>
                <w:color w:val="FFFFFF"/>
                <w:sz w:val="18"/>
              </w:rPr>
              <w:t>Domain</w:t>
            </w:r>
          </w:p>
        </w:tc>
        <w:tc>
          <w:tcPr>
            <w:tcW w:type="dxa" w:w="5904"/>
            <w:shd w:fill="B98B3B" w:val="clear"/>
            <w:vAlign w:val="center"/>
          </w:tcPr>
          <w:p>
            <w:pPr>
              <w:spacing w:before="100" w:after="100"/>
              <w:jc w:val="left"/>
            </w:pPr>
            <w:r/>
            <w:r>
              <w:rPr>
                <w:rFonts w:ascii="Calibri" w:hAnsi="Calibri"/>
                <w:b/>
                <w:color w:val="FFFFFF"/>
                <w:sz w:val="18"/>
              </w:rPr>
              <w:t>Capabilities</w:t>
            </w:r>
          </w:p>
        </w:tc>
      </w:tr>
      <w:tr>
        <w:tc>
          <w:tcPr>
            <w:tcW w:type="dxa" w:w="1728"/>
            <w:shd w:fill="FFFFFF" w:val="clear"/>
            <w:vAlign w:val="top"/>
          </w:tcPr>
          <w:p>
            <w:pPr>
              <w:spacing w:before="80" w:after="80" w:line="240" w:lineRule="auto"/>
              <w:jc w:val="left"/>
            </w:pPr>
            <w:r/>
            <w:r>
              <w:rPr>
                <w:rFonts w:ascii="Calibri" w:hAnsi="Calibri"/>
                <w:color w:val="1A1B1A"/>
                <w:sz w:val="17"/>
              </w:rPr>
              <w:t>arvgate</w:t>
            </w:r>
          </w:p>
        </w:tc>
        <w:tc>
          <w:tcPr>
            <w:tcW w:type="dxa" w:w="2160"/>
            <w:shd w:fill="FFFFFF" w:val="clear"/>
            <w:vAlign w:val="top"/>
          </w:tcPr>
          <w:p>
            <w:pPr>
              <w:spacing w:before="80" w:after="80" w:line="240" w:lineRule="auto"/>
              <w:jc w:val="left"/>
            </w:pPr>
            <w:r/>
            <w:r>
              <w:rPr>
                <w:rFonts w:ascii="Calibri" w:hAnsi="Calibri"/>
                <w:color w:val="1A1B1A"/>
                <w:sz w:val="17"/>
              </w:rPr>
              <w:t>Identity &amp; Auth</w:t>
            </w:r>
          </w:p>
        </w:tc>
        <w:tc>
          <w:tcPr>
            <w:tcW w:type="dxa" w:w="5904"/>
            <w:shd w:fill="FFFFFF" w:val="clear"/>
            <w:vAlign w:val="top"/>
          </w:tcPr>
          <w:p>
            <w:pPr>
              <w:spacing w:before="80" w:after="80" w:line="240" w:lineRule="auto"/>
              <w:jc w:val="left"/>
            </w:pPr>
            <w:r/>
            <w:r>
              <w:rPr>
                <w:rFonts w:ascii="Calibri" w:hAnsi="Calibri"/>
                <w:color w:val="1A1B1A"/>
                <w:sz w:val="17"/>
              </w:rPr>
              <w:t>Registration, JWT, TOTP MFA, sessions, audit logging</w:t>
            </w:r>
          </w:p>
        </w:tc>
      </w:tr>
      <w:tr>
        <w:tc>
          <w:tcPr>
            <w:tcW w:type="dxa" w:w="1728"/>
            <w:shd w:fill="F8FAFC" w:val="clear"/>
            <w:vAlign w:val="top"/>
          </w:tcPr>
          <w:p>
            <w:pPr>
              <w:spacing w:before="80" w:after="80" w:line="240" w:lineRule="auto"/>
              <w:jc w:val="left"/>
            </w:pPr>
            <w:r/>
            <w:r>
              <w:rPr>
                <w:rFonts w:ascii="Calibri" w:hAnsi="Calibri"/>
                <w:color w:val="1A1B1A"/>
                <w:sz w:val="17"/>
              </w:rPr>
              <w:t>arvcompute</w:t>
            </w:r>
          </w:p>
        </w:tc>
        <w:tc>
          <w:tcPr>
            <w:tcW w:type="dxa" w:w="2160"/>
            <w:shd w:fill="F8FAFC" w:val="clear"/>
            <w:vAlign w:val="top"/>
          </w:tcPr>
          <w:p>
            <w:pPr>
              <w:spacing w:before="80" w:after="80" w:line="240" w:lineRule="auto"/>
              <w:jc w:val="left"/>
            </w:pPr>
            <w:r/>
            <w:r>
              <w:rPr>
                <w:rFonts w:ascii="Calibri" w:hAnsi="Calibri"/>
                <w:color w:val="1A1B1A"/>
                <w:sz w:val="17"/>
              </w:rPr>
              <w:t>Virtual Machines</w:t>
            </w:r>
          </w:p>
        </w:tc>
        <w:tc>
          <w:tcPr>
            <w:tcW w:type="dxa" w:w="5904"/>
            <w:shd w:fill="F8FAFC" w:val="clear"/>
            <w:vAlign w:val="top"/>
          </w:tcPr>
          <w:p>
            <w:pPr>
              <w:spacing w:before="80" w:after="80" w:line="240" w:lineRule="auto"/>
              <w:jc w:val="left"/>
            </w:pPr>
            <w:r/>
            <w:r>
              <w:rPr>
                <w:rFonts w:ascii="Calibri" w:hAnsi="Calibri"/>
                <w:color w:val="1A1B1A"/>
                <w:sz w:val="17"/>
              </w:rPr>
              <w:t>80+ shapes, NVMe SSD, live resize, spot pools</w:t>
            </w:r>
          </w:p>
        </w:tc>
      </w:tr>
      <w:tr>
        <w:tc>
          <w:tcPr>
            <w:tcW w:type="dxa" w:w="1728"/>
            <w:shd w:fill="FFFFFF" w:val="clear"/>
            <w:vAlign w:val="top"/>
          </w:tcPr>
          <w:p>
            <w:pPr>
              <w:spacing w:before="80" w:after="80" w:line="240" w:lineRule="auto"/>
              <w:jc w:val="left"/>
            </w:pPr>
            <w:r/>
            <w:r>
              <w:rPr>
                <w:rFonts w:ascii="Calibri" w:hAnsi="Calibri"/>
                <w:color w:val="1A1B1A"/>
                <w:sz w:val="17"/>
              </w:rPr>
              <w:t>arvkube</w:t>
            </w:r>
          </w:p>
        </w:tc>
        <w:tc>
          <w:tcPr>
            <w:tcW w:type="dxa" w:w="2160"/>
            <w:shd w:fill="FFFFFF" w:val="clear"/>
            <w:vAlign w:val="top"/>
          </w:tcPr>
          <w:p>
            <w:pPr>
              <w:spacing w:before="80" w:after="80" w:line="240" w:lineRule="auto"/>
              <w:jc w:val="left"/>
            </w:pPr>
            <w:r/>
            <w:r>
              <w:rPr>
                <w:rFonts w:ascii="Calibri" w:hAnsi="Calibri"/>
                <w:color w:val="1A1B1A"/>
                <w:sz w:val="17"/>
              </w:rPr>
              <w:t>Managed K8s</w:t>
            </w:r>
          </w:p>
        </w:tc>
        <w:tc>
          <w:tcPr>
            <w:tcW w:type="dxa" w:w="5904"/>
            <w:shd w:fill="FFFFFF" w:val="clear"/>
            <w:vAlign w:val="top"/>
          </w:tcPr>
          <w:p>
            <w:pPr>
              <w:spacing w:before="80" w:after="80" w:line="240" w:lineRule="auto"/>
              <w:jc w:val="left"/>
            </w:pPr>
            <w:r/>
            <w:r>
              <w:rPr>
                <w:rFonts w:ascii="Calibri" w:hAnsi="Calibri"/>
                <w:color w:val="1A1B1A"/>
                <w:sz w:val="17"/>
              </w:rPr>
              <w:t>K8s v1.27-1.30, node pools, pod telemetry, kubeconfig</w:t>
            </w:r>
          </w:p>
        </w:tc>
      </w:tr>
      <w:tr>
        <w:tc>
          <w:tcPr>
            <w:tcW w:type="dxa" w:w="1728"/>
            <w:shd w:fill="F8FAFC" w:val="clear"/>
            <w:vAlign w:val="top"/>
          </w:tcPr>
          <w:p>
            <w:pPr>
              <w:spacing w:before="80" w:after="80" w:line="240" w:lineRule="auto"/>
              <w:jc w:val="left"/>
            </w:pPr>
            <w:r/>
            <w:r>
              <w:rPr>
                <w:rFonts w:ascii="Calibri" w:hAnsi="Calibri"/>
                <w:color w:val="1A1B1A"/>
                <w:sz w:val="17"/>
              </w:rPr>
              <w:t>arvstore</w:t>
            </w:r>
          </w:p>
        </w:tc>
        <w:tc>
          <w:tcPr>
            <w:tcW w:type="dxa" w:w="2160"/>
            <w:shd w:fill="F8FAFC" w:val="clear"/>
            <w:vAlign w:val="top"/>
          </w:tcPr>
          <w:p>
            <w:pPr>
              <w:spacing w:before="80" w:after="80" w:line="240" w:lineRule="auto"/>
              <w:jc w:val="left"/>
            </w:pPr>
            <w:r/>
            <w:r>
              <w:rPr>
                <w:rFonts w:ascii="Calibri" w:hAnsi="Calibri"/>
                <w:color w:val="1A1B1A"/>
                <w:sz w:val="17"/>
              </w:rPr>
              <w:t>Object Storage</w:t>
            </w:r>
          </w:p>
        </w:tc>
        <w:tc>
          <w:tcPr>
            <w:tcW w:type="dxa" w:w="5904"/>
            <w:shd w:fill="F8FAFC" w:val="clear"/>
            <w:vAlign w:val="top"/>
          </w:tcPr>
          <w:p>
            <w:pPr>
              <w:spacing w:before="80" w:after="80" w:line="240" w:lineRule="auto"/>
              <w:jc w:val="left"/>
            </w:pPr>
            <w:r/>
            <w:r>
              <w:rPr>
                <w:rFonts w:ascii="Calibri" w:hAnsi="Calibri"/>
                <w:color w:val="1A1B1A"/>
                <w:sz w:val="17"/>
              </w:rPr>
              <w:t>S3-compatible, Object Lock/WORM, pre-signed URLs</w:t>
            </w:r>
          </w:p>
        </w:tc>
      </w:tr>
      <w:tr>
        <w:tc>
          <w:tcPr>
            <w:tcW w:type="dxa" w:w="1728"/>
            <w:shd w:fill="FFFFFF" w:val="clear"/>
            <w:vAlign w:val="top"/>
          </w:tcPr>
          <w:p>
            <w:pPr>
              <w:spacing w:before="80" w:after="80" w:line="240" w:lineRule="auto"/>
              <w:jc w:val="left"/>
            </w:pPr>
            <w:r/>
            <w:r>
              <w:rPr>
                <w:rFonts w:ascii="Calibri" w:hAnsi="Calibri"/>
                <w:color w:val="1A1B1A"/>
                <w:sz w:val="17"/>
              </w:rPr>
              <w:t>arvdb</w:t>
            </w:r>
          </w:p>
        </w:tc>
        <w:tc>
          <w:tcPr>
            <w:tcW w:type="dxa" w:w="2160"/>
            <w:shd w:fill="FFFFFF" w:val="clear"/>
            <w:vAlign w:val="top"/>
          </w:tcPr>
          <w:p>
            <w:pPr>
              <w:spacing w:before="80" w:after="80" w:line="240" w:lineRule="auto"/>
              <w:jc w:val="left"/>
            </w:pPr>
            <w:r/>
            <w:r>
              <w:rPr>
                <w:rFonts w:ascii="Calibri" w:hAnsi="Calibri"/>
                <w:color w:val="1A1B1A"/>
                <w:sz w:val="17"/>
              </w:rPr>
              <w:t>Databases</w:t>
            </w:r>
          </w:p>
        </w:tc>
        <w:tc>
          <w:tcPr>
            <w:tcW w:type="dxa" w:w="5904"/>
            <w:shd w:fill="FFFFFF" w:val="clear"/>
            <w:vAlign w:val="top"/>
          </w:tcPr>
          <w:p>
            <w:pPr>
              <w:spacing w:before="80" w:after="80" w:line="240" w:lineRule="auto"/>
              <w:jc w:val="left"/>
            </w:pPr>
            <w:r/>
            <w:r>
              <w:rPr>
                <w:rFonts w:ascii="Calibri" w:hAnsi="Calibri"/>
                <w:color w:val="1A1B1A"/>
                <w:sz w:val="17"/>
              </w:rPr>
              <w:t>PostgreSQL, MySQL, Redis, MongoDB, ClickHouse</w:t>
            </w:r>
          </w:p>
        </w:tc>
      </w:tr>
      <w:tr>
        <w:tc>
          <w:tcPr>
            <w:tcW w:type="dxa" w:w="1728"/>
            <w:shd w:fill="F8FAFC" w:val="clear"/>
            <w:vAlign w:val="top"/>
          </w:tcPr>
          <w:p>
            <w:pPr>
              <w:spacing w:before="80" w:after="80" w:line="240" w:lineRule="auto"/>
              <w:jc w:val="left"/>
            </w:pPr>
            <w:r/>
            <w:r>
              <w:rPr>
                <w:rFonts w:ascii="Calibri" w:hAnsi="Calibri"/>
                <w:color w:val="1A1B1A"/>
                <w:sz w:val="17"/>
              </w:rPr>
              <w:t>arvwatch</w:t>
            </w:r>
          </w:p>
        </w:tc>
        <w:tc>
          <w:tcPr>
            <w:tcW w:type="dxa" w:w="2160"/>
            <w:shd w:fill="F8FAFC" w:val="clear"/>
            <w:vAlign w:val="top"/>
          </w:tcPr>
          <w:p>
            <w:pPr>
              <w:spacing w:before="80" w:after="80" w:line="240" w:lineRule="auto"/>
              <w:jc w:val="left"/>
            </w:pPr>
            <w:r/>
            <w:r>
              <w:rPr>
                <w:rFonts w:ascii="Calibri" w:hAnsi="Calibri"/>
                <w:color w:val="1A1B1A"/>
                <w:sz w:val="17"/>
              </w:rPr>
              <w:t>Observability</w:t>
            </w:r>
          </w:p>
        </w:tc>
        <w:tc>
          <w:tcPr>
            <w:tcW w:type="dxa" w:w="5904"/>
            <w:shd w:fill="F8FAFC" w:val="clear"/>
            <w:vAlign w:val="top"/>
          </w:tcPr>
          <w:p>
            <w:pPr>
              <w:spacing w:before="80" w:after="80" w:line="240" w:lineRule="auto"/>
              <w:jc w:val="left"/>
            </w:pPr>
            <w:r/>
            <w:r>
              <w:rPr>
                <w:rFonts w:ascii="Calibri" w:hAnsi="Calibri"/>
                <w:color w:val="1A1B1A"/>
                <w:sz w:val="17"/>
              </w:rPr>
              <w:t>Prometheus TSDB, Loki logs, distributed traces</w:t>
            </w:r>
          </w:p>
        </w:tc>
      </w:tr>
      <w:tr>
        <w:tc>
          <w:tcPr>
            <w:tcW w:type="dxa" w:w="1728"/>
            <w:shd w:fill="FFFFFF" w:val="clear"/>
            <w:vAlign w:val="top"/>
          </w:tcPr>
          <w:p>
            <w:pPr>
              <w:spacing w:before="80" w:after="80" w:line="240" w:lineRule="auto"/>
              <w:jc w:val="left"/>
            </w:pPr>
            <w:r/>
            <w:r>
              <w:rPr>
                <w:rFonts w:ascii="Calibri" w:hAnsi="Calibri"/>
                <w:color w:val="1A1B1A"/>
                <w:sz w:val="17"/>
              </w:rPr>
              <w:t>arvcicd</w:t>
            </w:r>
          </w:p>
        </w:tc>
        <w:tc>
          <w:tcPr>
            <w:tcW w:type="dxa" w:w="2160"/>
            <w:shd w:fill="FFFFFF" w:val="clear"/>
            <w:vAlign w:val="top"/>
          </w:tcPr>
          <w:p>
            <w:pPr>
              <w:spacing w:before="80" w:after="80" w:line="240" w:lineRule="auto"/>
              <w:jc w:val="left"/>
            </w:pPr>
            <w:r/>
            <w:r>
              <w:rPr>
                <w:rFonts w:ascii="Calibri" w:hAnsi="Calibri"/>
                <w:color w:val="1A1B1A"/>
                <w:sz w:val="17"/>
              </w:rPr>
              <w:t>Delivery</w:t>
            </w:r>
          </w:p>
        </w:tc>
        <w:tc>
          <w:tcPr>
            <w:tcW w:type="dxa" w:w="5904"/>
            <w:shd w:fill="FFFFFF" w:val="clear"/>
            <w:vAlign w:val="top"/>
          </w:tcPr>
          <w:p>
            <w:pPr>
              <w:spacing w:before="80" w:after="80" w:line="240" w:lineRule="auto"/>
              <w:jc w:val="left"/>
            </w:pPr>
            <w:r/>
            <w:r>
              <w:rPr>
                <w:rFonts w:ascii="Calibri" w:hAnsi="Calibri"/>
                <w:color w:val="1A1B1A"/>
                <w:sz w:val="17"/>
              </w:rPr>
              <w:t>GitOps sync, canary rollouts, container signing</w:t>
            </w:r>
          </w:p>
        </w:tc>
      </w:tr>
      <w:tr>
        <w:tc>
          <w:tcPr>
            <w:tcW w:type="dxa" w:w="1728"/>
            <w:shd w:fill="F8FAFC" w:val="clear"/>
            <w:vAlign w:val="top"/>
          </w:tcPr>
          <w:p>
            <w:pPr>
              <w:spacing w:before="80" w:after="80" w:line="240" w:lineRule="auto"/>
              <w:jc w:val="left"/>
            </w:pPr>
            <w:r/>
            <w:r>
              <w:rPr>
                <w:rFonts w:ascii="Calibri" w:hAnsi="Calibri"/>
                <w:color w:val="1A1B1A"/>
                <w:sz w:val="17"/>
              </w:rPr>
              <w:t>arvedge</w:t>
            </w:r>
          </w:p>
        </w:tc>
        <w:tc>
          <w:tcPr>
            <w:tcW w:type="dxa" w:w="2160"/>
            <w:shd w:fill="F8FAFC" w:val="clear"/>
            <w:vAlign w:val="top"/>
          </w:tcPr>
          <w:p>
            <w:pPr>
              <w:spacing w:before="80" w:after="80" w:line="240" w:lineRule="auto"/>
              <w:jc w:val="left"/>
            </w:pPr>
            <w:r/>
            <w:r>
              <w:rPr>
                <w:rFonts w:ascii="Calibri" w:hAnsi="Calibri"/>
                <w:color w:val="1A1B1A"/>
                <w:sz w:val="17"/>
              </w:rPr>
              <w:t>Networking</w:t>
            </w:r>
          </w:p>
        </w:tc>
        <w:tc>
          <w:tcPr>
            <w:tcW w:type="dxa" w:w="5904"/>
            <w:shd w:fill="F8FAFC" w:val="clear"/>
            <w:vAlign w:val="top"/>
          </w:tcPr>
          <w:p>
            <w:pPr>
              <w:spacing w:before="80" w:after="80" w:line="240" w:lineRule="auto"/>
              <w:jc w:val="left"/>
            </w:pPr>
            <w:r/>
            <w:r>
              <w:rPr>
                <w:rFonts w:ascii="Calibri" w:hAnsi="Calibri"/>
                <w:color w:val="1A1B1A"/>
                <w:sz w:val="17"/>
              </w:rPr>
              <w:t>DNS, load balancers, CDN, WAF rules</w:t>
            </w:r>
          </w:p>
        </w:tc>
      </w:tr>
      <w:tr>
        <w:tc>
          <w:tcPr>
            <w:tcW w:type="dxa" w:w="1728"/>
            <w:shd w:fill="FFFFFF" w:val="clear"/>
            <w:vAlign w:val="top"/>
          </w:tcPr>
          <w:p>
            <w:pPr>
              <w:spacing w:before="80" w:after="80" w:line="240" w:lineRule="auto"/>
              <w:jc w:val="left"/>
            </w:pPr>
            <w:r/>
            <w:r>
              <w:rPr>
                <w:rFonts w:ascii="Calibri" w:hAnsi="Calibri"/>
                <w:color w:val="1A1B1A"/>
                <w:sz w:val="17"/>
              </w:rPr>
              <w:t>arvregistry</w:t>
            </w:r>
          </w:p>
        </w:tc>
        <w:tc>
          <w:tcPr>
            <w:tcW w:type="dxa" w:w="2160"/>
            <w:shd w:fill="FFFFFF" w:val="clear"/>
            <w:vAlign w:val="top"/>
          </w:tcPr>
          <w:p>
            <w:pPr>
              <w:spacing w:before="80" w:after="80" w:line="240" w:lineRule="auto"/>
              <w:jc w:val="left"/>
            </w:pPr>
            <w:r/>
            <w:r>
              <w:rPr>
                <w:rFonts w:ascii="Calibri" w:hAnsi="Calibri"/>
                <w:color w:val="1A1B1A"/>
                <w:sz w:val="17"/>
              </w:rPr>
              <w:t>Container Registry</w:t>
            </w:r>
          </w:p>
        </w:tc>
        <w:tc>
          <w:tcPr>
            <w:tcW w:type="dxa" w:w="5904"/>
            <w:shd w:fill="FFFFFF" w:val="clear"/>
            <w:vAlign w:val="top"/>
          </w:tcPr>
          <w:p>
            <w:pPr>
              <w:spacing w:before="80" w:after="80" w:line="240" w:lineRule="auto"/>
              <w:jc w:val="left"/>
            </w:pPr>
            <w:r/>
            <w:r>
              <w:rPr>
                <w:rFonts w:ascii="Calibri" w:hAnsi="Calibri"/>
                <w:color w:val="1A1B1A"/>
                <w:sz w:val="17"/>
              </w:rPr>
              <w:t>OCI images, tagging, vulnerability scanning</w:t>
            </w:r>
          </w:p>
        </w:tc>
      </w:tr>
      <w:tr>
        <w:tc>
          <w:tcPr>
            <w:tcW w:type="dxa" w:w="1728"/>
            <w:shd w:fill="F8FAFC" w:val="clear"/>
            <w:vAlign w:val="top"/>
          </w:tcPr>
          <w:p>
            <w:pPr>
              <w:spacing w:before="80" w:after="80" w:line="240" w:lineRule="auto"/>
              <w:jc w:val="left"/>
            </w:pPr>
            <w:r/>
            <w:r>
              <w:rPr>
                <w:rFonts w:ascii="Calibri" w:hAnsi="Calibri"/>
                <w:color w:val="1A1B1A"/>
                <w:sz w:val="17"/>
              </w:rPr>
              <w:t>arvbilling</w:t>
            </w:r>
          </w:p>
        </w:tc>
        <w:tc>
          <w:tcPr>
            <w:tcW w:type="dxa" w:w="2160"/>
            <w:shd w:fill="F8FAFC" w:val="clear"/>
            <w:vAlign w:val="top"/>
          </w:tcPr>
          <w:p>
            <w:pPr>
              <w:spacing w:before="80" w:after="80" w:line="240" w:lineRule="auto"/>
              <w:jc w:val="left"/>
            </w:pPr>
            <w:r/>
            <w:r>
              <w:rPr>
                <w:rFonts w:ascii="Calibri" w:hAnsi="Calibri"/>
                <w:color w:val="1A1B1A"/>
                <w:sz w:val="17"/>
              </w:rPr>
              <w:t>FinOps</w:t>
            </w:r>
          </w:p>
        </w:tc>
        <w:tc>
          <w:tcPr>
            <w:tcW w:type="dxa" w:w="5904"/>
            <w:shd w:fill="F8FAFC" w:val="clear"/>
            <w:vAlign w:val="top"/>
          </w:tcPr>
          <w:p>
            <w:pPr>
              <w:spacing w:before="80" w:after="80" w:line="240" w:lineRule="auto"/>
              <w:jc w:val="left"/>
            </w:pPr>
            <w:r/>
            <w:r>
              <w:rPr>
                <w:rFonts w:ascii="Calibri" w:hAnsi="Calibri"/>
                <w:color w:val="1A1B1A"/>
                <w:sz w:val="17"/>
              </w:rPr>
              <w:t>Metering, subscriptions, GST invoicing</w:t>
            </w:r>
          </w:p>
        </w:tc>
      </w:tr>
      <w:tr>
        <w:tc>
          <w:tcPr>
            <w:tcW w:type="dxa" w:w="1728"/>
            <w:shd w:fill="FFFFFF" w:val="clear"/>
            <w:vAlign w:val="top"/>
          </w:tcPr>
          <w:p>
            <w:pPr>
              <w:spacing w:before="80" w:after="80" w:line="240" w:lineRule="auto"/>
              <w:jc w:val="left"/>
            </w:pPr>
            <w:r/>
            <w:r>
              <w:rPr>
                <w:rFonts w:ascii="Calibri" w:hAnsi="Calibri"/>
                <w:color w:val="1A1B1A"/>
                <w:sz w:val="17"/>
              </w:rPr>
              <w:t>arvoperations</w:t>
            </w:r>
          </w:p>
        </w:tc>
        <w:tc>
          <w:tcPr>
            <w:tcW w:type="dxa" w:w="2160"/>
            <w:shd w:fill="FFFFFF" w:val="clear"/>
            <w:vAlign w:val="top"/>
          </w:tcPr>
          <w:p>
            <w:pPr>
              <w:spacing w:before="80" w:after="80" w:line="240" w:lineRule="auto"/>
              <w:jc w:val="left"/>
            </w:pPr>
            <w:r/>
            <w:r>
              <w:rPr>
                <w:rFonts w:ascii="Calibri" w:hAnsi="Calibri"/>
                <w:color w:val="1A1B1A"/>
                <w:sz w:val="17"/>
              </w:rPr>
              <w:t>SRE</w:t>
            </w:r>
          </w:p>
        </w:tc>
        <w:tc>
          <w:tcPr>
            <w:tcW w:type="dxa" w:w="5904"/>
            <w:shd w:fill="FFFFFF" w:val="clear"/>
            <w:vAlign w:val="top"/>
          </w:tcPr>
          <w:p>
            <w:pPr>
              <w:spacing w:before="80" w:after="80" w:line="240" w:lineRule="auto"/>
              <w:jc w:val="left"/>
            </w:pPr>
            <w:r/>
            <w:r>
              <w:rPr>
                <w:rFonts w:ascii="Calibri" w:hAnsi="Calibri"/>
                <w:color w:val="1A1B1A"/>
                <w:sz w:val="17"/>
              </w:rPr>
              <w:t>Runbooks, snapshot DR, incident command center</w:t>
            </w:r>
          </w:p>
        </w:tc>
      </w:tr>
      <w:tr>
        <w:tc>
          <w:tcPr>
            <w:tcW w:type="dxa" w:w="1728"/>
            <w:shd w:fill="F8FAFC" w:val="clear"/>
            <w:vAlign w:val="top"/>
          </w:tcPr>
          <w:p>
            <w:pPr>
              <w:spacing w:before="80" w:after="80" w:line="240" w:lineRule="auto"/>
              <w:jc w:val="left"/>
            </w:pPr>
            <w:r/>
            <w:r>
              <w:rPr>
                <w:rFonts w:ascii="Calibri" w:hAnsi="Calibri"/>
                <w:color w:val="1A1B1A"/>
                <w:sz w:val="17"/>
              </w:rPr>
              <w:t>arvai</w:t>
            </w:r>
          </w:p>
        </w:tc>
        <w:tc>
          <w:tcPr>
            <w:tcW w:type="dxa" w:w="2160"/>
            <w:shd w:fill="F8FAFC" w:val="clear"/>
            <w:vAlign w:val="top"/>
          </w:tcPr>
          <w:p>
            <w:pPr>
              <w:spacing w:before="80" w:after="80" w:line="240" w:lineRule="auto"/>
              <w:jc w:val="left"/>
            </w:pPr>
            <w:r/>
            <w:r>
              <w:rPr>
                <w:rFonts w:ascii="Calibri" w:hAnsi="Calibri"/>
                <w:color w:val="1A1B1A"/>
                <w:sz w:val="17"/>
              </w:rPr>
              <w:t>AI Assistant</w:t>
            </w:r>
          </w:p>
        </w:tc>
        <w:tc>
          <w:tcPr>
            <w:tcW w:type="dxa" w:w="5904"/>
            <w:shd w:fill="F8FAFC" w:val="clear"/>
            <w:vAlign w:val="top"/>
          </w:tcPr>
          <w:p>
            <w:pPr>
              <w:spacing w:before="80" w:after="80" w:line="240" w:lineRule="auto"/>
              <w:jc w:val="left"/>
            </w:pPr>
            <w:r/>
            <w:r>
              <w:rPr>
                <w:rFonts w:ascii="Calibri" w:hAnsi="Calibri"/>
                <w:color w:val="1A1B1A"/>
                <w:sz w:val="17"/>
              </w:rPr>
              <w:t>Console Copilot for contextual troubleshooting</w:t>
            </w:r>
          </w:p>
        </w:tc>
      </w:tr>
      <w:tr>
        <w:tc>
          <w:tcPr>
            <w:tcW w:type="dxa" w:w="1728"/>
            <w:shd w:fill="FFFFFF" w:val="clear"/>
            <w:vAlign w:val="top"/>
          </w:tcPr>
          <w:p>
            <w:pPr>
              <w:spacing w:before="80" w:after="80" w:line="240" w:lineRule="auto"/>
              <w:jc w:val="left"/>
            </w:pPr>
            <w:r/>
            <w:r>
              <w:rPr>
                <w:rFonts w:ascii="Calibri" w:hAnsi="Calibri"/>
                <w:color w:val="1A1B1A"/>
                <w:sz w:val="17"/>
              </w:rPr>
              <w:t>arvcommunity</w:t>
            </w:r>
          </w:p>
        </w:tc>
        <w:tc>
          <w:tcPr>
            <w:tcW w:type="dxa" w:w="2160"/>
            <w:shd w:fill="FFFFFF" w:val="clear"/>
            <w:vAlign w:val="top"/>
          </w:tcPr>
          <w:p>
            <w:pPr>
              <w:spacing w:before="80" w:after="80" w:line="240" w:lineRule="auto"/>
              <w:jc w:val="left"/>
            </w:pPr>
            <w:r/>
            <w:r>
              <w:rPr>
                <w:rFonts w:ascii="Calibri" w:hAnsi="Calibri"/>
                <w:color w:val="1A1B1A"/>
                <w:sz w:val="17"/>
              </w:rPr>
              <w:t>Community</w:t>
            </w:r>
          </w:p>
        </w:tc>
        <w:tc>
          <w:tcPr>
            <w:tcW w:type="dxa" w:w="5904"/>
            <w:shd w:fill="FFFFFF" w:val="clear"/>
            <w:vAlign w:val="top"/>
          </w:tcPr>
          <w:p>
            <w:pPr>
              <w:spacing w:before="80" w:after="80" w:line="240" w:lineRule="auto"/>
              <w:jc w:val="left"/>
            </w:pPr>
            <w:r/>
            <w:r>
              <w:rPr>
                <w:rFonts w:ascii="Calibri" w:hAnsi="Calibri"/>
                <w:color w:val="1A1B1A"/>
                <w:sz w:val="17"/>
              </w:rPr>
              <w:t>Developer forum, discussions, upvoting, threading</w:t>
            </w:r>
          </w:p>
        </w:tc>
      </w:tr>
    </w:tbl>
    <w:p>
      <w:r>
        <w:br w:type="page"/>
      </w:r>
    </w:p>
    <w:p>
      <w:pPr>
        <w:pStyle w:val="Heading1"/>
        <w:spacing w:before="480" w:after="160"/>
      </w:pPr>
      <w:r>
        <w:rPr>
          <w:rFonts w:ascii="Calibri" w:hAnsi="Calibri"/>
          <w:color w:val="B98B3B"/>
          <w:sz w:val="40"/>
          <w:rFonts w:eastAsia="Calibri" w:cs="Calibri"/>
        </w:rPr>
        <w:t>8. Roadmap &amp; Next Steps</w:t>
      </w:r>
    </w:p>
    <w:tbl>
      <w:tblPr>
        <w:tblW w:type="auto" w:w="0"/>
        <w:jc w:val="center"/>
        <w:tblLook w:firstColumn="1" w:firstRow="1" w:lastColumn="0" w:lastRow="0" w:noHBand="0" w:noVBand="1" w:val="04A0"/>
      </w:tblPr>
      <w:tblGrid>
        <w:gridCol w:w="9360"/>
      </w:tblGrid>
      <w:tr>
        <w:trPr>
          <w:trHeight w:val="40" w:hRule="exact"/>
        </w:trPr>
        <w:tc>
          <w:tcPr>
            <w:tcW w:type="dxa" w:w="9412"/>
            <w:shd w:fill="B98B3B" w:val="clear"/>
          </w:tcPr>
          <w:p>
            <w:pPr>
              <w:spacing w:before="0" w:after="0"/>
            </w:pPr>
            <w:r>
              <w:rPr>
                <w:sz w:val="2"/>
              </w:rPr>
            </w:r>
          </w:p>
        </w:tc>
      </w:tr>
    </w:tbl>
    <w:p>
      <w:pPr>
        <w:spacing w:after="80"/>
      </w:pPr>
    </w:p>
    <w:p>
      <w:pPr>
        <w:spacing w:before="0" w:after="200" w:line="240" w:lineRule="auto"/>
      </w:pPr>
      <w:r>
        <w:rPr>
          <w:rFonts w:ascii="Calibri" w:hAnsi="Calibri"/>
          <w:b w:val="0"/>
          <w:i w:val="0"/>
          <w:color w:val="1A1B1A"/>
          <w:sz w:val="21"/>
          <w:rFonts w:eastAsia="Calibri" w:cs="Calibri"/>
        </w:rPr>
        <w:t>Aravanta Cloud OS follows a phased roadmap to achieve product-market fit, enterprise adoption, and sustainable growth over an 18-month horizon.</w:t>
      </w:r>
    </w:p>
    <w:p>
      <w:pPr>
        <w:spacing w:before="120" w:after="120"/>
        <w:jc w:val="center"/>
      </w:pPr>
      <w:r>
        <w:drawing>
          <wp:inline xmlns:a="http://schemas.openxmlformats.org/drawingml/2006/main" xmlns:pic="http://schemas.openxmlformats.org/drawingml/2006/picture">
            <wp:extent cx="5669280" cy="2044368"/>
            <wp:docPr id="5" name="Picture 5"/>
            <wp:cNvGraphicFramePr>
              <a:graphicFrameLocks noChangeAspect="1"/>
            </wp:cNvGraphicFramePr>
            <a:graphic>
              <a:graphicData uri="http://schemas.openxmlformats.org/drawingml/2006/picture">
                <pic:pic>
                  <pic:nvPicPr>
                    <pic:cNvPr id="0" name="roadmap.png"/>
                    <pic:cNvPicPr/>
                  </pic:nvPicPr>
                  <pic:blipFill>
                    <a:blip r:embed="rId13"/>
                    <a:stretch>
                      <a:fillRect/>
                    </a:stretch>
                  </pic:blipFill>
                  <pic:spPr>
                    <a:xfrm>
                      <a:off x="0" y="0"/>
                      <a:ext cx="5669280" cy="2044368"/>
                    </a:xfrm>
                    <a:prstGeom prst="rect"/>
                  </pic:spPr>
                </pic:pic>
              </a:graphicData>
            </a:graphic>
          </wp:inline>
        </w:drawing>
      </w:r>
    </w:p>
    <w:p>
      <w:pPr>
        <w:spacing w:after="120"/>
      </w:pPr>
    </w:p>
    <w:p>
      <w:pPr>
        <w:pStyle w:val="Heading2"/>
        <w:spacing w:before="320" w:after="160"/>
      </w:pPr>
      <w:r>
        <w:rPr>
          <w:rFonts w:ascii="Calibri" w:hAnsi="Calibri"/>
          <w:color w:val="9E742E"/>
          <w:sz w:val="28"/>
          <w:rFonts w:eastAsia="Calibri" w:cs="Calibri"/>
        </w:rPr>
        <w:t>Phase Details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440"/>
            <w:shd w:fill="B98B3B" w:val="clear"/>
            <w:vAlign w:val="center"/>
          </w:tcPr>
          <w:p>
            <w:pPr>
              <w:spacing w:before="100" w:after="100"/>
              <w:jc w:val="left"/>
            </w:pPr>
            <w:r/>
            <w:r>
              <w:rPr>
                <w:rFonts w:ascii="Calibri" w:hAnsi="Calibri"/>
                <w:b/>
                <w:color w:val="FFFFFF"/>
                <w:sz w:val="18"/>
              </w:rPr>
              <w:t>Phase</w:t>
            </w:r>
          </w:p>
        </w:tc>
        <w:tc>
          <w:tcPr>
            <w:tcW w:type="dxa" w:w="1728"/>
            <w:shd w:fill="B98B3B" w:val="clear"/>
            <w:vAlign w:val="center"/>
          </w:tcPr>
          <w:p>
            <w:pPr>
              <w:spacing w:before="100" w:after="100"/>
              <w:jc w:val="left"/>
            </w:pPr>
            <w:r/>
            <w:r>
              <w:rPr>
                <w:rFonts w:ascii="Calibri" w:hAnsi="Calibri"/>
                <w:b/>
                <w:color w:val="FFFFFF"/>
                <w:sz w:val="18"/>
              </w:rPr>
              <w:t>Timeline</w:t>
            </w:r>
          </w:p>
        </w:tc>
        <w:tc>
          <w:tcPr>
            <w:tcW w:type="dxa" w:w="4032"/>
            <w:shd w:fill="B98B3B" w:val="clear"/>
            <w:vAlign w:val="center"/>
          </w:tcPr>
          <w:p>
            <w:pPr>
              <w:spacing w:before="100" w:after="100"/>
              <w:jc w:val="left"/>
            </w:pPr>
            <w:r/>
            <w:r>
              <w:rPr>
                <w:rFonts w:ascii="Calibri" w:hAnsi="Calibri"/>
                <w:b/>
                <w:color w:val="FFFFFF"/>
                <w:sz w:val="18"/>
              </w:rPr>
              <w:t>Key Milestones</w:t>
            </w:r>
          </w:p>
        </w:tc>
        <w:tc>
          <w:tcPr>
            <w:tcW w:type="dxa" w:w="2592"/>
            <w:shd w:fill="B98B3B" w:val="clear"/>
            <w:vAlign w:val="center"/>
          </w:tcPr>
          <w:p>
            <w:pPr>
              <w:spacing w:before="100" w:after="100"/>
              <w:jc w:val="left"/>
            </w:pPr>
            <w:r/>
            <w:r>
              <w:rPr>
                <w:rFonts w:ascii="Calibri" w:hAnsi="Calibri"/>
                <w:b/>
                <w:color w:val="FFFFFF"/>
                <w:sz w:val="18"/>
              </w:rPr>
              <w:t>Target Metrics</w:t>
            </w:r>
          </w:p>
        </w:tc>
      </w:tr>
      <w:tr>
        <w:tc>
          <w:tcPr>
            <w:tcW w:type="dxa" w:w="1440"/>
            <w:shd w:fill="FFFFFF" w:val="clear"/>
            <w:vAlign w:val="top"/>
          </w:tcPr>
          <w:p>
            <w:pPr>
              <w:spacing w:before="80" w:after="80" w:line="240" w:lineRule="auto"/>
              <w:jc w:val="left"/>
            </w:pPr>
            <w:r/>
            <w:r>
              <w:rPr>
                <w:rFonts w:ascii="Calibri" w:hAnsi="Calibri"/>
                <w:color w:val="1A1B1A"/>
                <w:sz w:val="17"/>
              </w:rPr>
              <w:t>Launch</w:t>
            </w:r>
          </w:p>
        </w:tc>
        <w:tc>
          <w:tcPr>
            <w:tcW w:type="dxa" w:w="1728"/>
            <w:shd w:fill="FFFFFF" w:val="clear"/>
            <w:vAlign w:val="top"/>
          </w:tcPr>
          <w:p>
            <w:pPr>
              <w:spacing w:before="80" w:after="80" w:line="240" w:lineRule="auto"/>
              <w:jc w:val="left"/>
            </w:pPr>
            <w:r/>
            <w:r>
              <w:rPr>
                <w:rFonts w:ascii="Calibri" w:hAnsi="Calibri"/>
                <w:color w:val="1A1B1A"/>
                <w:sz w:val="17"/>
              </w:rPr>
              <w:t>Q3-Q4 2026</w:t>
            </w:r>
          </w:p>
        </w:tc>
        <w:tc>
          <w:tcPr>
            <w:tcW w:type="dxa" w:w="4032"/>
            <w:shd w:fill="FFFFFF" w:val="clear"/>
            <w:vAlign w:val="top"/>
          </w:tcPr>
          <w:p>
            <w:pPr>
              <w:spacing w:before="80" w:after="80" w:line="240" w:lineRule="auto"/>
              <w:jc w:val="left"/>
            </w:pPr>
            <w:r/>
            <w:r>
              <w:rPr>
                <w:rFonts w:ascii="Calibri" w:hAnsi="Calibri"/>
                <w:color w:val="1A1B1A"/>
                <w:sz w:val="17"/>
              </w:rPr>
              <w:t>v1.0 GA, 5 regions live, 10-day free trial, core platform</w:t>
            </w:r>
          </w:p>
        </w:tc>
        <w:tc>
          <w:tcPr>
            <w:tcW w:type="dxa" w:w="2592"/>
            <w:shd w:fill="FFFFFF" w:val="clear"/>
            <w:vAlign w:val="top"/>
          </w:tcPr>
          <w:p>
            <w:pPr>
              <w:spacing w:before="80" w:after="80" w:line="240" w:lineRule="auto"/>
              <w:jc w:val="left"/>
            </w:pPr>
            <w:r/>
            <w:r>
              <w:rPr>
                <w:rFonts w:ascii="Calibri" w:hAnsi="Calibri"/>
                <w:color w:val="1A1B1A"/>
                <w:sz w:val="17"/>
              </w:rPr>
              <w:t>1K signups, 50 workspaces</w:t>
            </w:r>
          </w:p>
        </w:tc>
      </w:tr>
      <w:tr>
        <w:tc>
          <w:tcPr>
            <w:tcW w:type="dxa" w:w="1440"/>
            <w:shd w:fill="F8FAFC" w:val="clear"/>
            <w:vAlign w:val="top"/>
          </w:tcPr>
          <w:p>
            <w:pPr>
              <w:spacing w:before="80" w:after="80" w:line="240" w:lineRule="auto"/>
              <w:jc w:val="left"/>
            </w:pPr>
            <w:r/>
            <w:r>
              <w:rPr>
                <w:rFonts w:ascii="Calibri" w:hAnsi="Calibri"/>
                <w:color w:val="1A1B1A"/>
                <w:sz w:val="17"/>
              </w:rPr>
              <w:t>Scale</w:t>
            </w:r>
          </w:p>
        </w:tc>
        <w:tc>
          <w:tcPr>
            <w:tcW w:type="dxa" w:w="1728"/>
            <w:shd w:fill="F8FAFC" w:val="clear"/>
            <w:vAlign w:val="top"/>
          </w:tcPr>
          <w:p>
            <w:pPr>
              <w:spacing w:before="80" w:after="80" w:line="240" w:lineRule="auto"/>
              <w:jc w:val="left"/>
            </w:pPr>
            <w:r/>
            <w:r>
              <w:rPr>
                <w:rFonts w:ascii="Calibri" w:hAnsi="Calibri"/>
                <w:color w:val="1A1B1A"/>
                <w:sz w:val="17"/>
              </w:rPr>
              <w:t>Q1-Q2 2027</w:t>
            </w:r>
          </w:p>
        </w:tc>
        <w:tc>
          <w:tcPr>
            <w:tcW w:type="dxa" w:w="4032"/>
            <w:shd w:fill="F8FAFC" w:val="clear"/>
            <w:vAlign w:val="top"/>
          </w:tcPr>
          <w:p>
            <w:pPr>
              <w:spacing w:before="80" w:after="80" w:line="240" w:lineRule="auto"/>
              <w:jc w:val="left"/>
            </w:pPr>
            <w:r/>
            <w:r>
              <w:rPr>
                <w:rFonts w:ascii="Calibri" w:hAnsi="Calibri"/>
                <w:color w:val="1A1B1A"/>
                <w:sz w:val="17"/>
              </w:rPr>
              <w:t>Enterprise SSO, GPU compute (H100/A100), FinOps, Marketplace, 6 regions</w:t>
            </w:r>
          </w:p>
        </w:tc>
        <w:tc>
          <w:tcPr>
            <w:tcW w:type="dxa" w:w="2592"/>
            <w:shd w:fill="F8FAFC" w:val="clear"/>
            <w:vAlign w:val="top"/>
          </w:tcPr>
          <w:p>
            <w:pPr>
              <w:spacing w:before="80" w:after="80" w:line="240" w:lineRule="auto"/>
              <w:jc w:val="left"/>
            </w:pPr>
            <w:r/>
            <w:r>
              <w:rPr>
                <w:rFonts w:ascii="Calibri" w:hAnsi="Calibri"/>
                <w:color w:val="1A1B1A"/>
                <w:sz w:val="17"/>
              </w:rPr>
              <w:t>5K users, 200 enterprise trials</w:t>
            </w:r>
          </w:p>
        </w:tc>
      </w:tr>
      <w:tr>
        <w:tc>
          <w:tcPr>
            <w:tcW w:type="dxa" w:w="1440"/>
            <w:shd w:fill="FFFFFF" w:val="clear"/>
            <w:vAlign w:val="top"/>
          </w:tcPr>
          <w:p>
            <w:pPr>
              <w:spacing w:before="80" w:after="80" w:line="240" w:lineRule="auto"/>
              <w:jc w:val="left"/>
            </w:pPr>
            <w:r/>
            <w:r>
              <w:rPr>
                <w:rFonts w:ascii="Calibri" w:hAnsi="Calibri"/>
                <w:color w:val="1A1B1A"/>
                <w:sz w:val="17"/>
              </w:rPr>
              <w:t>Expand</w:t>
            </w:r>
          </w:p>
        </w:tc>
        <w:tc>
          <w:tcPr>
            <w:tcW w:type="dxa" w:w="1728"/>
            <w:shd w:fill="FFFFFF" w:val="clear"/>
            <w:vAlign w:val="top"/>
          </w:tcPr>
          <w:p>
            <w:pPr>
              <w:spacing w:before="80" w:after="80" w:line="240" w:lineRule="auto"/>
              <w:jc w:val="left"/>
            </w:pPr>
            <w:r/>
            <w:r>
              <w:rPr>
                <w:rFonts w:ascii="Calibri" w:hAnsi="Calibri"/>
                <w:color w:val="1A1B1A"/>
                <w:sz w:val="17"/>
              </w:rPr>
              <w:t>Q3-Q4 2027</w:t>
            </w:r>
          </w:p>
        </w:tc>
        <w:tc>
          <w:tcPr>
            <w:tcW w:type="dxa" w:w="4032"/>
            <w:shd w:fill="FFFFFF" w:val="clear"/>
            <w:vAlign w:val="top"/>
          </w:tcPr>
          <w:p>
            <w:pPr>
              <w:spacing w:before="80" w:after="80" w:line="240" w:lineRule="auto"/>
              <w:jc w:val="left"/>
            </w:pPr>
            <w:r/>
            <w:r>
              <w:rPr>
                <w:rFonts w:ascii="Calibri" w:hAnsi="Calibri"/>
                <w:color w:val="1A1B1A"/>
                <w:sz w:val="17"/>
              </w:rPr>
              <w:t>AI Ops, Edge computing, BYOK on-prem K8s, Series A, mobile app</w:t>
            </w:r>
          </w:p>
        </w:tc>
        <w:tc>
          <w:tcPr>
            <w:tcW w:type="dxa" w:w="2592"/>
            <w:shd w:fill="FFFFFF" w:val="clear"/>
            <w:vAlign w:val="top"/>
          </w:tcPr>
          <w:p>
            <w:pPr>
              <w:spacing w:before="80" w:after="80" w:line="240" w:lineRule="auto"/>
              <w:jc w:val="left"/>
            </w:pPr>
            <w:r/>
            <w:r>
              <w:rPr>
                <w:rFonts w:ascii="Calibri" w:hAnsi="Calibri"/>
                <w:color w:val="1A1B1A"/>
                <w:sz w:val="17"/>
              </w:rPr>
              <w:t>10K+ users, 50 contracts</w:t>
            </w:r>
          </w:p>
        </w:tc>
      </w:tr>
    </w:tbl>
    <w:p>
      <w:r>
        <w:br w:type="page"/>
      </w:r>
    </w:p>
    <w:p>
      <w:pPr>
        <w:pStyle w:val="Heading1"/>
        <w:spacing w:before="480" w:after="160"/>
      </w:pPr>
      <w:r>
        <w:rPr>
          <w:rFonts w:ascii="Calibri" w:hAnsi="Calibri"/>
          <w:color w:val="B98B3B"/>
          <w:sz w:val="40"/>
          <w:rFonts w:eastAsia="Calibri" w:cs="Calibri"/>
        </w:rPr>
        <w:t>9. Target Companies &amp; Segments</w:t>
      </w:r>
    </w:p>
    <w:tbl>
      <w:tblPr>
        <w:tblW w:type="auto" w:w="0"/>
        <w:jc w:val="center"/>
        <w:tblLook w:firstColumn="1" w:firstRow="1" w:lastColumn="0" w:lastRow="0" w:noHBand="0" w:noVBand="1" w:val="04A0"/>
      </w:tblPr>
      <w:tblGrid>
        <w:gridCol w:w="9360"/>
      </w:tblGrid>
      <w:tr>
        <w:trPr>
          <w:trHeight w:val="40" w:hRule="exact"/>
        </w:trPr>
        <w:tc>
          <w:tcPr>
            <w:tcW w:type="dxa" w:w="9412"/>
            <w:shd w:fill="B98B3B" w:val="clear"/>
          </w:tcPr>
          <w:p>
            <w:pPr>
              <w:spacing w:before="0" w:after="0"/>
            </w:pPr>
            <w:r>
              <w:rPr>
                <w:sz w:val="2"/>
              </w:rPr>
            </w:r>
          </w:p>
        </w:tc>
      </w:tr>
    </w:tbl>
    <w:p>
      <w:pPr>
        <w:spacing w:after="80"/>
      </w:pPr>
    </w:p>
    <w:p>
      <w:pPr>
        <w:spacing w:before="0" w:after="200" w:line="240" w:lineRule="auto"/>
      </w:pPr>
      <w:r>
        <w:rPr>
          <w:rFonts w:ascii="Calibri" w:hAnsi="Calibri"/>
          <w:b w:val="0"/>
          <w:i w:val="0"/>
          <w:color w:val="1A1B1A"/>
          <w:sz w:val="21"/>
          <w:rFonts w:eastAsia="Calibri" w:cs="Calibri"/>
        </w:rPr>
        <w:t>Aravanta Cloud OS targets a diverse range of organizations -- from developer-led startups to enterprise infrastructure teams seeking to consolidate cloud operations:</w:t>
      </w:r>
    </w:p>
    <w:tbl>
      <w:tblPr>
        <w:tblStyle w:val="TableGrid"/>
        <w:tblW w:type="auto" w:w="0"/>
        <w:jc w:val="center"/>
        <w:tblLook w:firstColumn="1" w:firstRow="1" w:lastColumn="0" w:lastRow="0" w:noHBand="0" w:noVBand="1" w:val="04A0"/>
      </w:tblPr>
      <w:tblGrid>
        <w:gridCol w:w="3137"/>
        <w:gridCol w:w="3137"/>
        <w:gridCol w:w="3137"/>
      </w:tblGrid>
      <w:tr>
        <w:tc>
          <w:tcPr>
            <w:tcW w:type="dxa" w:w="2160"/>
            <w:shd w:fill="B98B3B" w:val="clear"/>
            <w:vAlign w:val="center"/>
          </w:tcPr>
          <w:p>
            <w:pPr>
              <w:spacing w:before="100" w:after="100"/>
              <w:jc w:val="left"/>
            </w:pPr>
            <w:r/>
            <w:r>
              <w:rPr>
                <w:rFonts w:ascii="Calibri" w:hAnsi="Calibri"/>
                <w:b/>
                <w:color w:val="FFFFFF"/>
                <w:sz w:val="18"/>
              </w:rPr>
              <w:t>Segment</w:t>
            </w:r>
          </w:p>
        </w:tc>
        <w:tc>
          <w:tcPr>
            <w:tcW w:type="dxa" w:w="3744"/>
            <w:shd w:fill="B98B3B" w:val="clear"/>
            <w:vAlign w:val="center"/>
          </w:tcPr>
          <w:p>
            <w:pPr>
              <w:spacing w:before="100" w:after="100"/>
              <w:jc w:val="left"/>
            </w:pPr>
            <w:r/>
            <w:r>
              <w:rPr>
                <w:rFonts w:ascii="Calibri" w:hAnsi="Calibri"/>
                <w:b/>
                <w:color w:val="FFFFFF"/>
                <w:sz w:val="18"/>
              </w:rPr>
              <w:t>Why They Fit</w:t>
            </w:r>
          </w:p>
        </w:tc>
        <w:tc>
          <w:tcPr>
            <w:tcW w:type="dxa" w:w="3888"/>
            <w:shd w:fill="B98B3B" w:val="clear"/>
            <w:vAlign w:val="center"/>
          </w:tcPr>
          <w:p>
            <w:pPr>
              <w:spacing w:before="100" w:after="100"/>
              <w:jc w:val="left"/>
            </w:pPr>
            <w:r/>
            <w:r>
              <w:rPr>
                <w:rFonts w:ascii="Calibri" w:hAnsi="Calibri"/>
                <w:b/>
                <w:color w:val="FFFFFF"/>
                <w:sz w:val="18"/>
              </w:rPr>
              <w:t>Approach</w:t>
            </w:r>
          </w:p>
        </w:tc>
      </w:tr>
      <w:tr>
        <w:tc>
          <w:tcPr>
            <w:tcW w:type="dxa" w:w="2160"/>
            <w:shd w:fill="FFFFFF" w:val="clear"/>
            <w:vAlign w:val="top"/>
          </w:tcPr>
          <w:p>
            <w:pPr>
              <w:spacing w:before="80" w:after="80" w:line="240" w:lineRule="auto"/>
              <w:jc w:val="left"/>
            </w:pPr>
            <w:r/>
            <w:r>
              <w:rPr>
                <w:rFonts w:ascii="Calibri" w:hAnsi="Calibri"/>
                <w:color w:val="1A1B1A"/>
                <w:sz w:val="17"/>
              </w:rPr>
              <w:t>Tech Startups</w:t>
            </w:r>
          </w:p>
        </w:tc>
        <w:tc>
          <w:tcPr>
            <w:tcW w:type="dxa" w:w="3744"/>
            <w:shd w:fill="FFFFFF" w:val="clear"/>
            <w:vAlign w:val="top"/>
          </w:tcPr>
          <w:p>
            <w:pPr>
              <w:spacing w:before="80" w:after="80" w:line="240" w:lineRule="auto"/>
              <w:jc w:val="left"/>
            </w:pPr>
            <w:r/>
            <w:r>
              <w:rPr>
                <w:rFonts w:ascii="Calibri" w:hAnsi="Calibri"/>
                <w:color w:val="1A1B1A"/>
                <w:sz w:val="17"/>
              </w:rPr>
              <w:t>Need production infra without DevOps teams. Developer-first.</w:t>
            </w:r>
          </w:p>
        </w:tc>
        <w:tc>
          <w:tcPr>
            <w:tcW w:type="dxa" w:w="3888"/>
            <w:shd w:fill="FFFFFF" w:val="clear"/>
            <w:vAlign w:val="top"/>
          </w:tcPr>
          <w:p>
            <w:pPr>
              <w:spacing w:before="80" w:after="80" w:line="240" w:lineRule="auto"/>
              <w:jc w:val="left"/>
            </w:pPr>
            <w:r/>
            <w:r>
              <w:rPr>
                <w:rFonts w:ascii="Calibri" w:hAnsi="Calibri"/>
                <w:color w:val="1A1B1A"/>
                <w:sz w:val="17"/>
              </w:rPr>
              <w:t>Free trial, startup credits, community marketing</w:t>
            </w:r>
          </w:p>
        </w:tc>
      </w:tr>
      <w:tr>
        <w:tc>
          <w:tcPr>
            <w:tcW w:type="dxa" w:w="2160"/>
            <w:shd w:fill="F8FAFC" w:val="clear"/>
            <w:vAlign w:val="top"/>
          </w:tcPr>
          <w:p>
            <w:pPr>
              <w:spacing w:before="80" w:after="80" w:line="240" w:lineRule="auto"/>
              <w:jc w:val="left"/>
            </w:pPr>
            <w:r/>
            <w:r>
              <w:rPr>
                <w:rFonts w:ascii="Calibri" w:hAnsi="Calibri"/>
                <w:color w:val="1A1B1A"/>
                <w:sz w:val="17"/>
              </w:rPr>
              <w:t>SME Engineering</w:t>
            </w:r>
          </w:p>
        </w:tc>
        <w:tc>
          <w:tcPr>
            <w:tcW w:type="dxa" w:w="3744"/>
            <w:shd w:fill="F8FAFC" w:val="clear"/>
            <w:vAlign w:val="top"/>
          </w:tcPr>
          <w:p>
            <w:pPr>
              <w:spacing w:before="80" w:after="80" w:line="240" w:lineRule="auto"/>
              <w:jc w:val="left"/>
            </w:pPr>
            <w:r/>
            <w:r>
              <w:rPr>
                <w:rFonts w:ascii="Calibri" w:hAnsi="Calibri"/>
                <w:color w:val="1A1B1A"/>
                <w:sz w:val="17"/>
              </w:rPr>
              <w:t>Outgrowing PaaS, need K8s + monitoring.</w:t>
            </w:r>
          </w:p>
        </w:tc>
        <w:tc>
          <w:tcPr>
            <w:tcW w:type="dxa" w:w="3888"/>
            <w:shd w:fill="F8FAFC" w:val="clear"/>
            <w:vAlign w:val="top"/>
          </w:tcPr>
          <w:p>
            <w:pPr>
              <w:spacing w:before="80" w:after="80" w:line="240" w:lineRule="auto"/>
              <w:jc w:val="left"/>
            </w:pPr>
            <w:r/>
            <w:r>
              <w:rPr>
                <w:rFonts w:ascii="Calibri" w:hAnsi="Calibri"/>
                <w:color w:val="1A1B1A"/>
                <w:sz w:val="17"/>
              </w:rPr>
              <w:t>Product-led growth, webinars, integrations</w:t>
            </w:r>
          </w:p>
        </w:tc>
      </w:tr>
      <w:tr>
        <w:tc>
          <w:tcPr>
            <w:tcW w:type="dxa" w:w="2160"/>
            <w:shd w:fill="FFFFFF" w:val="clear"/>
            <w:vAlign w:val="top"/>
          </w:tcPr>
          <w:p>
            <w:pPr>
              <w:spacing w:before="80" w:after="80" w:line="240" w:lineRule="auto"/>
              <w:jc w:val="left"/>
            </w:pPr>
            <w:r/>
            <w:r>
              <w:rPr>
                <w:rFonts w:ascii="Calibri" w:hAnsi="Calibri"/>
                <w:color w:val="1A1B1A"/>
                <w:sz w:val="17"/>
              </w:rPr>
              <w:t>Enterprise (500+)</w:t>
            </w:r>
          </w:p>
        </w:tc>
        <w:tc>
          <w:tcPr>
            <w:tcW w:type="dxa" w:w="3744"/>
            <w:shd w:fill="FFFFFF" w:val="clear"/>
            <w:vAlign w:val="top"/>
          </w:tcPr>
          <w:p>
            <w:pPr>
              <w:spacing w:before="80" w:after="80" w:line="240" w:lineRule="auto"/>
              <w:jc w:val="left"/>
            </w:pPr>
            <w:r/>
            <w:r>
              <w:rPr>
                <w:rFonts w:ascii="Calibri" w:hAnsi="Calibri"/>
                <w:color w:val="1A1B1A"/>
                <w:sz w:val="17"/>
              </w:rPr>
              <w:t>Consolidating multi-cloud, need compliance.</w:t>
            </w:r>
          </w:p>
        </w:tc>
        <w:tc>
          <w:tcPr>
            <w:tcW w:type="dxa" w:w="3888"/>
            <w:shd w:fill="FFFFFF" w:val="clear"/>
            <w:vAlign w:val="top"/>
          </w:tcPr>
          <w:p>
            <w:pPr>
              <w:spacing w:before="80" w:after="80" w:line="240" w:lineRule="auto"/>
              <w:jc w:val="left"/>
            </w:pPr>
            <w:r/>
            <w:r>
              <w:rPr>
                <w:rFonts w:ascii="Calibri" w:hAnsi="Calibri"/>
                <w:color w:val="1A1B1A"/>
                <w:sz w:val="17"/>
              </w:rPr>
              <w:t>Enterprise sales, SSO, custom SLAs, on-prem</w:t>
            </w:r>
          </w:p>
        </w:tc>
      </w:tr>
      <w:tr>
        <w:tc>
          <w:tcPr>
            <w:tcW w:type="dxa" w:w="2160"/>
            <w:shd w:fill="F8FAFC" w:val="clear"/>
            <w:vAlign w:val="top"/>
          </w:tcPr>
          <w:p>
            <w:pPr>
              <w:spacing w:before="80" w:after="80" w:line="240" w:lineRule="auto"/>
              <w:jc w:val="left"/>
            </w:pPr>
            <w:r/>
            <w:r>
              <w:rPr>
                <w:rFonts w:ascii="Calibri" w:hAnsi="Calibri"/>
                <w:color w:val="1A1B1A"/>
                <w:sz w:val="17"/>
              </w:rPr>
              <w:t>Government</w:t>
            </w:r>
          </w:p>
        </w:tc>
        <w:tc>
          <w:tcPr>
            <w:tcW w:type="dxa" w:w="3744"/>
            <w:shd w:fill="F8FAFC" w:val="clear"/>
            <w:vAlign w:val="top"/>
          </w:tcPr>
          <w:p>
            <w:pPr>
              <w:spacing w:before="80" w:after="80" w:line="240" w:lineRule="auto"/>
              <w:jc w:val="left"/>
            </w:pPr>
            <w:r/>
            <w:r>
              <w:rPr>
                <w:rFonts w:ascii="Calibri" w:hAnsi="Calibri"/>
                <w:color w:val="1A1B1A"/>
                <w:sz w:val="17"/>
              </w:rPr>
              <w:t>Data residency, sovereign cloud mandates.</w:t>
            </w:r>
          </w:p>
        </w:tc>
        <w:tc>
          <w:tcPr>
            <w:tcW w:type="dxa" w:w="3888"/>
            <w:shd w:fill="F8FAFC" w:val="clear"/>
            <w:vAlign w:val="top"/>
          </w:tcPr>
          <w:p>
            <w:pPr>
              <w:spacing w:before="80" w:after="80" w:line="240" w:lineRule="auto"/>
              <w:jc w:val="left"/>
            </w:pPr>
            <w:r/>
            <w:r>
              <w:rPr>
                <w:rFonts w:ascii="Calibri" w:hAnsi="Calibri"/>
                <w:color w:val="1A1B1A"/>
                <w:sz w:val="17"/>
              </w:rPr>
              <w:t>Region-specific deploys, certifications</w:t>
            </w:r>
          </w:p>
        </w:tc>
      </w:tr>
      <w:tr>
        <w:tc>
          <w:tcPr>
            <w:tcW w:type="dxa" w:w="2160"/>
            <w:shd w:fill="FFFFFF" w:val="clear"/>
            <w:vAlign w:val="top"/>
          </w:tcPr>
          <w:p>
            <w:pPr>
              <w:spacing w:before="80" w:after="80" w:line="240" w:lineRule="auto"/>
              <w:jc w:val="left"/>
            </w:pPr>
            <w:r/>
            <w:r>
              <w:rPr>
                <w:rFonts w:ascii="Calibri" w:hAnsi="Calibri"/>
                <w:color w:val="1A1B1A"/>
                <w:sz w:val="17"/>
              </w:rPr>
              <w:t>EdTech &amp; Research</w:t>
            </w:r>
          </w:p>
        </w:tc>
        <w:tc>
          <w:tcPr>
            <w:tcW w:type="dxa" w:w="3744"/>
            <w:shd w:fill="FFFFFF" w:val="clear"/>
            <w:vAlign w:val="top"/>
          </w:tcPr>
          <w:p>
            <w:pPr>
              <w:spacing w:before="80" w:after="80" w:line="240" w:lineRule="auto"/>
              <w:jc w:val="left"/>
            </w:pPr>
            <w:r/>
            <w:r>
              <w:rPr>
                <w:rFonts w:ascii="Calibri" w:hAnsi="Calibri"/>
                <w:color w:val="1A1B1A"/>
                <w:sz w:val="17"/>
              </w:rPr>
              <w:t>Affordable compute for ML workloads.</w:t>
            </w:r>
          </w:p>
        </w:tc>
        <w:tc>
          <w:tcPr>
            <w:tcW w:type="dxa" w:w="3888"/>
            <w:shd w:fill="FFFFFF" w:val="clear"/>
            <w:vAlign w:val="top"/>
          </w:tcPr>
          <w:p>
            <w:pPr>
              <w:spacing w:before="80" w:after="80" w:line="240" w:lineRule="auto"/>
              <w:jc w:val="left"/>
            </w:pPr>
            <w:r/>
            <w:r>
              <w:rPr>
                <w:rFonts w:ascii="Calibri" w:hAnsi="Calibri"/>
                <w:color w:val="1A1B1A"/>
                <w:sz w:val="17"/>
              </w:rPr>
              <w:t>Academic pricing, research credits</w:t>
            </w:r>
          </w:p>
        </w:tc>
      </w:tr>
      <w:tr>
        <w:tc>
          <w:tcPr>
            <w:tcW w:type="dxa" w:w="2160"/>
            <w:shd w:fill="F8FAFC" w:val="clear"/>
            <w:vAlign w:val="top"/>
          </w:tcPr>
          <w:p>
            <w:pPr>
              <w:spacing w:before="80" w:after="80" w:line="240" w:lineRule="auto"/>
              <w:jc w:val="left"/>
            </w:pPr>
            <w:r/>
            <w:r>
              <w:rPr>
                <w:rFonts w:ascii="Calibri" w:hAnsi="Calibri"/>
                <w:color w:val="1A1B1A"/>
                <w:sz w:val="17"/>
              </w:rPr>
              <w:t>MSPs</w:t>
            </w:r>
          </w:p>
        </w:tc>
        <w:tc>
          <w:tcPr>
            <w:tcW w:type="dxa" w:w="3744"/>
            <w:shd w:fill="F8FAFC" w:val="clear"/>
            <w:vAlign w:val="top"/>
          </w:tcPr>
          <w:p>
            <w:pPr>
              <w:spacing w:before="80" w:after="80" w:line="240" w:lineRule="auto"/>
              <w:jc w:val="left"/>
            </w:pPr>
            <w:r/>
            <w:r>
              <w:rPr>
                <w:rFonts w:ascii="Calibri" w:hAnsi="Calibri"/>
                <w:color w:val="1A1B1A"/>
                <w:sz w:val="17"/>
              </w:rPr>
              <w:t>Resell cloud with white-label.</w:t>
            </w:r>
          </w:p>
        </w:tc>
        <w:tc>
          <w:tcPr>
            <w:tcW w:type="dxa" w:w="3888"/>
            <w:shd w:fill="F8FAFC" w:val="clear"/>
            <w:vAlign w:val="top"/>
          </w:tcPr>
          <w:p>
            <w:pPr>
              <w:spacing w:before="80" w:after="80" w:line="240" w:lineRule="auto"/>
              <w:jc w:val="left"/>
            </w:pPr>
            <w:r/>
            <w:r>
              <w:rPr>
                <w:rFonts w:ascii="Calibri" w:hAnsi="Calibri"/>
                <w:color w:val="1A1B1A"/>
                <w:sz w:val="17"/>
              </w:rPr>
              <w:t>Partner program, multi-tenant, revenue sharing</w:t>
            </w:r>
          </w:p>
        </w:tc>
      </w:tr>
      <w:tr>
        <w:tc>
          <w:tcPr>
            <w:tcW w:type="dxa" w:w="2160"/>
            <w:shd w:fill="FFFFFF" w:val="clear"/>
            <w:vAlign w:val="top"/>
          </w:tcPr>
          <w:p>
            <w:pPr>
              <w:spacing w:before="80" w:after="80" w:line="240" w:lineRule="auto"/>
              <w:jc w:val="left"/>
            </w:pPr>
            <w:r/>
            <w:r>
              <w:rPr>
                <w:rFonts w:ascii="Calibri" w:hAnsi="Calibri"/>
                <w:color w:val="1A1B1A"/>
                <w:sz w:val="17"/>
              </w:rPr>
              <w:t>FinTech / Healthcare</w:t>
            </w:r>
          </w:p>
        </w:tc>
        <w:tc>
          <w:tcPr>
            <w:tcW w:type="dxa" w:w="3744"/>
            <w:shd w:fill="FFFFFF" w:val="clear"/>
            <w:vAlign w:val="top"/>
          </w:tcPr>
          <w:p>
            <w:pPr>
              <w:spacing w:before="80" w:after="80" w:line="240" w:lineRule="auto"/>
              <w:jc w:val="left"/>
            </w:pPr>
            <w:r/>
            <w:r>
              <w:rPr>
                <w:rFonts w:ascii="Calibri" w:hAnsi="Calibri"/>
                <w:color w:val="1A1B1A"/>
                <w:sz w:val="17"/>
              </w:rPr>
              <w:t>PCI-DSS, HIPAA, full audit trails.</w:t>
            </w:r>
          </w:p>
        </w:tc>
        <w:tc>
          <w:tcPr>
            <w:tcW w:type="dxa" w:w="3888"/>
            <w:shd w:fill="FFFFFF" w:val="clear"/>
            <w:vAlign w:val="top"/>
          </w:tcPr>
          <w:p>
            <w:pPr>
              <w:spacing w:before="80" w:after="80" w:line="240" w:lineRule="auto"/>
              <w:jc w:val="left"/>
            </w:pPr>
            <w:r/>
            <w:r>
              <w:rPr>
                <w:rFonts w:ascii="Calibri" w:hAnsi="Calibri"/>
                <w:color w:val="1A1B1A"/>
                <w:sz w:val="17"/>
              </w:rPr>
              <w:t>Compliance-first, encrypted-by-default</w:t>
            </w:r>
          </w:p>
        </w:tc>
      </w:tr>
      <w:tr>
        <w:tc>
          <w:tcPr>
            <w:tcW w:type="dxa" w:w="2160"/>
            <w:shd w:fill="F8FAFC" w:val="clear"/>
            <w:vAlign w:val="top"/>
          </w:tcPr>
          <w:p>
            <w:pPr>
              <w:spacing w:before="80" w:after="80" w:line="240" w:lineRule="auto"/>
              <w:jc w:val="left"/>
            </w:pPr>
            <w:r/>
            <w:r>
              <w:rPr>
                <w:rFonts w:ascii="Calibri" w:hAnsi="Calibri"/>
                <w:color w:val="1A1B1A"/>
                <w:sz w:val="17"/>
              </w:rPr>
              <w:t>Indian Enterprise</w:t>
            </w:r>
          </w:p>
        </w:tc>
        <w:tc>
          <w:tcPr>
            <w:tcW w:type="dxa" w:w="3744"/>
            <w:shd w:fill="F8FAFC" w:val="clear"/>
            <w:vAlign w:val="top"/>
          </w:tcPr>
          <w:p>
            <w:pPr>
              <w:spacing w:before="80" w:after="80" w:line="240" w:lineRule="auto"/>
              <w:jc w:val="left"/>
            </w:pPr>
            <w:r/>
            <w:r>
              <w:rPr>
                <w:rFonts w:ascii="Calibri" w:hAnsi="Calibri"/>
                <w:color w:val="1A1B1A"/>
                <w:sz w:val="17"/>
              </w:rPr>
              <w:t>INR billing, GST invoicing, data residency.</w:t>
            </w:r>
          </w:p>
        </w:tc>
        <w:tc>
          <w:tcPr>
            <w:tcW w:type="dxa" w:w="3888"/>
            <w:shd w:fill="F8FAFC" w:val="clear"/>
            <w:vAlign w:val="top"/>
          </w:tcPr>
          <w:p>
            <w:pPr>
              <w:spacing w:before="80" w:after="80" w:line="240" w:lineRule="auto"/>
              <w:jc w:val="left"/>
            </w:pPr>
            <w:r/>
            <w:r>
              <w:rPr>
                <w:rFonts w:ascii="Calibri" w:hAnsi="Calibri"/>
                <w:color w:val="1A1B1A"/>
                <w:sz w:val="17"/>
              </w:rPr>
              <w:t>Local sales, Hindi support, INR pricing</w:t>
            </w:r>
          </w:p>
        </w:tc>
      </w:tr>
    </w:tbl>
    <w:p>
      <w:r>
        <w:br w:type="page"/>
      </w:r>
    </w:p>
    <w:p>
      <w:pPr>
        <w:pStyle w:val="Heading1"/>
        <w:spacing w:before="480" w:after="160"/>
      </w:pPr>
      <w:r>
        <w:rPr>
          <w:rFonts w:ascii="Calibri" w:hAnsi="Calibri"/>
          <w:color w:val="B98B3B"/>
          <w:sz w:val="40"/>
          <w:rFonts w:eastAsia="Calibri" w:cs="Calibri"/>
        </w:rPr>
        <w:t>10. Growth &amp; Scaling Strategy</w:t>
      </w:r>
    </w:p>
    <w:tbl>
      <w:tblPr>
        <w:tblW w:type="auto" w:w="0"/>
        <w:jc w:val="center"/>
        <w:tblLook w:firstColumn="1" w:firstRow="1" w:lastColumn="0" w:lastRow="0" w:noHBand="0" w:noVBand="1" w:val="04A0"/>
      </w:tblPr>
      <w:tblGrid>
        <w:gridCol w:w="9360"/>
      </w:tblGrid>
      <w:tr>
        <w:trPr>
          <w:trHeight w:val="40" w:hRule="exact"/>
        </w:trPr>
        <w:tc>
          <w:tcPr>
            <w:tcW w:type="dxa" w:w="9412"/>
            <w:shd w:fill="B98B3B" w:val="clear"/>
          </w:tcPr>
          <w:p>
            <w:pPr>
              <w:spacing w:before="0" w:after="0"/>
            </w:pPr>
            <w:r>
              <w:rPr>
                <w:sz w:val="2"/>
              </w:rPr>
            </w:r>
          </w:p>
        </w:tc>
      </w:tr>
    </w:tbl>
    <w:p>
      <w:pPr>
        <w:spacing w:after="80"/>
      </w:pPr>
    </w:p>
    <w:p>
      <w:pPr>
        <w:spacing w:before="120" w:after="120"/>
        <w:jc w:val="center"/>
      </w:pPr>
      <w:r>
        <w:drawing>
          <wp:inline xmlns:a="http://schemas.openxmlformats.org/drawingml/2006/main" xmlns:pic="http://schemas.openxmlformats.org/drawingml/2006/picture">
            <wp:extent cx="4754880" cy="2721899"/>
            <wp:docPr id="6" name="Picture 6"/>
            <wp:cNvGraphicFramePr>
              <a:graphicFrameLocks noChangeAspect="1"/>
            </wp:cNvGraphicFramePr>
            <a:graphic>
              <a:graphicData uri="http://schemas.openxmlformats.org/drawingml/2006/picture">
                <pic:pic>
                  <pic:nvPicPr>
                    <pic:cNvPr id="0" name="funnel.png"/>
                    <pic:cNvPicPr/>
                  </pic:nvPicPr>
                  <pic:blipFill>
                    <a:blip r:embed="rId14"/>
                    <a:stretch>
                      <a:fillRect/>
                    </a:stretch>
                  </pic:blipFill>
                  <pic:spPr>
                    <a:xfrm>
                      <a:off x="0" y="0"/>
                      <a:ext cx="4754880" cy="2721899"/>
                    </a:xfrm>
                    <a:prstGeom prst="rect"/>
                  </pic:spPr>
                </pic:pic>
              </a:graphicData>
            </a:graphic>
          </wp:inline>
        </w:drawing>
      </w:r>
    </w:p>
    <w:p>
      <w:pPr>
        <w:spacing w:after="120"/>
      </w:pPr>
    </w:p>
    <w:p>
      <w:pPr>
        <w:spacing w:before="80" w:after="200" w:line="240" w:lineRule="auto"/>
      </w:pPr>
      <w:r>
        <w:rPr>
          <w:rFonts w:ascii="Calibri" w:hAnsi="Calibri"/>
          <w:b/>
          <w:color w:val="B98B3B"/>
          <w:sz w:val="22"/>
          <w:rFonts w:eastAsia="Calibri" w:cs="Calibri"/>
        </w:rPr>
        <w:t>Go-to-Market</w:t>
      </w:r>
      <w:r>
        <w:rPr>
          <w:rFonts w:ascii="Calibri" w:hAnsi="Calibri"/>
          <w:b w:val="0"/>
          <w:color w:val="1A1B1A"/>
          <w:sz w:val="20"/>
          <w:rFonts w:eastAsia="Calibri" w:cs="Calibri"/>
        </w:rPr>
        <w:t xml:space="preserve">  --  Product-led growth with 10-day free trial (no credit card). Pricing: Developer Cloud at Rs.499/mo, Team Operations at Rs.2,499/mo, Enterprise custom. Annual saves 20%.</w:t>
      </w:r>
    </w:p>
    <w:p>
      <w:pPr>
        <w:spacing w:before="80" w:after="200" w:line="240" w:lineRule="auto"/>
      </w:pPr>
      <w:r>
        <w:rPr>
          <w:rFonts w:ascii="Calibri" w:hAnsi="Calibri"/>
          <w:b/>
          <w:color w:val="B98B3B"/>
          <w:sz w:val="22"/>
          <w:rFonts w:eastAsia="Calibri" w:cs="Calibri"/>
        </w:rPr>
        <w:t>Developer Community</w:t>
      </w:r>
      <w:r>
        <w:rPr>
          <w:rFonts w:ascii="Calibri" w:hAnsi="Calibri"/>
          <w:b w:val="0"/>
          <w:color w:val="1A1B1A"/>
          <w:sz w:val="20"/>
          <w:rFonts w:eastAsia="Calibri" w:cs="Calibri"/>
        </w:rPr>
        <w:t xml:space="preserve">  --  Built-in community platform for discussions and knowledge sharing. Open-source Terraform provider and SDK contributions. Technical blog and conference presence.</w:t>
      </w:r>
    </w:p>
    <w:p>
      <w:pPr>
        <w:spacing w:before="80" w:after="200" w:line="240" w:lineRule="auto"/>
      </w:pPr>
      <w:r>
        <w:rPr>
          <w:rFonts w:ascii="Calibri" w:hAnsi="Calibri"/>
          <w:b/>
          <w:color w:val="B98B3B"/>
          <w:sz w:val="22"/>
          <w:rFonts w:eastAsia="Calibri" w:cs="Calibri"/>
        </w:rPr>
        <w:t>Strategic Partnerships</w:t>
      </w:r>
      <w:r>
        <w:rPr>
          <w:rFonts w:ascii="Calibri" w:hAnsi="Calibri"/>
          <w:b w:val="0"/>
          <w:color w:val="1A1B1A"/>
          <w:sz w:val="20"/>
          <w:rFonts w:eastAsia="Calibri" w:cs="Calibri"/>
        </w:rPr>
        <w:t xml:space="preserve">  --  Integrations with GitHub, GitLab, Terraform, Datadog, PagerDuty, Slack. Cloud marketplace listings. MSP/reseller partner program.</w:t>
      </w:r>
    </w:p>
    <w:p>
      <w:pPr>
        <w:spacing w:before="80" w:after="200" w:line="240" w:lineRule="auto"/>
      </w:pPr>
      <w:r>
        <w:rPr>
          <w:rFonts w:ascii="Calibri" w:hAnsi="Calibri"/>
          <w:b/>
          <w:color w:val="B98B3B"/>
          <w:sz w:val="22"/>
          <w:rFonts w:eastAsia="Calibri" w:cs="Calibri"/>
        </w:rPr>
        <w:t>Enterprise Sales</w:t>
      </w:r>
      <w:r>
        <w:rPr>
          <w:rFonts w:ascii="Calibri" w:hAnsi="Calibri"/>
          <w:b w:val="0"/>
          <w:color w:val="1A1B1A"/>
          <w:sz w:val="20"/>
          <w:rFonts w:eastAsia="Calibri" w:cs="Calibri"/>
        </w:rPr>
        <w:t xml:space="preserve">  --  Dedicated sales for 500+ employee accounts. Custom SLAs (99.99% to 99.999%), SSO/SAML, self-hosted distribution, dedicated success managers.</w:t>
      </w:r>
    </w:p>
    <w:p>
      <w:pPr>
        <w:spacing w:before="80" w:after="200" w:line="240" w:lineRule="auto"/>
      </w:pPr>
      <w:r>
        <w:rPr>
          <w:rFonts w:ascii="Calibri" w:hAnsi="Calibri"/>
          <w:b/>
          <w:color w:val="B98B3B"/>
          <w:sz w:val="22"/>
          <w:rFonts w:eastAsia="Calibri" w:cs="Calibri"/>
        </w:rPr>
        <w:t>Geographic Expansion</w:t>
      </w:r>
      <w:r>
        <w:rPr>
          <w:rFonts w:ascii="Calibri" w:hAnsi="Calibri"/>
          <w:b w:val="0"/>
          <w:color w:val="1A1B1A"/>
          <w:sz w:val="20"/>
          <w:rFonts w:eastAsia="Calibri" w:cs="Calibri"/>
        </w:rPr>
        <w:t xml:space="preserve">  --  Phase 1: 5 regions (Mumbai, Chennai, Singapore, Virginia, Frankfurt). Phase 2: Tokyo, Sao Paulo, London, Sydney. Phase 3: Middle East, Africa, APAC.</w:t>
      </w:r>
    </w:p>
    <w:p>
      <w:r>
        <w:br w:type="page"/>
      </w:r>
    </w:p>
    <w:p>
      <w:pPr>
        <w:pStyle w:val="Heading1"/>
        <w:spacing w:before="480" w:after="160"/>
      </w:pPr>
      <w:r>
        <w:rPr>
          <w:rFonts w:ascii="Calibri" w:hAnsi="Calibri"/>
          <w:color w:val="B98B3B"/>
          <w:sz w:val="40"/>
          <w:rFonts w:eastAsia="Calibri" w:cs="Calibri"/>
        </w:rPr>
        <w:t>11. Closing &amp; Call to Action</w:t>
      </w:r>
    </w:p>
    <w:tbl>
      <w:tblPr>
        <w:tblW w:type="auto" w:w="0"/>
        <w:jc w:val="center"/>
        <w:tblLook w:firstColumn="1" w:firstRow="1" w:lastColumn="0" w:lastRow="0" w:noHBand="0" w:noVBand="1" w:val="04A0"/>
      </w:tblPr>
      <w:tblGrid>
        <w:gridCol w:w="9360"/>
      </w:tblGrid>
      <w:tr>
        <w:trPr>
          <w:trHeight w:val="40" w:hRule="exact"/>
        </w:trPr>
        <w:tc>
          <w:tcPr>
            <w:tcW w:type="dxa" w:w="9412"/>
            <w:shd w:fill="B98B3B" w:val="clear"/>
          </w:tcPr>
          <w:p>
            <w:pPr>
              <w:spacing w:before="0" w:after="0"/>
            </w:pPr>
            <w:r>
              <w:rPr>
                <w:sz w:val="2"/>
              </w:rPr>
            </w:r>
          </w:p>
        </w:tc>
      </w:tr>
    </w:tbl>
    <w:p>
      <w:pPr>
        <w:spacing w:after="80"/>
      </w:pPr>
    </w:p>
    <w:p>
      <w:pPr>
        <w:spacing w:before="0" w:after="280" w:line="240" w:lineRule="auto"/>
      </w:pPr>
      <w:r>
        <w:rPr>
          <w:rFonts w:ascii="Calibri" w:hAnsi="Calibri"/>
          <w:b w:val="0"/>
          <w:i w:val="0"/>
          <w:color w:val="1A1B1A"/>
          <w:sz w:val="21"/>
          <w:rFonts w:eastAsia="Calibri" w:cs="Calibri"/>
        </w:rPr>
        <w:t>Aravanta Cloud OS represents a generational opportunity to redefine how engineering teams interact with cloud infrastructure. The market is ready for a unified, developer-friendly alternative to fragmented multi-cloud tooling -- and Aravanta Tech is positioned to lead this transformation.</w:t>
      </w:r>
    </w:p>
    <w:p>
      <w:pPr>
        <w:spacing w:before="80" w:after="200" w:line="240" w:lineRule="auto"/>
      </w:pPr>
      <w:r>
        <w:rPr>
          <w:rFonts w:ascii="Calibri" w:hAnsi="Calibri"/>
          <w:b/>
          <w:i w:val="0"/>
          <w:color w:val="B98B3B"/>
          <w:sz w:val="24"/>
          <w:rFonts w:eastAsia="Calibri" w:cs="Calibri"/>
        </w:rPr>
        <w:t>WHAT WE ARE LOOKING FOR</w:t>
      </w:r>
    </w:p>
    <w:p>
      <w:pPr>
        <w:spacing w:before="40" w:after="60" w:line="240" w:lineRule="auto"/>
        <w:ind w:left="576" w:hanging="288"/>
      </w:pPr>
      <w:r>
        <w:rPr>
          <w:rFonts w:ascii="Calibri" w:hAnsi="Calibri"/>
          <w:color w:val="1A1B1A"/>
          <w:sz w:val="20"/>
        </w:rPr>
        <w:t>•  Strategic investors aligned with developer infrastructure and cloud-native platforms</w:t>
      </w:r>
    </w:p>
    <w:p>
      <w:pPr>
        <w:spacing w:before="40" w:after="60" w:line="240" w:lineRule="auto"/>
        <w:ind w:left="576" w:hanging="288"/>
      </w:pPr>
      <w:r>
        <w:rPr>
          <w:rFonts w:ascii="Calibri" w:hAnsi="Calibri"/>
          <w:color w:val="1A1B1A"/>
          <w:sz w:val="20"/>
        </w:rPr>
        <w:t>•  Enterprise pilot partners seeking to consolidate multi-cloud operations</w:t>
      </w:r>
    </w:p>
    <w:p>
      <w:pPr>
        <w:spacing w:before="40" w:after="60" w:line="240" w:lineRule="auto"/>
        <w:ind w:left="576" w:hanging="288"/>
      </w:pPr>
      <w:r>
        <w:rPr>
          <w:rFonts w:ascii="Calibri" w:hAnsi="Calibri"/>
          <w:color w:val="1A1B1A"/>
          <w:sz w:val="20"/>
        </w:rPr>
        <w:t>•  Technology integration partners (CI/CD, monitoring, security) for ecosystem growth</w:t>
      </w:r>
    </w:p>
    <w:p>
      <w:pPr>
        <w:spacing w:before="40" w:after="60" w:line="240" w:lineRule="auto"/>
        <w:ind w:left="576" w:hanging="288"/>
      </w:pPr>
      <w:r>
        <w:rPr>
          <w:rFonts w:ascii="Calibri" w:hAnsi="Calibri"/>
          <w:color w:val="1A1B1A"/>
          <w:sz w:val="20"/>
        </w:rPr>
        <w:t>•  Go-to-market advisors with B2B SaaS and infrastructure sales experience</w:t>
      </w:r>
    </w:p>
    <w:p>
      <w:pPr>
        <w:spacing w:after="200"/>
      </w:pPr>
    </w:p>
    <w:p>
      <w:pPr>
        <w:pStyle w:val="Heading2"/>
        <w:spacing w:before="320" w:after="160"/>
      </w:pPr>
      <w:r>
        <w:rPr>
          <w:rFonts w:ascii="Calibri" w:hAnsi="Calibri"/>
          <w:color w:val="9E742E"/>
          <w:sz w:val="28"/>
          <w:rFonts w:eastAsia="Calibri" w:cs="Calibri"/>
        </w:rPr>
        <w:t>Contact Information</w:t>
      </w:r>
    </w:p>
    <w:tbl>
      <w:tblPr>
        <w:tblStyle w:val="TableGrid"/>
        <w:tblW w:type="auto" w:w="0"/>
        <w:jc w:val="center"/>
        <w:tblLook w:firstColumn="1" w:firstRow="1" w:lastColumn="0" w:lastRow="0" w:noHBand="0" w:noVBand="1" w:val="04A0"/>
      </w:tblPr>
      <w:tblGrid>
        <w:gridCol w:w="4706"/>
        <w:gridCol w:w="4706"/>
      </w:tblGrid>
      <w:tr>
        <w:tc>
          <w:tcPr>
            <w:tcW w:type="dxa" w:w="3168"/>
            <w:shd w:fill="B98B3B" w:val="clear"/>
            <w:vAlign w:val="center"/>
          </w:tcPr>
          <w:p>
            <w:pPr>
              <w:spacing w:before="100" w:after="100"/>
              <w:jc w:val="left"/>
            </w:pPr>
            <w:r/>
            <w:r>
              <w:rPr>
                <w:rFonts w:ascii="Calibri" w:hAnsi="Calibri"/>
                <w:b/>
                <w:color w:val="FFFFFF"/>
                <w:sz w:val="18"/>
              </w:rPr>
              <w:t>Channel</w:t>
            </w:r>
          </w:p>
        </w:tc>
        <w:tc>
          <w:tcPr>
            <w:tcW w:type="dxa" w:w="6624"/>
            <w:shd w:fill="B98B3B" w:val="clear"/>
            <w:vAlign w:val="center"/>
          </w:tcPr>
          <w:p>
            <w:pPr>
              <w:spacing w:before="100" w:after="100"/>
              <w:jc w:val="left"/>
            </w:pPr>
            <w:r/>
            <w:r>
              <w:rPr>
                <w:rFonts w:ascii="Calibri" w:hAnsi="Calibri"/>
                <w:b/>
                <w:color w:val="FFFFFF"/>
                <w:sz w:val="18"/>
              </w:rPr>
              <w:t>Contact Details</w:t>
            </w:r>
          </w:p>
        </w:tc>
      </w:tr>
      <w:tr>
        <w:tc>
          <w:tcPr>
            <w:tcW w:type="dxa" w:w="3168"/>
            <w:shd w:fill="FFFFFF" w:val="clear"/>
            <w:vAlign w:val="top"/>
          </w:tcPr>
          <w:p>
            <w:pPr>
              <w:spacing w:before="80" w:after="80" w:line="240" w:lineRule="auto"/>
              <w:jc w:val="left"/>
            </w:pPr>
            <w:r/>
            <w:r>
              <w:rPr>
                <w:rFonts w:ascii="Calibri" w:hAnsi="Calibri"/>
                <w:color w:val="1A1B1A"/>
                <w:sz w:val="17"/>
              </w:rPr>
              <w:t>Sales &amp; Partnerships</w:t>
            </w:r>
          </w:p>
        </w:tc>
        <w:tc>
          <w:tcPr>
            <w:tcW w:type="dxa" w:w="6624"/>
            <w:shd w:fill="FFFFFF" w:val="clear"/>
            <w:vAlign w:val="top"/>
          </w:tcPr>
          <w:p>
            <w:pPr>
              <w:spacing w:before="80" w:after="80" w:line="240" w:lineRule="auto"/>
              <w:jc w:val="left"/>
            </w:pPr>
            <w:r/>
            <w:r>
              <w:rPr>
                <w:rFonts w:ascii="Calibri" w:hAnsi="Calibri"/>
                <w:color w:val="1A1B1A"/>
                <w:sz w:val="17"/>
              </w:rPr>
              <w:t>sales@aravanta.cloud  /  enterprise@aravanta.cloud</w:t>
            </w:r>
          </w:p>
        </w:tc>
      </w:tr>
      <w:tr>
        <w:tc>
          <w:tcPr>
            <w:tcW w:type="dxa" w:w="3168"/>
            <w:shd w:fill="F8FAFC" w:val="clear"/>
            <w:vAlign w:val="top"/>
          </w:tcPr>
          <w:p>
            <w:pPr>
              <w:spacing w:before="80" w:after="80" w:line="240" w:lineRule="auto"/>
              <w:jc w:val="left"/>
            </w:pPr>
            <w:r/>
            <w:r>
              <w:rPr>
                <w:rFonts w:ascii="Calibri" w:hAnsi="Calibri"/>
                <w:color w:val="1A1B1A"/>
                <w:sz w:val="17"/>
              </w:rPr>
              <w:t>Technical Support</w:t>
            </w:r>
          </w:p>
        </w:tc>
        <w:tc>
          <w:tcPr>
            <w:tcW w:type="dxa" w:w="6624"/>
            <w:shd w:fill="F8FAFC" w:val="clear"/>
            <w:vAlign w:val="top"/>
          </w:tcPr>
          <w:p>
            <w:pPr>
              <w:spacing w:before="80" w:after="80" w:line="240" w:lineRule="auto"/>
              <w:jc w:val="left"/>
            </w:pPr>
            <w:r/>
            <w:r>
              <w:rPr>
                <w:rFonts w:ascii="Calibri" w:hAnsi="Calibri"/>
                <w:color w:val="1A1B1A"/>
                <w:sz w:val="17"/>
              </w:rPr>
              <w:t>support@aravanta.cloud  /  +91 80 4567 8901</w:t>
            </w:r>
          </w:p>
        </w:tc>
      </w:tr>
      <w:tr>
        <w:tc>
          <w:tcPr>
            <w:tcW w:type="dxa" w:w="3168"/>
            <w:shd w:fill="FFFFFF" w:val="clear"/>
            <w:vAlign w:val="top"/>
          </w:tcPr>
          <w:p>
            <w:pPr>
              <w:spacing w:before="80" w:after="80" w:line="240" w:lineRule="auto"/>
              <w:jc w:val="left"/>
            </w:pPr>
            <w:r/>
            <w:r>
              <w:rPr>
                <w:rFonts w:ascii="Calibri" w:hAnsi="Calibri"/>
                <w:color w:val="1A1B1A"/>
                <w:sz w:val="17"/>
              </w:rPr>
              <w:t>Billing &amp; Finance</w:t>
            </w:r>
          </w:p>
        </w:tc>
        <w:tc>
          <w:tcPr>
            <w:tcW w:type="dxa" w:w="6624"/>
            <w:shd w:fill="FFFFFF" w:val="clear"/>
            <w:vAlign w:val="top"/>
          </w:tcPr>
          <w:p>
            <w:pPr>
              <w:spacing w:before="80" w:after="80" w:line="240" w:lineRule="auto"/>
              <w:jc w:val="left"/>
            </w:pPr>
            <w:r/>
            <w:r>
              <w:rPr>
                <w:rFonts w:ascii="Calibri" w:hAnsi="Calibri"/>
                <w:color w:val="1A1B1A"/>
                <w:sz w:val="17"/>
              </w:rPr>
              <w:t>billing@aravanta.cloud  /  +91 80 4567 8902</w:t>
            </w:r>
          </w:p>
        </w:tc>
      </w:tr>
      <w:tr>
        <w:tc>
          <w:tcPr>
            <w:tcW w:type="dxa" w:w="3168"/>
            <w:shd w:fill="F8FAFC" w:val="clear"/>
            <w:vAlign w:val="top"/>
          </w:tcPr>
          <w:p>
            <w:pPr>
              <w:spacing w:before="80" w:after="80" w:line="240" w:lineRule="auto"/>
              <w:jc w:val="left"/>
            </w:pPr>
            <w:r/>
            <w:r>
              <w:rPr>
                <w:rFonts w:ascii="Calibri" w:hAnsi="Calibri"/>
                <w:color w:val="1A1B1A"/>
                <w:sz w:val="17"/>
              </w:rPr>
              <w:t>Security War-Room (24x7)</w:t>
            </w:r>
          </w:p>
        </w:tc>
        <w:tc>
          <w:tcPr>
            <w:tcW w:type="dxa" w:w="6624"/>
            <w:shd w:fill="F8FAFC" w:val="clear"/>
            <w:vAlign w:val="top"/>
          </w:tcPr>
          <w:p>
            <w:pPr>
              <w:spacing w:before="80" w:after="80" w:line="240" w:lineRule="auto"/>
              <w:jc w:val="left"/>
            </w:pPr>
            <w:r/>
            <w:r>
              <w:rPr>
                <w:rFonts w:ascii="Calibri" w:hAnsi="Calibri"/>
                <w:color w:val="1A1B1A"/>
                <w:sz w:val="17"/>
              </w:rPr>
              <w:t>security@aravanta.cloud  /  +91 80 4567 8999</w:t>
            </w:r>
          </w:p>
        </w:tc>
      </w:tr>
      <w:tr>
        <w:tc>
          <w:tcPr>
            <w:tcW w:type="dxa" w:w="3168"/>
            <w:shd w:fill="FFFFFF" w:val="clear"/>
            <w:vAlign w:val="top"/>
          </w:tcPr>
          <w:p>
            <w:pPr>
              <w:spacing w:before="80" w:after="80" w:line="240" w:lineRule="auto"/>
              <w:jc w:val="left"/>
            </w:pPr>
            <w:r/>
            <w:r>
              <w:rPr>
                <w:rFonts w:ascii="Calibri" w:hAnsi="Calibri"/>
                <w:color w:val="1A1B1A"/>
                <w:sz w:val="17"/>
              </w:rPr>
              <w:t>Platform Console</w:t>
            </w:r>
          </w:p>
        </w:tc>
        <w:tc>
          <w:tcPr>
            <w:tcW w:type="dxa" w:w="6624"/>
            <w:shd w:fill="FFFFFF" w:val="clear"/>
            <w:vAlign w:val="top"/>
          </w:tcPr>
          <w:p>
            <w:pPr>
              <w:spacing w:before="80" w:after="80" w:line="240" w:lineRule="auto"/>
              <w:jc w:val="left"/>
            </w:pPr>
            <w:r/>
            <w:r>
              <w:rPr>
                <w:rFonts w:ascii="Calibri" w:hAnsi="Calibri"/>
                <w:color w:val="1A1B1A"/>
                <w:sz w:val="17"/>
              </w:rPr>
              <w:t>console.aravanta.cloud</w:t>
            </w:r>
          </w:p>
        </w:tc>
      </w:tr>
      <w:tr>
        <w:tc>
          <w:tcPr>
            <w:tcW w:type="dxa" w:w="3168"/>
            <w:shd w:fill="F8FAFC" w:val="clear"/>
            <w:vAlign w:val="top"/>
          </w:tcPr>
          <w:p>
            <w:pPr>
              <w:spacing w:before="80" w:after="80" w:line="240" w:lineRule="auto"/>
              <w:jc w:val="left"/>
            </w:pPr>
            <w:r/>
            <w:r>
              <w:rPr>
                <w:rFonts w:ascii="Calibri" w:hAnsi="Calibri"/>
                <w:color w:val="1A1B1A"/>
                <w:sz w:val="17"/>
              </w:rPr>
              <w:t>API Documentation</w:t>
            </w:r>
          </w:p>
        </w:tc>
        <w:tc>
          <w:tcPr>
            <w:tcW w:type="dxa" w:w="6624"/>
            <w:shd w:fill="F8FAFC" w:val="clear"/>
            <w:vAlign w:val="top"/>
          </w:tcPr>
          <w:p>
            <w:pPr>
              <w:spacing w:before="80" w:after="80" w:line="240" w:lineRule="auto"/>
              <w:jc w:val="left"/>
            </w:pPr>
            <w:r/>
            <w:r>
              <w:rPr>
                <w:rFonts w:ascii="Calibri" w:hAnsi="Calibri"/>
                <w:color w:val="1A1B1A"/>
                <w:sz w:val="17"/>
              </w:rPr>
              <w:t>arv-backend.vercel.app/docs</w:t>
            </w:r>
          </w:p>
        </w:tc>
      </w:tr>
      <w:tr>
        <w:tc>
          <w:tcPr>
            <w:tcW w:type="dxa" w:w="3168"/>
            <w:shd w:fill="FFFFFF" w:val="clear"/>
            <w:vAlign w:val="top"/>
          </w:tcPr>
          <w:p>
            <w:pPr>
              <w:spacing w:before="80" w:after="80" w:line="240" w:lineRule="auto"/>
              <w:jc w:val="left"/>
            </w:pPr>
            <w:r/>
            <w:r>
              <w:rPr>
                <w:rFonts w:ascii="Calibri" w:hAnsi="Calibri"/>
                <w:color w:val="1A1B1A"/>
                <w:sz w:val="17"/>
              </w:rPr>
              <w:t>Status Page</w:t>
            </w:r>
          </w:p>
        </w:tc>
        <w:tc>
          <w:tcPr>
            <w:tcW w:type="dxa" w:w="6624"/>
            <w:shd w:fill="FFFFFF" w:val="clear"/>
            <w:vAlign w:val="top"/>
          </w:tcPr>
          <w:p>
            <w:pPr>
              <w:spacing w:before="80" w:after="80" w:line="240" w:lineRule="auto"/>
              <w:jc w:val="left"/>
            </w:pPr>
            <w:r/>
            <w:r>
              <w:rPr>
                <w:rFonts w:ascii="Calibri" w:hAnsi="Calibri"/>
                <w:color w:val="1A1B1A"/>
                <w:sz w:val="17"/>
              </w:rPr>
              <w:t>status.aravanta.cloud</w:t>
            </w:r>
          </w:p>
        </w:tc>
      </w:tr>
    </w:tbl>
    <w:p>
      <w:pPr>
        <w:spacing w:after="280"/>
      </w:pPr>
    </w:p>
    <w:tbl>
      <w:tblPr>
        <w:tblW w:type="auto" w:w="0"/>
        <w:jc w:val="center"/>
        <w:tblLook w:firstColumn="1" w:firstRow="1" w:lastColumn="0" w:lastRow="0" w:noHBand="0" w:noVBand="1" w:val="04A0"/>
      </w:tblPr>
      <w:tblGrid>
        <w:gridCol w:w="9412"/>
      </w:tblGrid>
      <w:tr>
        <w:tc>
          <w:tcPr>
            <w:tcW w:type="dxa" w:w="9412"/>
            <w:shd w:fill="0B0F17" w:val="clear"/>
          </w:tcPr>
          <w:p>
            <w:pPr>
              <w:spacing w:before="400" w:after="40"/>
              <w:jc w:val="center"/>
            </w:pPr>
            <w:r>
              <w:rPr>
                <w:rFonts w:ascii="Calibri" w:hAnsi="Calibri"/>
                <w:b/>
                <w:color w:val="E5BA6A"/>
                <w:sz w:val="40"/>
              </w:rPr>
              <w:t>Aravanta Cloud OS</w:t>
            </w:r>
          </w:p>
          <w:p>
            <w:pPr>
              <w:spacing w:before="80" w:after="40"/>
              <w:jc w:val="center"/>
            </w:pPr>
            <w:r>
              <w:rPr>
                <w:rFonts w:ascii="Calibri" w:hAnsi="Calibri"/>
                <w:b w:val="0"/>
                <w:color w:val="CBD5E1"/>
                <w:sz w:val="22"/>
              </w:rPr>
              <w:t>The Unified Multi-Cloud Operating System</w:t>
            </w:r>
          </w:p>
          <w:p>
            <w:pPr>
              <w:spacing w:before="80" w:after="40"/>
              <w:jc w:val="center"/>
            </w:pPr>
          </w:p>
          <w:p>
            <w:pPr>
              <w:spacing w:before="80" w:after="40"/>
              <w:jc w:val="center"/>
            </w:pPr>
            <w:r>
              <w:rPr>
                <w:rFonts w:ascii="Calibri" w:hAnsi="Calibri"/>
                <w:b/>
                <w:color w:val="B98B3B"/>
                <w:sz w:val="24"/>
              </w:rPr>
              <w:t>A Product by Aravanta Tech</w:t>
            </w:r>
          </w:p>
          <w:p>
            <w:pPr>
              <w:spacing w:before="80" w:after="40"/>
              <w:jc w:val="center"/>
            </w:pPr>
            <w:r>
              <w:rPr>
                <w:rFonts w:ascii="Calibri" w:hAnsi="Calibri"/>
                <w:b w:val="0"/>
                <w:color w:val="94A3B8"/>
                <w:sz w:val="18"/>
              </w:rPr>
              <w:t>console.aravanta.cloud   |   arv-backend.vercel.app</w:t>
            </w:r>
          </w:p>
          <w:p>
            <w:pPr>
              <w:spacing w:before="80" w:after="40"/>
              <w:jc w:val="center"/>
            </w:pPr>
          </w:p>
          <w:p>
            <w:pPr>
              <w:spacing w:before="80" w:after="400"/>
              <w:jc w:val="center"/>
            </w:pPr>
            <w:r>
              <w:rPr>
                <w:rFonts w:ascii="Calibri" w:hAnsi="Calibri"/>
                <w:b w:val="0"/>
                <w:color w:val="64748B"/>
                <w:sz w:val="16"/>
              </w:rPr>
              <w:t>Generated: September 12, 2026   |   Classification: Internal / Investor Use</w:t>
            </w:r>
          </w:p>
        </w:tc>
      </w:tr>
    </w:tbl>
    <w:sectPr w:rsidR="00FC693F" w:rsidRPr="0006063C" w:rsidSect="00034616">
      <w:headerReference w:type="default" r:id="rId15"/>
      <w:footerReference w:type="default" r:id="rId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Calibri" w:hAnsi="Calibri"/>
        <w:color w:val="94A3B8"/>
        <w:sz w:val="14"/>
      </w:rPr>
      <w:t>Aravanta Cloud OS   |   Confidential   |   A Product by Aravanta Tech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drawing>
        <wp:inline xmlns:a="http://schemas.openxmlformats.org/drawingml/2006/main" xmlns:pic="http://schemas.openxmlformats.org/drawingml/2006/picture">
          <wp:extent cx="365760" cy="360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365760" cy="360000"/>
                  </a:xfrm>
                  <a:prstGeom prst="rect"/>
                </pic:spPr>
              </pic:pic>
            </a:graphicData>
          </a:graphic>
        </wp:inline>
      </w:drawing>
    </w:r>
    <w:r>
      <w:rPr>
        <w:rFonts w:ascii="Calibri" w:hAnsi="Calibri"/>
        <w:color w:val="94A3B8"/>
        <w:sz w:val="15"/>
      </w:rPr>
      <w:t xml:space="preserve">   Aravanta Cloud OS  --  Product &amp; Vision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color w:val="1A1B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