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1"/>
              <w:left w:val="single" w:color="1B3A6B" w:sz="1"/>
              <w:bottom w:val="single" w:color="1B3A6B" w:sz="1"/>
              <w:right w:val="single" w:color="1B3A6B" w:sz="1"/>
            </w:tcBorders>
            <w:shd w:fill="1B3A6B" w:val="clear"/>
            <w:tcMar>
              <w:top w:type="dxa" w:w="200"/>
              <w:left w:type="dxa" w:w="300"/>
              <w:bottom w:type="dxa" w:w="200"/>
              <w:right w:type="dxa" w:w="300"/>
            </w:tcMar>
          </w:tcPr>
          <w:p>
            <w:pPr>
              <w:spacing w:after="60"/>
              <w:jc w:val="center"/>
            </w:pPr>
            <w:r>
              <w:rPr>
                <w:rFonts w:ascii="Calibri" w:cs="Calibri" w:eastAsia="Calibri" w:hAnsi="Calibri"/>
                <w:b/>
                <w:bCs/>
                <w:color w:val="93C5FD"/>
                <w:sz w:val="20"/>
                <w:szCs w:val="20"/>
              </w:rPr>
              <w:t xml:space="preserve">DATA ANALYTICS PROJECT REPORT</w:t>
            </w:r>
          </w:p>
          <w:p>
            <w:pPr>
              <w:spacing w:after="60"/>
              <w:jc w:val="center"/>
            </w:pPr>
            <w:r>
              <w:rPr>
                <w:rFonts w:ascii="Calibri" w:cs="Calibri" w:eastAsia="Calibri" w:hAnsi="Calibri"/>
                <w:color w:val="BFDBFE"/>
                <w:sz w:val="18"/>
                <w:szCs w:val="18"/>
              </w:rPr>
              <w:t xml:space="preserve">DA 120B  ·  Academic Year 2025–2026</w:t>
            </w:r>
          </w:p>
        </w:tc>
      </w:tr>
    </w:tbl>
    <w:p>
      <w:pPr>
        <w:spacing w:after="480" w:before="0"/>
        <w:jc w:val="left"/>
      </w:pPr>
      <w:r>
        <w:rPr>
          <w:rFonts w:ascii="Calibri" w:cs="Calibri" w:eastAsia="Calibri" w:hAnsi="Calibri"/>
          <w:b w:val="false"/>
          <w:bCs w:val="false"/>
          <w:i w:val="false"/>
          <w:iCs w:val="false"/>
          <w:color w:val="111827"/>
          <w:sz w:val="22"/>
          <w:szCs w:val="22"/>
        </w:rPr>
        <w:t xml:space="preserve"/>
      </w:r>
    </w:p>
    <w:p>
      <w:pPr>
        <w:spacing w:after="80"/>
        <w:jc w:val="center"/>
      </w:pPr>
      <w:r>
        <w:rPr>
          <w:rFonts w:ascii="Calibri" w:cs="Calibri" w:eastAsia="Calibri" w:hAnsi="Calibri"/>
          <w:b/>
          <w:bCs/>
          <w:color w:val="1B3A6B"/>
          <w:sz w:val="56"/>
          <w:szCs w:val="56"/>
        </w:rPr>
        <w:t xml:space="preserve">Air Quality Index (AQI) Analysis</w:t>
      </w:r>
    </w:p>
    <w:p>
      <w:pPr>
        <w:spacing w:after="80"/>
        <w:jc w:val="center"/>
      </w:pPr>
      <w:r>
        <w:rPr>
          <w:rFonts w:ascii="Calibri" w:cs="Calibri" w:eastAsia="Calibri" w:hAnsi="Calibri"/>
          <w:color w:val="2563EB"/>
          <w:sz w:val="36"/>
          <w:szCs w:val="36"/>
        </w:rPr>
        <w:t xml:space="preserve">India  ·  2015–2020</w:t>
      </w:r>
    </w:p>
    <w:p>
      <w:pPr>
        <w:spacing w:after="60" w:before="0"/>
        <w:jc w:val="left"/>
      </w:pPr>
      <w:r>
        <w:rPr>
          <w:rFonts w:ascii="Calibri" w:cs="Calibri" w:eastAsia="Calibri" w:hAnsi="Calibri"/>
          <w:b w:val="false"/>
          <w:bCs w:val="false"/>
          <w:i w:val="false"/>
          <w:iCs w:val="false"/>
          <w:color w:val="111827"/>
          <w:sz w:val="22"/>
          <w:szCs w:val="22"/>
        </w:rPr>
        <w:t xml:space="preserve"/>
      </w:r>
    </w:p>
    <w:p>
      <w:pPr>
        <w:pBdr>
          <w:bottom w:val="single" w:color="E5E7EB" w:sz="4" w:space="1"/>
        </w:pBdr>
        <w:spacing w:after="80" w:before="80"/>
      </w:pPr>
    </w:p>
    <w:p>
      <w:pPr>
        <w:spacing w:after="60" w:before="0"/>
        <w:jc w:val="left"/>
      </w:pPr>
      <w:r>
        <w:rPr>
          <w:rFonts w:ascii="Calibri" w:cs="Calibri" w:eastAsia="Calibri" w:hAnsi="Calibri"/>
          <w:b w:val="false"/>
          <w:bCs w:val="false"/>
          <w:i w:val="false"/>
          <w:iCs w:val="false"/>
          <w:color w:val="111827"/>
          <w:sz w:val="22"/>
          <w:szCs w:val="22"/>
        </w:rPr>
        <w:t xml:space="preserve"/>
      </w:r>
    </w:p>
    <w:p>
      <w:pPr>
        <w:spacing w:after="320"/>
        <w:jc w:val="center"/>
      </w:pPr>
      <w:r>
        <w:rPr>
          <w:rFonts w:ascii="Calibri" w:cs="Calibri" w:eastAsia="Calibri" w:hAnsi="Calibri"/>
          <w:i/>
          <w:iCs/>
          <w:color w:val="6B7280"/>
          <w:sz w:val="22"/>
          <w:szCs w:val="22"/>
        </w:rPr>
        <w:t xml:space="preserve">Temporal Trends  ·  Pollutant Relationships  ·  Urban Air Quality Exposure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6"/>
        <w:gridCol w:w="2256"/>
      </w:tblGrid>
      <w:tr>
        <w:tc>
          <w:tcPr>
            <w:tcW w:type="dxa" w:w="2257"/>
            <w:tcBorders>
              <w:top w:val="single" w:color="1B3A6B" w:sz="1"/>
              <w:left w:val="single" w:color="1B3A6B" w:sz="1"/>
              <w:bottom w:val="single" w:color="1B3A6B" w:sz="1"/>
              <w:right w:val="single" w:color="1B3A6B" w:sz="1"/>
            </w:tcBorders>
            <w:shd w:fill="1B3A6B" w:val="clear"/>
            <w:tcMar>
              <w:top w:type="dxa" w:w="160"/>
              <w:left w:type="dxa" w:w="160"/>
              <w:bottom w:type="dxa" w:w="160"/>
              <w:right w:type="dxa" w:w="160"/>
            </w:tcMar>
            <w:vAlign w:val="center"/>
          </w:tcPr>
          <w:p>
            <w:pPr>
              <w:spacing w:after="40"/>
              <w:jc w:val="center"/>
            </w:pPr>
            <w:r>
              <w:rPr>
                <w:rFonts w:ascii="Calibri" w:cs="Calibri" w:eastAsia="Calibri" w:hAnsi="Calibri"/>
                <w:b/>
                <w:bCs/>
                <w:color w:val="FFFFFF"/>
                <w:sz w:val="36"/>
                <w:szCs w:val="36"/>
              </w:rPr>
              <w:t xml:space="preserve">29,531</w:t>
            </w:r>
          </w:p>
          <w:p>
            <w:pPr>
              <w:spacing w:after="0"/>
              <w:jc w:val="center"/>
            </w:pPr>
            <w:r>
              <w:rPr>
                <w:rFonts w:ascii="Calibri" w:cs="Calibri" w:eastAsia="Calibri" w:hAnsi="Calibri"/>
                <w:color w:val="FFFFFF"/>
                <w:sz w:val="18"/>
                <w:szCs w:val="18"/>
              </w:rPr>
              <w:t xml:space="preserve">Daily Observations</w:t>
            </w:r>
          </w:p>
        </w:tc>
        <w:tc>
          <w:tcPr>
            <w:tcW w:type="dxa" w:w="2257"/>
            <w:tcBorders>
              <w:top w:val="single" w:color="2563EB" w:sz="1"/>
              <w:left w:val="single" w:color="2563EB" w:sz="1"/>
              <w:bottom w:val="single" w:color="2563EB" w:sz="1"/>
              <w:right w:val="single" w:color="2563EB" w:sz="1"/>
            </w:tcBorders>
            <w:shd w:fill="2563EB" w:val="clear"/>
            <w:tcMar>
              <w:top w:type="dxa" w:w="160"/>
              <w:left w:type="dxa" w:w="160"/>
              <w:bottom w:type="dxa" w:w="160"/>
              <w:right w:type="dxa" w:w="160"/>
            </w:tcMar>
            <w:vAlign w:val="center"/>
          </w:tcPr>
          <w:p>
            <w:pPr>
              <w:spacing w:after="40"/>
              <w:jc w:val="center"/>
            </w:pPr>
            <w:r>
              <w:rPr>
                <w:rFonts w:ascii="Calibri" w:cs="Calibri" w:eastAsia="Calibri" w:hAnsi="Calibri"/>
                <w:b/>
                <w:bCs/>
                <w:color w:val="FFFFFF"/>
                <w:sz w:val="36"/>
                <w:szCs w:val="36"/>
              </w:rPr>
              <w:t xml:space="preserve">26</w:t>
            </w:r>
          </w:p>
          <w:p>
            <w:pPr>
              <w:spacing w:after="0"/>
              <w:jc w:val="center"/>
            </w:pPr>
            <w:r>
              <w:rPr>
                <w:rFonts w:ascii="Calibri" w:cs="Calibri" w:eastAsia="Calibri" w:hAnsi="Calibri"/>
                <w:color w:val="FFFFFF"/>
                <w:sz w:val="18"/>
                <w:szCs w:val="18"/>
              </w:rPr>
              <w:t xml:space="preserve">Indian Cities</w:t>
            </w:r>
          </w:p>
        </w:tc>
        <w:tc>
          <w:tcPr>
            <w:tcW w:type="dxa" w:w="2256"/>
            <w:tcBorders>
              <w:top w:val="single" w:color="EFF6FF" w:sz="1"/>
              <w:left w:val="single" w:color="EFF6FF" w:sz="1"/>
              <w:bottom w:val="single" w:color="EFF6FF" w:sz="1"/>
              <w:right w:val="single" w:color="EFF6FF" w:sz="1"/>
            </w:tcBorders>
            <w:shd w:fill="EFF6FF" w:val="clear"/>
            <w:tcMar>
              <w:top w:type="dxa" w:w="160"/>
              <w:left w:type="dxa" w:w="160"/>
              <w:bottom w:type="dxa" w:w="160"/>
              <w:right w:type="dxa" w:w="160"/>
            </w:tcMar>
            <w:vAlign w:val="center"/>
          </w:tcPr>
          <w:p>
            <w:pPr>
              <w:spacing w:after="40"/>
              <w:jc w:val="center"/>
            </w:pPr>
            <w:r>
              <w:rPr>
                <w:rFonts w:ascii="Calibri" w:cs="Calibri" w:eastAsia="Calibri" w:hAnsi="Calibri"/>
                <w:b/>
                <w:bCs/>
                <w:color w:val="1B3A6B"/>
                <w:sz w:val="36"/>
                <w:szCs w:val="36"/>
              </w:rPr>
              <w:t xml:space="preserve">24,850</w:t>
            </w:r>
          </w:p>
          <w:p>
            <w:pPr>
              <w:spacing w:after="0"/>
              <w:jc w:val="center"/>
            </w:pPr>
            <w:r>
              <w:rPr>
                <w:rFonts w:ascii="Calibri" w:cs="Calibri" w:eastAsia="Calibri" w:hAnsi="Calibri"/>
                <w:color w:val="1B3A6B"/>
                <w:sz w:val="18"/>
                <w:szCs w:val="18"/>
              </w:rPr>
              <w:t xml:space="preserve">Records After Cleaning</w:t>
            </w:r>
          </w:p>
        </w:tc>
        <w:tc>
          <w:tcPr>
            <w:tcW w:type="dxa" w:w="2256"/>
            <w:tcBorders>
              <w:top w:val="single" w:color="FEE2E2" w:sz="1"/>
              <w:left w:val="single" w:color="FEE2E2" w:sz="1"/>
              <w:bottom w:val="single" w:color="FEE2E2" w:sz="1"/>
              <w:right w:val="single" w:color="FEE2E2" w:sz="1"/>
            </w:tcBorders>
            <w:shd w:fill="FEE2E2" w:val="clear"/>
            <w:tcMar>
              <w:top w:type="dxa" w:w="160"/>
              <w:left w:type="dxa" w:w="160"/>
              <w:bottom w:type="dxa" w:w="160"/>
              <w:right w:type="dxa" w:w="160"/>
            </w:tcMar>
            <w:vAlign w:val="center"/>
          </w:tcPr>
          <w:p>
            <w:pPr>
              <w:spacing w:after="40"/>
              <w:jc w:val="center"/>
            </w:pPr>
            <w:r>
              <w:rPr>
                <w:rFonts w:ascii="Calibri" w:cs="Calibri" w:eastAsia="Calibri" w:hAnsi="Calibri"/>
                <w:b/>
                <w:bCs/>
                <w:color w:val="991B1B"/>
                <w:sz w:val="36"/>
                <w:szCs w:val="36"/>
              </w:rPr>
              <w:t xml:space="preserve">26.0%</w:t>
            </w:r>
          </w:p>
          <w:p>
            <w:pPr>
              <w:spacing w:after="0"/>
              <w:jc w:val="center"/>
            </w:pPr>
            <w:r>
              <w:rPr>
                <w:rFonts w:ascii="Calibri" w:cs="Calibri" w:eastAsia="Calibri" w:hAnsi="Calibri"/>
                <w:color w:val="991B1B"/>
                <w:sz w:val="18"/>
                <w:szCs w:val="18"/>
              </w:rPr>
              <w:t xml:space="preserve">Unhealthy City-Days</w:t>
            </w:r>
          </w:p>
        </w:tc>
      </w:tr>
    </w:tbl>
    <w:p>
      <w:pPr>
        <w:spacing w:after="480" w:before="0"/>
        <w:jc w:val="left"/>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1"/>
              <w:left w:val="single" w:color="1B3A6B" w:sz="1"/>
              <w:bottom w:val="single" w:color="1B3A6B" w:sz="1"/>
              <w:right w:val="single" w:color="1B3A6B" w:sz="1"/>
            </w:tcBorders>
            <w:shd w:fill="1B3A6B" w:val="clear"/>
            <w:tcMar>
              <w:top w:type="dxa" w:w="120"/>
              <w:left w:type="dxa" w:w="200"/>
              <w:bottom w:type="dxa" w:w="80"/>
              <w:right w:type="dxa" w:w="200"/>
            </w:tcMar>
          </w:tcPr>
          <w:p>
            <w:pPr>
              <w:jc w:val="center"/>
            </w:pPr>
            <w:r>
              <w:rPr>
                <w:rFonts w:ascii="Calibri" w:cs="Calibri" w:eastAsia="Calibri" w:hAnsi="Calibri"/>
                <w:b/>
                <w:bCs/>
                <w:color w:val="FFFFFF"/>
                <w:sz w:val="20"/>
                <w:szCs w:val="20"/>
              </w:rPr>
              <w:t xml:space="preserve">PROJECT TEAM</w:t>
            </w:r>
          </w:p>
        </w:tc>
      </w:tr>
      <w:tr>
        <w:tc>
          <w:tcPr>
            <w:tcW w:type="dxa" w:w="9026"/>
            <w:tcBorders>
              <w:top w:val="single" w:color="D1D5DB" w:sz="1"/>
              <w:left w:val="single" w:color="D1D5DB" w:sz="1"/>
              <w:bottom w:val="single" w:color="D1D5DB" w:sz="1"/>
              <w:right w:val="single" w:color="D1D5DB" w:sz="1"/>
            </w:tcBorders>
            <w:shd w:fill="FFFFFF" w:val="clear"/>
            <w:tcMar>
              <w:top w:type="dxa" w:w="100"/>
              <w:left w:type="dxa" w:w="200"/>
              <w:bottom w:type="dxa" w:w="100"/>
              <w:right w:type="dxa" w:w="200"/>
            </w:tcMar>
          </w:tcPr>
          <w:p>
            <w:pPr>
              <w:spacing w:after="40"/>
            </w:pPr>
            <w:r>
              <w:rPr>
                <w:rFonts w:ascii="Calibri" w:cs="Calibri" w:eastAsia="Calibri" w:hAnsi="Calibri"/>
                <w:b/>
                <w:bCs/>
                <w:color w:val="1B3A6B"/>
                <w:sz w:val="22"/>
                <w:szCs w:val="22"/>
              </w:rPr>
              <w:t xml:space="preserve">Yash David Bedekar</w:t>
            </w:r>
            <w:r>
              <w:rPr>
                <w:rFonts w:ascii="Calibri" w:cs="Calibri" w:eastAsia="Calibri" w:hAnsi="Calibri"/>
                <w:color w:val="2563EB"/>
                <w:sz w:val="21"/>
                <w:szCs w:val="21"/>
              </w:rPr>
              <w:t xml:space="preserve">  —  Project Lead &amp; Data Engineer</w:t>
            </w:r>
          </w:p>
          <w:p>
            <w:pPr>
              <w:spacing w:after="0"/>
            </w:pPr>
            <w:r>
              <w:rPr>
                <w:rFonts w:ascii="Calibri" w:cs="Calibri" w:eastAsia="Calibri" w:hAnsi="Calibri"/>
                <w:i/>
                <w:iCs/>
                <w:color w:val="6B7280"/>
                <w:sz w:val="19"/>
                <w:szCs w:val="19"/>
              </w:rPr>
              <w:t xml:space="preserve">Overall coordination; Kaggle setup; data ingestion; cleaning pipeline (missing values, column selection, outlier capping); feature engineering; reproducibility</w:t>
            </w:r>
          </w:p>
        </w:tc>
      </w:tr>
      <w:tr>
        <w:tc>
          <w:tcPr>
            <w:tcW w:type="dxa" w:w="9026"/>
            <w:tcBorders>
              <w:top w:val="single" w:color="D1D5DB" w:sz="1"/>
              <w:left w:val="single" w:color="D1D5DB" w:sz="1"/>
              <w:bottom w:val="single" w:color="D1D5DB" w:sz="1"/>
              <w:right w:val="single" w:color="D1D5DB" w:sz="1"/>
            </w:tcBorders>
            <w:shd w:fill="F3F4F6" w:val="clear"/>
            <w:tcMar>
              <w:top w:type="dxa" w:w="100"/>
              <w:left w:type="dxa" w:w="200"/>
              <w:bottom w:type="dxa" w:w="100"/>
              <w:right w:type="dxa" w:w="200"/>
            </w:tcMar>
          </w:tcPr>
          <w:p>
            <w:pPr>
              <w:spacing w:after="40"/>
            </w:pPr>
            <w:r>
              <w:rPr>
                <w:rFonts w:ascii="Calibri" w:cs="Calibri" w:eastAsia="Calibri" w:hAnsi="Calibri"/>
                <w:b/>
                <w:bCs/>
                <w:color w:val="1B3A6B"/>
                <w:sz w:val="22"/>
                <w:szCs w:val="22"/>
              </w:rPr>
              <w:t xml:space="preserve">Surya Koushik Palla</w:t>
            </w:r>
            <w:r>
              <w:rPr>
                <w:rFonts w:ascii="Calibri" w:cs="Calibri" w:eastAsia="Calibri" w:hAnsi="Calibri"/>
                <w:color w:val="2563EB"/>
                <w:sz w:val="21"/>
                <w:szCs w:val="21"/>
              </w:rPr>
              <w:t xml:space="preserve">  —  Data Analyst &amp; Visualisation Lead</w:t>
            </w:r>
          </w:p>
          <w:p>
            <w:pPr>
              <w:spacing w:after="0"/>
            </w:pPr>
            <w:r>
              <w:rPr>
                <w:rFonts w:ascii="Calibri" w:cs="Calibri" w:eastAsia="Calibri" w:hAnsi="Calibri"/>
                <w:i/>
                <w:iCs/>
                <w:color w:val="6B7280"/>
                <w:sz w:val="19"/>
                <w:szCs w:val="19"/>
              </w:rPr>
              <w:t xml:space="preserve">All 14 charts (Figs. 01–14); RQ1 temporal analysis; chart theme and colour palette; interpretation statements; ZIP export</w:t>
            </w:r>
          </w:p>
        </w:tc>
      </w:tr>
      <w:tr>
        <w:tc>
          <w:tcPr>
            <w:tcW w:type="dxa" w:w="9026"/>
            <w:tcBorders>
              <w:top w:val="single" w:color="D1D5DB" w:sz="1"/>
              <w:left w:val="single" w:color="D1D5DB" w:sz="1"/>
              <w:bottom w:val="single" w:color="D1D5DB" w:sz="1"/>
              <w:right w:val="single" w:color="D1D5DB" w:sz="1"/>
            </w:tcBorders>
            <w:shd w:fill="FFFFFF" w:val="clear"/>
            <w:tcMar>
              <w:top w:type="dxa" w:w="100"/>
              <w:left w:type="dxa" w:w="200"/>
              <w:bottom w:type="dxa" w:w="100"/>
              <w:right w:type="dxa" w:w="200"/>
            </w:tcMar>
          </w:tcPr>
          <w:p>
            <w:pPr>
              <w:spacing w:after="40"/>
            </w:pPr>
            <w:r>
              <w:rPr>
                <w:rFonts w:ascii="Calibri" w:cs="Calibri" w:eastAsia="Calibri" w:hAnsi="Calibri"/>
                <w:b/>
                <w:bCs/>
                <w:color w:val="1B3A6B"/>
                <w:sz w:val="22"/>
                <w:szCs w:val="22"/>
              </w:rPr>
              <w:t xml:space="preserve">Aryaman Negi</w:t>
            </w:r>
            <w:r>
              <w:rPr>
                <w:rFonts w:ascii="Calibri" w:cs="Calibri" w:eastAsia="Calibri" w:hAnsi="Calibri"/>
                <w:color w:val="2563EB"/>
                <w:sz w:val="21"/>
                <w:szCs w:val="21"/>
              </w:rPr>
              <w:t xml:space="preserve">  —  Statistical Analyst</w:t>
            </w:r>
          </w:p>
          <w:p>
            <w:pPr>
              <w:spacing w:after="0"/>
            </w:pPr>
            <w:r>
              <w:rPr>
                <w:rFonts w:ascii="Calibri" w:cs="Calibri" w:eastAsia="Calibri" w:hAnsi="Calibri"/>
                <w:i/>
                <w:iCs/>
                <w:color w:val="6B7280"/>
                <w:sz w:val="19"/>
                <w:szCs w:val="19"/>
              </w:rPr>
              <w:t xml:space="preserve">RQ2 pollutant correlations; PM boxplots &amp; scatter; outlier detection &amp; AQI_capped methodology; descriptive statistics; data quality documentation</w:t>
            </w:r>
          </w:p>
        </w:tc>
      </w:tr>
      <w:tr>
        <w:tc>
          <w:tcPr>
            <w:tcW w:type="dxa" w:w="9026"/>
            <w:tcBorders>
              <w:top w:val="single" w:color="D1D5DB" w:sz="1"/>
              <w:left w:val="single" w:color="D1D5DB" w:sz="1"/>
              <w:bottom w:val="single" w:color="D1D5DB" w:sz="1"/>
              <w:right w:val="single" w:color="D1D5DB" w:sz="1"/>
            </w:tcBorders>
            <w:shd w:fill="F3F4F6" w:val="clear"/>
            <w:tcMar>
              <w:top w:type="dxa" w:w="100"/>
              <w:left w:type="dxa" w:w="200"/>
              <w:bottom w:type="dxa" w:w="100"/>
              <w:right w:type="dxa" w:w="200"/>
            </w:tcMar>
          </w:tcPr>
          <w:p>
            <w:pPr>
              <w:spacing w:after="40"/>
            </w:pPr>
            <w:r>
              <w:rPr>
                <w:rFonts w:ascii="Calibri" w:cs="Calibri" w:eastAsia="Calibri" w:hAnsi="Calibri"/>
                <w:b/>
                <w:bCs/>
                <w:color w:val="1B3A6B"/>
                <w:sz w:val="22"/>
                <w:szCs w:val="22"/>
              </w:rPr>
              <w:t xml:space="preserve">Arda Onhun</w:t>
            </w:r>
            <w:r>
              <w:rPr>
                <w:rFonts w:ascii="Calibri" w:cs="Calibri" w:eastAsia="Calibri" w:hAnsi="Calibri"/>
                <w:color w:val="2563EB"/>
                <w:sz w:val="21"/>
                <w:szCs w:val="21"/>
              </w:rPr>
              <w:t xml:space="preserve">  —  Insights &amp; Reporting Lead</w:t>
            </w:r>
          </w:p>
          <w:p>
            <w:pPr>
              <w:spacing w:after="0"/>
            </w:pPr>
            <w:r>
              <w:rPr>
                <w:rFonts w:ascii="Calibri" w:cs="Calibri" w:eastAsia="Calibri" w:hAnsi="Calibri"/>
                <w:i/>
                <w:iCs/>
                <w:color w:val="6B7280"/>
                <w:sz w:val="19"/>
                <w:szCs w:val="19"/>
              </w:rPr>
              <w:t xml:space="preserve">RQ3 city exposure analysis; COVID-19 lockdown comparison; key findings narrative; project report (DOCX &amp; MD); README</w:t>
            </w:r>
          </w:p>
        </w:tc>
      </w:tr>
    </w:tbl>
    <w:p>
      <w:pPr>
        <w:spacing w:after="400" w:before="0"/>
        <w:jc w:val="left"/>
      </w:pPr>
      <w:r>
        <w:rPr>
          <w:rFonts w:ascii="Calibri" w:cs="Calibri" w:eastAsia="Calibri" w:hAnsi="Calibri"/>
          <w:b w:val="false"/>
          <w:bCs w:val="false"/>
          <w:i w:val="false"/>
          <w:iCs w:val="false"/>
          <w:color w:val="111827"/>
          <w:sz w:val="22"/>
          <w:szCs w:val="22"/>
        </w:rPr>
        <w:t xml:space="preserve"/>
      </w:r>
    </w:p>
    <w:p>
      <w:pPr>
        <w:spacing w:after="0"/>
        <w:jc w:val="center"/>
      </w:pPr>
      <w:r>
        <w:rPr>
          <w:rFonts w:ascii="Calibri" w:cs="Calibri" w:eastAsia="Calibri" w:hAnsi="Calibri"/>
          <w:color w:val="6B7280"/>
          <w:sz w:val="18"/>
          <w:szCs w:val="18"/>
        </w:rPr>
        <w:t xml:space="preserve">Dataset: Air Quality Data in India (2015–2020)  ·  Source: CPCB via Kaggle (rohanrao)  ·  CC0 Public Domain</w:t>
      </w:r>
    </w:p>
    <w:p>
      <w:pPr>
        <w:spacing w:after="0"/>
        <w:jc w:val="center"/>
      </w:pPr>
      <w:r>
        <w:rPr>
          <w:rFonts w:ascii="Calibri" w:cs="Calibri" w:eastAsia="Calibri" w:hAnsi="Calibri"/>
          <w:i/>
          <w:iCs/>
          <w:color w:val="2563EB"/>
          <w:sz w:val="18"/>
          <w:szCs w:val="18"/>
        </w:rPr>
        <w:t xml:space="preserve">Live Notebook: kaggle.com/code/yashbedekar07/air-quality-index-aqi-analysis</w:t>
      </w:r>
    </w:p>
    <w:p>
      <w:pPr>
        <w:spacing w:after="0"/>
      </w:pPr>
      <w:r>
        <w:br w:type="page"/>
      </w:r>
    </w:p>
    <w:p>
      <w:pPr>
        <w:pStyle w:val="Heading1"/>
        <w:pBdr>
          <w:bottom w:val="single" w:color="1B3A6B" w:sz="6" w:space="6"/>
        </w:pBdr>
        <w:spacing w:after="160" w:before="360"/>
      </w:pPr>
      <w:r>
        <w:rPr>
          <w:rFonts w:ascii="Calibri" w:cs="Calibri" w:eastAsia="Calibri" w:hAnsi="Calibri"/>
          <w:b/>
          <w:bCs/>
          <w:color w:val="1B3A6B"/>
          <w:sz w:val="32"/>
          <w:szCs w:val="32"/>
        </w:rPr>
        <w:t xml:space="preserve">1. Executive Summary</w:t>
      </w:r>
    </w:p>
    <w:p>
      <w:pPr>
        <w:spacing w:after="120" w:before="0"/>
        <w:jc w:val="left"/>
      </w:pPr>
      <w:r>
        <w:rPr>
          <w:rFonts w:ascii="Calibri" w:cs="Calibri" w:eastAsia="Calibri" w:hAnsi="Calibri"/>
          <w:b w:val="false"/>
          <w:bCs w:val="false"/>
          <w:i w:val="false"/>
          <w:iCs w:val="false"/>
          <w:color w:val="111827"/>
          <w:sz w:val="22"/>
          <w:szCs w:val="22"/>
        </w:rPr>
        <w:t xml:space="preserve">This report presents a comprehensive data analytics study of Air Quality Index (AQI) measurements across 26 major Indian cities from January 2015 to July 2020. Using 29,531 daily observations (24,850 after cleaning) compiled by India's Central Pollution Control Board (CPCB), the team examined temporal trends, pollutant relationships, and the frequency and geography of unhealthy air conditions.</w:t>
      </w:r>
    </w:p>
    <w:p>
      <w:pPr>
        <w:spacing w:after="80" w:before="0"/>
        <w:jc w:val="left"/>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16A34A" w:sz="1"/>
              <w:left w:val="single" w:color="16A34A" w:sz="1"/>
              <w:bottom w:val="single" w:color="16A34A" w:sz="1"/>
              <w:right w:val="single" w:color="16A34A" w:sz="1"/>
            </w:tcBorders>
            <w:shd w:fill="DCFCE7" w:val="clear"/>
            <w:tcMar>
              <w:top w:type="dxa" w:w="120"/>
              <w:left w:type="dxa" w:w="140"/>
              <w:bottom w:type="dxa" w:w="120"/>
              <w:right w:type="dxa" w:w="140"/>
            </w:tcMar>
          </w:tcPr>
          <w:p>
            <w:pPr>
              <w:spacing w:after="40"/>
            </w:pPr>
            <w:r>
              <w:rPr>
                <w:rFonts w:ascii="Calibri" w:cs="Calibri" w:eastAsia="Calibri" w:hAnsi="Calibri"/>
                <w:b/>
                <w:bCs/>
                <w:color w:val="166534"/>
                <w:sz w:val="20"/>
                <w:szCs w:val="20"/>
              </w:rPr>
              <w:t xml:space="preserve">RQ1 — Temporal</w:t>
            </w:r>
          </w:p>
          <w:p>
            <w:r>
              <w:rPr>
                <w:rFonts w:ascii="Calibri" w:cs="Calibri" w:eastAsia="Calibri" w:hAnsi="Calibri"/>
                <w:color w:val="111827"/>
                <w:sz w:val="19"/>
                <w:szCs w:val="19"/>
              </w:rPr>
              <w:t xml:space="preserve">Strong seasonal cycle: AQI peaks in Winter (~221), troughs in Monsoon (~116). COVID-19 lockdown caused a measurable city-wide AQI drop.</w:t>
            </w:r>
          </w:p>
        </w:tc>
        <w:tc>
          <w:tcPr>
            <w:tcW w:type="dxa" w:w="3009"/>
            <w:tcBorders>
              <w:top w:val="single" w:color="2563EB" w:sz="1"/>
              <w:left w:val="single" w:color="2563EB" w:sz="1"/>
              <w:bottom w:val="single" w:color="2563EB" w:sz="1"/>
              <w:right w:val="single" w:color="2563EB" w:sz="1"/>
            </w:tcBorders>
            <w:shd w:fill="DBEAFE" w:val="clear"/>
            <w:tcMar>
              <w:top w:type="dxa" w:w="120"/>
              <w:left w:type="dxa" w:w="140"/>
              <w:bottom w:type="dxa" w:w="120"/>
              <w:right w:type="dxa" w:w="140"/>
            </w:tcMar>
          </w:tcPr>
          <w:p>
            <w:pPr>
              <w:spacing w:after="40"/>
            </w:pPr>
            <w:r>
              <w:rPr>
                <w:rFonts w:ascii="Calibri" w:cs="Calibri" w:eastAsia="Calibri" w:hAnsi="Calibri"/>
                <w:b/>
                <w:bCs/>
                <w:color w:val="1B3A6B"/>
                <w:sz w:val="20"/>
                <w:szCs w:val="20"/>
              </w:rPr>
              <w:t xml:space="preserve">RQ2 — Pollutants</w:t>
            </w:r>
          </w:p>
          <w:p>
            <w:r>
              <w:rPr>
                <w:rFonts w:ascii="Calibri" w:cs="Calibri" w:eastAsia="Calibri" w:hAnsi="Calibri"/>
                <w:color w:val="111827"/>
                <w:sz w:val="19"/>
                <w:szCs w:val="19"/>
              </w:rPr>
              <w:t xml:space="preserve">PM10 is the dominant AQI driver (r = 0.80), followed by CO (r ≈ 0.69) and PM2.5 (r ≈ 0.67). Ozone is weakly correlated (r ≈ 0.20).</w:t>
            </w:r>
          </w:p>
        </w:tc>
        <w:tc>
          <w:tcPr>
            <w:tcW w:type="dxa" w:w="3009"/>
            <w:tcBorders>
              <w:top w:val="single" w:color="DC2626" w:sz="1"/>
              <w:left w:val="single" w:color="DC2626" w:sz="1"/>
              <w:bottom w:val="single" w:color="DC2626" w:sz="1"/>
              <w:right w:val="single" w:color="DC2626" w:sz="1"/>
            </w:tcBorders>
            <w:shd w:fill="FEE2E2" w:val="clear"/>
            <w:tcMar>
              <w:top w:type="dxa" w:w="120"/>
              <w:left w:type="dxa" w:w="140"/>
              <w:bottom w:type="dxa" w:w="120"/>
              <w:right w:type="dxa" w:w="140"/>
            </w:tcMar>
          </w:tcPr>
          <w:p>
            <w:pPr>
              <w:spacing w:after="40"/>
            </w:pPr>
            <w:r>
              <w:rPr>
                <w:rFonts w:ascii="Calibri" w:cs="Calibri" w:eastAsia="Calibri" w:hAnsi="Calibri"/>
                <w:b/>
                <w:bCs/>
                <w:color w:val="991B1B"/>
                <w:sz w:val="20"/>
                <w:szCs w:val="20"/>
              </w:rPr>
              <w:t xml:space="preserve">RQ3 — Exposure</w:t>
            </w:r>
          </w:p>
          <w:p>
            <w:r>
              <w:rPr>
                <w:rFonts w:ascii="Calibri" w:cs="Calibri" w:eastAsia="Calibri" w:hAnsi="Calibri"/>
                <w:color w:val="111827"/>
                <w:sz w:val="19"/>
                <w:szCs w:val="19"/>
              </w:rPr>
              <w:t xml:space="preserve">26.0% of city-days are unhealthy (AQI &gt; 200). Moderate (35.5%) is the single most common category. Delhi (65.1%) is the worst-hit major city with verified data.</w:t>
            </w:r>
          </w:p>
        </w:tc>
      </w:tr>
    </w:tbl>
    <w:p>
      <w:pPr>
        <w:spacing w:after="120" w:before="0"/>
        <w:jc w:val="left"/>
      </w:pPr>
      <w:r>
        <w:rPr>
          <w:rFonts w:ascii="Calibri" w:cs="Calibri" w:eastAsia="Calibri" w:hAnsi="Calibri"/>
          <w:b w:val="false"/>
          <w:bCs w:val="false"/>
          <w:i w:val="false"/>
          <w:iCs w:val="false"/>
          <w:color w:val="111827"/>
          <w:sz w:val="22"/>
          <w:szCs w:val="22"/>
        </w:rPr>
        <w:t xml:space="preserve"/>
      </w:r>
    </w:p>
    <w:p>
      <w:pPr>
        <w:spacing w:after="120" w:before="0"/>
        <w:jc w:val="left"/>
      </w:pPr>
      <w:r>
        <w:rPr>
          <w:rFonts w:ascii="Calibri" w:cs="Calibri" w:eastAsia="Calibri" w:hAnsi="Calibri"/>
          <w:b w:val="false"/>
          <w:bCs w:val="false"/>
          <w:i w:val="false"/>
          <w:iCs w:val="false"/>
          <w:color w:val="111827"/>
          <w:sz w:val="22"/>
          <w:szCs w:val="22"/>
        </w:rPr>
        <w:t xml:space="preserve">The analysis confirms that air pollution in India is a systemic, year-round public health challenge concentrated in northern cities, with particulate matter as the primary driver. The COVID-19 natural experiment provides direct quantitative evidence of the human contribution to urban air quality.</w:t>
      </w:r>
    </w:p>
    <w:p>
      <w:pPr>
        <w:spacing w:after="0"/>
      </w:pPr>
      <w:r>
        <w:br w:type="page"/>
      </w:r>
    </w:p>
    <w:p>
      <w:pPr>
        <w:pStyle w:val="Heading1"/>
        <w:pBdr>
          <w:bottom w:val="single" w:color="1B3A6B" w:sz="6" w:space="6"/>
        </w:pBdr>
        <w:spacing w:after="160" w:before="360"/>
      </w:pPr>
      <w:r>
        <w:rPr>
          <w:rFonts w:ascii="Calibri" w:cs="Calibri" w:eastAsia="Calibri" w:hAnsi="Calibri"/>
          <w:b/>
          <w:bCs/>
          <w:color w:val="1B3A6B"/>
          <w:sz w:val="32"/>
          <w:szCs w:val="32"/>
        </w:rPr>
        <w:t xml:space="preserve">2. Introduction</w:t>
      </w:r>
    </w:p>
    <w:p>
      <w:pPr>
        <w:pStyle w:val="Heading2"/>
        <w:spacing w:after="120" w:before="280"/>
      </w:pPr>
      <w:r>
        <w:rPr>
          <w:rFonts w:ascii="Calibri" w:cs="Calibri" w:eastAsia="Calibri" w:hAnsi="Calibri"/>
          <w:b/>
          <w:bCs/>
          <w:color w:val="2563EB"/>
          <w:sz w:val="26"/>
          <w:szCs w:val="26"/>
        </w:rPr>
        <w:t xml:space="preserve">2.1 Background &amp; Motivation</w:t>
      </w:r>
    </w:p>
    <w:p>
      <w:pPr>
        <w:spacing w:after="120" w:before="0"/>
        <w:jc w:val="left"/>
      </w:pPr>
      <w:r>
        <w:rPr>
          <w:rFonts w:ascii="Calibri" w:cs="Calibri" w:eastAsia="Calibri" w:hAnsi="Calibri"/>
          <w:b w:val="false"/>
          <w:bCs w:val="false"/>
          <w:i w:val="false"/>
          <w:iCs w:val="false"/>
          <w:color w:val="111827"/>
          <w:sz w:val="22"/>
          <w:szCs w:val="22"/>
        </w:rPr>
        <w:t xml:space="preserve">Air pollution is one of the most pressing environmental and public health challenges facing India. According to the World Health Organization, several Indian cities consistently rank among the world's most polluted. The Air Quality Index (AQI) is the primary metric used by India's Central Pollution Control Board (CPCB) to communicate daily air quality to the public and policymakers.</w:t>
      </w:r>
    </w:p>
    <w:p>
      <w:pPr>
        <w:spacing w:after="120" w:before="0"/>
        <w:jc w:val="left"/>
      </w:pPr>
      <w:r>
        <w:rPr>
          <w:rFonts w:ascii="Calibri" w:cs="Calibri" w:eastAsia="Calibri" w:hAnsi="Calibri"/>
          <w:b w:val="false"/>
          <w:bCs w:val="false"/>
          <w:i w:val="false"/>
          <w:iCs w:val="false"/>
          <w:color w:val="111827"/>
          <w:sz w:val="22"/>
          <w:szCs w:val="22"/>
        </w:rPr>
        <w:t xml:space="preserve">Understanding how AQI varies across cities, seasons, and years — and which pollutants drive it — is essential for designing effective interventions. This project applies a rigorous data analytics workflow to a five-year dataset of daily AQI observations to extract actionable insights from the data.</w:t>
      </w:r>
    </w:p>
    <w:p>
      <w:pPr>
        <w:pStyle w:val="Heading2"/>
        <w:spacing w:after="120" w:before="280"/>
      </w:pPr>
      <w:r>
        <w:rPr>
          <w:rFonts w:ascii="Calibri" w:cs="Calibri" w:eastAsia="Calibri" w:hAnsi="Calibri"/>
          <w:b/>
          <w:bCs/>
          <w:color w:val="2563EB"/>
          <w:sz w:val="26"/>
          <w:szCs w:val="26"/>
        </w:rPr>
        <w:t xml:space="preserve">2.2 Research Questions</w:t>
      </w:r>
    </w:p>
    <w:p>
      <w:pPr>
        <w:pStyle w:val="ListParagraph"/>
        <w:numPr>
          <w:ilvl w:val="0"/>
          <w:numId w:val="2"/>
        </w:numPr>
        <w:spacing w:after="80"/>
      </w:pPr>
      <w:r>
        <w:rPr>
          <w:rFonts w:ascii="Calibri" w:cs="Calibri" w:eastAsia="Calibri" w:hAnsi="Calibri"/>
          <w:b/>
          <w:bCs/>
          <w:color w:val="1B3A6B"/>
          <w:sz w:val="22"/>
          <w:szCs w:val="22"/>
        </w:rPr>
        <w:t xml:space="preserve">RQ1 — Temporal Trends: </w:t>
      </w:r>
      <w:r>
        <w:rPr>
          <w:rFonts w:ascii="Calibri" w:cs="Calibri" w:eastAsia="Calibri" w:hAnsi="Calibri"/>
          <w:color w:val="111827"/>
          <w:sz w:val="22"/>
          <w:szCs w:val="22"/>
        </w:rPr>
        <w:t xml:space="preserve">How does AQI change over time? Are there clear daily, monthly, seasonal, or year-on-year patterns?</w:t>
      </w:r>
    </w:p>
    <w:p>
      <w:pPr>
        <w:pStyle w:val="ListParagraph"/>
        <w:numPr>
          <w:ilvl w:val="0"/>
          <w:numId w:val="2"/>
        </w:numPr>
        <w:spacing w:after="80"/>
      </w:pPr>
      <w:r>
        <w:rPr>
          <w:rFonts w:ascii="Calibri" w:cs="Calibri" w:eastAsia="Calibri" w:hAnsi="Calibri"/>
          <w:b/>
          <w:bCs/>
          <w:color w:val="1B3A6B"/>
          <w:sz w:val="22"/>
          <w:szCs w:val="22"/>
        </w:rPr>
        <w:t xml:space="preserve">RQ2 — Pollutant Relationships: </w:t>
      </w:r>
      <w:r>
        <w:rPr>
          <w:rFonts w:ascii="Calibri" w:cs="Calibri" w:eastAsia="Calibri" w:hAnsi="Calibri"/>
          <w:color w:val="111827"/>
          <w:sz w:val="22"/>
          <w:szCs w:val="22"/>
        </w:rPr>
        <w:t xml:space="preserve">Is there a measurable relationship between specific pollutants (PM2.5, PM10, NO₂, SO₂, CO, O₃) and the overall AQI category?</w:t>
      </w:r>
    </w:p>
    <w:p>
      <w:pPr>
        <w:pStyle w:val="ListParagraph"/>
        <w:numPr>
          <w:ilvl w:val="0"/>
          <w:numId w:val="2"/>
        </w:numPr>
        <w:spacing w:after="160"/>
      </w:pPr>
      <w:r>
        <w:rPr>
          <w:rFonts w:ascii="Calibri" w:cs="Calibri" w:eastAsia="Calibri" w:hAnsi="Calibri"/>
          <w:b/>
          <w:bCs/>
          <w:color w:val="1B3A6B"/>
          <w:sz w:val="22"/>
          <w:szCs w:val="22"/>
        </w:rPr>
        <w:t xml:space="preserve">RQ3 — Unhealthy Conditions: </w:t>
      </w:r>
      <w:r>
        <w:rPr>
          <w:rFonts w:ascii="Calibri" w:cs="Calibri" w:eastAsia="Calibri" w:hAnsi="Calibri"/>
          <w:color w:val="111827"/>
          <w:sz w:val="22"/>
          <w:szCs w:val="22"/>
        </w:rPr>
        <w:t xml:space="preserve">How often does air quality reach unhealthy or hazardous levels, and which cities are most affected?</w:t>
      </w:r>
    </w:p>
    <w:p>
      <w:pPr>
        <w:pStyle w:val="Heading2"/>
        <w:spacing w:after="120" w:before="280"/>
      </w:pPr>
      <w:r>
        <w:rPr>
          <w:rFonts w:ascii="Calibri" w:cs="Calibri" w:eastAsia="Calibri" w:hAnsi="Calibri"/>
          <w:b/>
          <w:bCs/>
          <w:color w:val="2563EB"/>
          <w:sz w:val="26"/>
          <w:szCs w:val="26"/>
        </w:rPr>
        <w:t xml:space="preserve">2.3 Objectives</w:t>
      </w:r>
    </w:p>
    <w:p>
      <w:pPr>
        <w:pStyle w:val="ListParagraph"/>
        <w:numPr>
          <w:ilvl w:val="0"/>
          <w:numId w:val="3"/>
        </w:numPr>
        <w:spacing w:after="80"/>
      </w:pPr>
      <w:r>
        <w:rPr>
          <w:rFonts w:ascii="Calibri" w:cs="Calibri" w:eastAsia="Calibri" w:hAnsi="Calibri"/>
          <w:color w:val="111827"/>
          <w:sz w:val="22"/>
          <w:szCs w:val="22"/>
        </w:rPr>
        <w:t xml:space="preserve">Profile air quality trends over time and identify seasonal patterns across 26 cities.</w:t>
      </w:r>
    </w:p>
    <w:p>
      <w:pPr>
        <w:pStyle w:val="ListParagraph"/>
        <w:numPr>
          <w:ilvl w:val="0"/>
          <w:numId w:val="3"/>
        </w:numPr>
        <w:spacing w:after="80"/>
      </w:pPr>
      <w:r>
        <w:rPr>
          <w:rFonts w:ascii="Calibri" w:cs="Calibri" w:eastAsia="Calibri" w:hAnsi="Calibri"/>
          <w:color w:val="111827"/>
          <w:sz w:val="22"/>
          <w:szCs w:val="22"/>
        </w:rPr>
        <w:t xml:space="preserve">Quantify the statistical relationship between six core pollutants and the AQI.</w:t>
      </w:r>
    </w:p>
    <w:p>
      <w:pPr>
        <w:pStyle w:val="ListParagraph"/>
        <w:numPr>
          <w:ilvl w:val="0"/>
          <w:numId w:val="3"/>
        </w:numPr>
        <w:spacing w:after="80"/>
      </w:pPr>
      <w:r>
        <w:rPr>
          <w:rFonts w:ascii="Calibri" w:cs="Calibri" w:eastAsia="Calibri" w:hAnsi="Calibri"/>
          <w:color w:val="111827"/>
          <w:sz w:val="22"/>
          <w:szCs w:val="22"/>
        </w:rPr>
        <w:t xml:space="preserve">Identify cities with the highest exposure to unhealthy air and the months when risk peaks.</w:t>
      </w:r>
    </w:p>
    <w:p>
      <w:pPr>
        <w:pStyle w:val="ListParagraph"/>
        <w:numPr>
          <w:ilvl w:val="0"/>
          <w:numId w:val="3"/>
        </w:numPr>
        <w:spacing w:after="80"/>
      </w:pPr>
      <w:r>
        <w:rPr>
          <w:rFonts w:ascii="Calibri" w:cs="Calibri" w:eastAsia="Calibri" w:hAnsi="Calibri"/>
          <w:color w:val="111827"/>
          <w:sz w:val="22"/>
          <w:szCs w:val="22"/>
        </w:rPr>
        <w:t xml:space="preserve">Analyse the impact of the COVID-19 national lockdown (March 2020) as a natural experiment in pollution reduction.</w:t>
      </w:r>
    </w:p>
    <w:p>
      <w:pPr>
        <w:pStyle w:val="ListParagraph"/>
        <w:numPr>
          <w:ilvl w:val="0"/>
          <w:numId w:val="3"/>
        </w:numPr>
        <w:spacing w:after="80"/>
      </w:pPr>
      <w:r>
        <w:rPr>
          <w:rFonts w:ascii="Calibri" w:cs="Calibri" w:eastAsia="Calibri" w:hAnsi="Calibri"/>
          <w:color w:val="111827"/>
          <w:sz w:val="22"/>
          <w:szCs w:val="22"/>
        </w:rPr>
        <w:t xml:space="preserve">Produce clean, reproducible analysis code and publication-quality visualisations.</w:t>
      </w:r>
    </w:p>
    <w:p>
      <w:pPr>
        <w:spacing w:after="0"/>
      </w:pPr>
      <w:r>
        <w:br w:type="page"/>
      </w:r>
    </w:p>
    <w:p>
      <w:pPr>
        <w:pStyle w:val="Heading1"/>
        <w:pBdr>
          <w:bottom w:val="single" w:color="1B3A6B" w:sz="6" w:space="6"/>
        </w:pBdr>
        <w:spacing w:after="160" w:before="360"/>
      </w:pPr>
      <w:r>
        <w:rPr>
          <w:rFonts w:ascii="Calibri" w:cs="Calibri" w:eastAsia="Calibri" w:hAnsi="Calibri"/>
          <w:b/>
          <w:bCs/>
          <w:color w:val="1B3A6B"/>
          <w:sz w:val="32"/>
          <w:szCs w:val="32"/>
        </w:rPr>
        <w:t xml:space="preserve">3. Dataset</w:t>
      </w:r>
    </w:p>
    <w:p>
      <w:pPr>
        <w:pStyle w:val="Heading2"/>
        <w:spacing w:after="120" w:before="280"/>
      </w:pPr>
      <w:r>
        <w:rPr>
          <w:rFonts w:ascii="Calibri" w:cs="Calibri" w:eastAsia="Calibri" w:hAnsi="Calibri"/>
          <w:b/>
          <w:bCs/>
          <w:color w:val="2563EB"/>
          <w:sz w:val="26"/>
          <w:szCs w:val="26"/>
        </w:rPr>
        <w:t xml:space="preserve">3.1 Source &amp; Overview</w:t>
      </w:r>
    </w:p>
    <w:p>
      <w:pPr>
        <w:spacing w:after="120" w:before="0"/>
        <w:jc w:val="left"/>
      </w:pPr>
      <w:r>
        <w:rPr>
          <w:rFonts w:ascii="Calibri" w:cs="Calibri" w:eastAsia="Calibri" w:hAnsi="Calibri"/>
          <w:b w:val="false"/>
          <w:bCs w:val="false"/>
          <w:i w:val="false"/>
          <w:iCs w:val="false"/>
          <w:color w:val="111827"/>
          <w:sz w:val="22"/>
          <w:szCs w:val="22"/>
        </w:rPr>
        <w:t xml:space="preserve">The dataset used is the "Air Quality Data in India (2015–2020)" compiled by Rohan Rao from CPCB monitoring stations and published on Kaggle under CC0 Public Domain licence.</w:t>
      </w:r>
    </w:p>
    <w:p>
      <w:pPr>
        <w:spacing w:after="80" w:before="0"/>
        <w:jc w:val="left"/>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Attribute</w:t>
            </w:r>
          </w:p>
        </w:tc>
        <w:tc>
          <w:tcPr>
            <w:tcW w:type="dxa" w:w="64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Detail</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Dataset name</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Air Quality Data in India (2015–2020)</w:t>
            </w:r>
          </w:p>
        </w:tc>
      </w:tr>
      <w:tr>
        <w:trPr>
          <w:tblHeader w:val="false"/>
        </w:trP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Primary source</w:t>
            </w:r>
          </w:p>
        </w:tc>
        <w:tc>
          <w:tcPr>
            <w:tcW w:type="dxa" w:w="64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Central Pollution Control Board (CPCB), Government of India</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Curator</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Rohan Rao (Kaggle: rohanrao)</w:t>
            </w:r>
          </w:p>
        </w:tc>
      </w:tr>
      <w:tr>
        <w:trPr>
          <w:tblHeader w:val="false"/>
        </w:trP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File used</w:t>
            </w:r>
          </w:p>
        </w:tc>
        <w:tc>
          <w:tcPr>
            <w:tcW w:type="dxa" w:w="64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city_day.csv — one row per city per day</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Total records</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29,531 daily observations</w:t>
            </w:r>
          </w:p>
        </w:tc>
      </w:tr>
      <w:tr>
        <w:trPr>
          <w:tblHeader w:val="false"/>
        </w:trP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Records after cleaning</w:t>
            </w:r>
          </w:p>
        </w:tc>
        <w:tc>
          <w:tcPr>
            <w:tcW w:type="dxa" w:w="64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24,850 (4,681 rows with missing AQI removed)</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Cities covered</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26 major Indian cities</w:t>
            </w:r>
          </w:p>
        </w:tc>
      </w:tr>
      <w:tr>
        <w:trPr>
          <w:tblHeader w:val="false"/>
        </w:trP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Time period</w:t>
            </w:r>
          </w:p>
        </w:tc>
        <w:tc>
          <w:tcPr>
            <w:tcW w:type="dxa" w:w="64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 January 2015 – 1 July 2020</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Kaggle notebook</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kaggle.com/code/yashbedekar07/air-quality-index-aqi-analysis</w:t>
            </w:r>
          </w:p>
        </w:tc>
      </w:tr>
      <w:tr>
        <w:trPr>
          <w:tblHeader w:val="false"/>
        </w:trP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Licence</w:t>
            </w:r>
          </w:p>
        </w:tc>
        <w:tc>
          <w:tcPr>
            <w:tcW w:type="dxa" w:w="64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CC0 Public Domain</w:t>
            </w:r>
          </w:p>
        </w:tc>
      </w:tr>
    </w:tbl>
    <w:p>
      <w:pPr>
        <w:spacing w:after="120" w:before="0"/>
        <w:jc w:val="left"/>
      </w:pPr>
      <w:r>
        <w:rPr>
          <w:rFonts w:ascii="Calibri" w:cs="Calibri" w:eastAsia="Calibri" w:hAnsi="Calibri"/>
          <w:b w:val="false"/>
          <w:bCs w:val="false"/>
          <w:i w:val="false"/>
          <w:iCs w:val="false"/>
          <w:color w:val="111827"/>
          <w:sz w:val="22"/>
          <w:szCs w:val="22"/>
        </w:rPr>
        <w:t xml:space="preserve"/>
      </w:r>
    </w:p>
    <w:p>
      <w:pPr>
        <w:pStyle w:val="Heading2"/>
        <w:spacing w:after="120" w:before="280"/>
      </w:pPr>
      <w:r>
        <w:rPr>
          <w:rFonts w:ascii="Calibri" w:cs="Calibri" w:eastAsia="Calibri" w:hAnsi="Calibri"/>
          <w:b/>
          <w:bCs/>
          <w:color w:val="2563EB"/>
          <w:sz w:val="26"/>
          <w:szCs w:val="26"/>
        </w:rPr>
        <w:t xml:space="preserve">3.2 CPCB AQI Scale</w:t>
      </w:r>
    </w:p>
    <w:p>
      <w:pPr>
        <w:spacing w:after="120" w:before="0"/>
        <w:jc w:val="left"/>
      </w:pPr>
      <w:r>
        <w:rPr>
          <w:rFonts w:ascii="Calibri" w:cs="Calibri" w:eastAsia="Calibri" w:hAnsi="Calibri"/>
          <w:b w:val="false"/>
          <w:bCs w:val="false"/>
          <w:i w:val="false"/>
          <w:iCs w:val="false"/>
          <w:color w:val="111827"/>
          <w:sz w:val="22"/>
          <w:szCs w:val="22"/>
        </w:rPr>
        <w:t xml:space="preserve">India uses a six-level AQI scale defined by the CPCB. This project treats AQI &gt; 200 (Poor, Very Poor, and Severe) as “unhealthy or hazardous” for RQ3.</w:t>
      </w:r>
    </w:p>
    <w:p>
      <w:pPr>
        <w:spacing w:after="80" w:before="0"/>
        <w:jc w:val="left"/>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126"/>
        <w:gridCol w:w="1900"/>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AQI Range</w:t>
            </w:r>
          </w:p>
        </w:tc>
        <w:tc>
          <w:tcPr>
            <w:tcW w:type="dxa" w:w="1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Category</w:t>
            </w:r>
          </w:p>
        </w:tc>
        <w:tc>
          <w:tcPr>
            <w:tcW w:type="dxa" w:w="41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Health Concern</w:t>
            </w:r>
          </w:p>
        </w:tc>
        <w:tc>
          <w:tcPr>
            <w:tcW w:type="dxa" w:w="19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Unhealthy?</w:t>
            </w:r>
          </w:p>
        </w:tc>
      </w:tr>
      <w:tr>
        <w:trPr>
          <w:tblHeader w:val="false"/>
        </w:trP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0 – 50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Good</w:t>
            </w:r>
          </w:p>
        </w:tc>
        <w:tc>
          <w:tcPr>
            <w:tcW w:type="dxa" w:w="4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Minimal impact</w:t>
            </w:r>
          </w:p>
        </w:tc>
        <w:tc>
          <w:tcPr>
            <w:tcW w:type="dxa" w:w="1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No</w:t>
            </w:r>
          </w:p>
        </w:tc>
      </w:tr>
      <w:tr>
        <w:trPr>
          <w:tblHeader w:val="false"/>
        </w:trP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51 – 100</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Satisfactory</w:t>
            </w:r>
          </w:p>
        </w:tc>
        <w:tc>
          <w:tcPr>
            <w:tcW w:type="dxa" w:w="41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Minor discomfort to sensitive individuals</w:t>
            </w:r>
          </w:p>
        </w:tc>
        <w:tc>
          <w:tcPr>
            <w:tcW w:type="dxa" w:w="1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No</w:t>
            </w:r>
          </w:p>
        </w:tc>
      </w:tr>
      <w:tr>
        <w:trPr>
          <w:tblHeader w:val="false"/>
        </w:trP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101 – 200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Moderate</w:t>
            </w:r>
          </w:p>
        </w:tc>
        <w:tc>
          <w:tcPr>
            <w:tcW w:type="dxa" w:w="4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Breathing discomfort for lung/heart patients</w:t>
            </w:r>
          </w:p>
        </w:tc>
        <w:tc>
          <w:tcPr>
            <w:tcW w:type="dxa" w:w="1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No</w:t>
            </w:r>
          </w:p>
        </w:tc>
      </w:tr>
      <w:tr>
        <w:trPr>
          <w:tblHeader w:val="false"/>
        </w:trP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201 – 300</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Poor</w:t>
            </w:r>
          </w:p>
        </w:tc>
        <w:tc>
          <w:tcPr>
            <w:tcW w:type="dxa" w:w="41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Discomfort for most people on prolonged exposure</w:t>
            </w:r>
          </w:p>
        </w:tc>
        <w:tc>
          <w:tcPr>
            <w:tcW w:type="dxa" w:w="1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YES</w:t>
            </w:r>
          </w:p>
        </w:tc>
      </w:tr>
      <w:tr>
        <w:trPr>
          <w:tblHeader w:val="false"/>
        </w:trP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301 – 400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Very Poor</w:t>
            </w:r>
          </w:p>
        </w:tc>
        <w:tc>
          <w:tcPr>
            <w:tcW w:type="dxa" w:w="4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Respiratory illness on prolonged exposure</w:t>
            </w:r>
          </w:p>
        </w:tc>
        <w:tc>
          <w:tcPr>
            <w:tcW w:type="dxa" w:w="1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YES</w:t>
            </w:r>
          </w:p>
        </w:tc>
      </w:tr>
      <w:tr>
        <w:trPr>
          <w:tblHeader w:val="false"/>
        </w:trP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401 – 500</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Severe</w:t>
            </w:r>
          </w:p>
        </w:tc>
        <w:tc>
          <w:tcPr>
            <w:tcW w:type="dxa" w:w="41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Serious impact on healthy people; hazardous for all</w:t>
            </w:r>
          </w:p>
        </w:tc>
        <w:tc>
          <w:tcPr>
            <w:tcW w:type="dxa" w:w="1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YES</w:t>
            </w:r>
          </w:p>
        </w:tc>
      </w:tr>
    </w:tbl>
    <w:p>
      <w:pPr>
        <w:spacing w:after="0"/>
      </w:pPr>
      <w:r>
        <w:br w:type="page"/>
      </w:r>
    </w:p>
    <w:p>
      <w:pPr>
        <w:pStyle w:val="Heading1"/>
        <w:pBdr>
          <w:bottom w:val="single" w:color="1B3A6B" w:sz="6" w:space="6"/>
        </w:pBdr>
        <w:spacing w:after="160" w:before="360"/>
      </w:pPr>
      <w:r>
        <w:rPr>
          <w:rFonts w:ascii="Calibri" w:cs="Calibri" w:eastAsia="Calibri" w:hAnsi="Calibri"/>
          <w:b/>
          <w:bCs/>
          <w:color w:val="1B3A6B"/>
          <w:sz w:val="32"/>
          <w:szCs w:val="32"/>
        </w:rPr>
        <w:t xml:space="preserve">4. Methodology</w:t>
      </w:r>
    </w:p>
    <w:p>
      <w:pPr>
        <w:pStyle w:val="Heading2"/>
        <w:spacing w:after="120" w:before="280"/>
      </w:pPr>
      <w:r>
        <w:rPr>
          <w:rFonts w:ascii="Calibri" w:cs="Calibri" w:eastAsia="Calibri" w:hAnsi="Calibri"/>
          <w:b/>
          <w:bCs/>
          <w:color w:val="2563EB"/>
          <w:sz w:val="26"/>
          <w:szCs w:val="26"/>
        </w:rPr>
        <w:t xml:space="preserve">4.1 Tools &amp;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Tool</w:t>
            </w:r>
          </w:p>
        </w:tc>
        <w:tc>
          <w:tcPr>
            <w:tcW w:type="dxa" w:w="1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Version</w:t>
            </w:r>
          </w:p>
        </w:tc>
        <w:tc>
          <w:tcPr>
            <w:tcW w:type="dxa" w:w="52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Purpose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Python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3.10+</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Core programming language</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pandas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1.5+</w:t>
            </w:r>
          </w:p>
        </w:tc>
        <w:tc>
          <w:tcPr>
            <w:tcW w:type="dxa" w:w="52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Data loading, cleaning, and aggregation</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NumPy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1.23+</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Numerical operations</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Matplotlib</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3.6+</w:t>
            </w:r>
          </w:p>
        </w:tc>
        <w:tc>
          <w:tcPr>
            <w:tcW w:type="dxa" w:w="52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Base charting engine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Seaborn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0.12+</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Statistical visualisations</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Jupyter</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1.0+</w:t>
            </w:r>
          </w:p>
        </w:tc>
        <w:tc>
          <w:tcPr>
            <w:tcW w:type="dxa" w:w="52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Interactive notebook environment</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Kaggle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Cloud</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Execution environment and dataset host — kaggle.com/code/yashbedekar07/air-quality-index-aqi-analysis</w:t>
            </w:r>
          </w:p>
        </w:tc>
      </w:tr>
    </w:tbl>
    <w:p>
      <w:pPr>
        <w:spacing w:after="120" w:before="0"/>
        <w:jc w:val="left"/>
      </w:pPr>
      <w:r>
        <w:rPr>
          <w:rFonts w:ascii="Calibri" w:cs="Calibri" w:eastAsia="Calibri" w:hAnsi="Calibri"/>
          <w:b w:val="false"/>
          <w:bCs w:val="false"/>
          <w:i w:val="false"/>
          <w:iCs w:val="false"/>
          <w:color w:val="111827"/>
          <w:sz w:val="22"/>
          <w:szCs w:val="22"/>
        </w:rPr>
        <w:t xml:space="preserve"/>
      </w:r>
    </w:p>
    <w:p>
      <w:pPr>
        <w:pStyle w:val="Heading2"/>
        <w:spacing w:after="120" w:before="280"/>
      </w:pPr>
      <w:r>
        <w:rPr>
          <w:rFonts w:ascii="Calibri" w:cs="Calibri" w:eastAsia="Calibri" w:hAnsi="Calibri"/>
          <w:b/>
          <w:bCs/>
          <w:color w:val="2563EB"/>
          <w:sz w:val="26"/>
          <w:szCs w:val="26"/>
        </w:rPr>
        <w:t xml:space="preserve">4.2 Data Cleaning Pipeline</w:t>
      </w:r>
    </w:p>
    <w:p>
      <w:pPr>
        <w:pStyle w:val="ListParagraph"/>
        <w:numPr>
          <w:ilvl w:val="0"/>
          <w:numId w:val="2"/>
        </w:numPr>
        <w:spacing w:after="80"/>
      </w:pPr>
      <w:r>
        <w:rPr>
          <w:rFonts w:ascii="Calibri" w:cs="Calibri" w:eastAsia="Calibri" w:hAnsi="Calibri"/>
          <w:b/>
          <w:bCs/>
          <w:sz w:val="22"/>
          <w:szCs w:val="22"/>
        </w:rPr>
        <w:t xml:space="preserve">Missing value profiling: </w:t>
      </w:r>
      <w:r>
        <w:rPr>
          <w:rFonts w:ascii="Calibri" w:cs="Calibri" w:eastAsia="Calibri" w:hAnsi="Calibri"/>
          <w:sz w:val="22"/>
          <w:szCs w:val="22"/>
        </w:rPr>
        <w:t xml:space="preserve">All 16 columns profiled. Xylene (61.3% missing), PM10 (37.7%), and NH3 (35.0%) had the highest gaps.</w:t>
      </w:r>
    </w:p>
    <w:p>
      <w:pPr>
        <w:pStyle w:val="ListParagraph"/>
        <w:numPr>
          <w:ilvl w:val="0"/>
          <w:numId w:val="2"/>
        </w:numPr>
        <w:spacing w:after="80"/>
      </w:pPr>
      <w:r>
        <w:rPr>
          <w:rFonts w:ascii="Calibri" w:cs="Calibri" w:eastAsia="Calibri" w:hAnsi="Calibri"/>
          <w:b/>
          <w:bCs/>
          <w:sz w:val="22"/>
          <w:szCs w:val="22"/>
        </w:rPr>
        <w:t xml:space="preserve">Column selection: </w:t>
      </w:r>
      <w:r>
        <w:rPr>
          <w:rFonts w:ascii="Calibri" w:cs="Calibri" w:eastAsia="Calibri" w:hAnsi="Calibri"/>
          <w:sz w:val="22"/>
          <w:szCs w:val="22"/>
        </w:rPr>
        <w:t xml:space="preserve">Retained City, Date, six core pollutants (PM2.5, PM10, NO₂, SO₂, CO, O₃), AQI, and AQI_Bucket. Dropped trace-gas columns (NO, NOx, NH3, Benzene, Toluene, Xylene).</w:t>
      </w:r>
    </w:p>
    <w:p>
      <w:pPr>
        <w:pStyle w:val="ListParagraph"/>
        <w:numPr>
          <w:ilvl w:val="0"/>
          <w:numId w:val="2"/>
        </w:numPr>
        <w:spacing w:after="80"/>
      </w:pPr>
      <w:r>
        <w:rPr>
          <w:rFonts w:ascii="Calibri" w:cs="Calibri" w:eastAsia="Calibri" w:hAnsi="Calibri"/>
          <w:b/>
          <w:bCs/>
          <w:sz w:val="22"/>
          <w:szCs w:val="22"/>
        </w:rPr>
        <w:t xml:space="preserve">AQI row removal: </w:t>
      </w:r>
      <w:r>
        <w:rPr>
          <w:rFonts w:ascii="Calibri" w:cs="Calibri" w:eastAsia="Calibri" w:hAnsi="Calibri"/>
          <w:sz w:val="22"/>
          <w:szCs w:val="22"/>
        </w:rPr>
        <w:t xml:space="preserve">4,681 rows (15.9%) with missing AQI were dropped, leaving 24,850 analysis-ready records.</w:t>
      </w:r>
    </w:p>
    <w:p>
      <w:pPr>
        <w:pStyle w:val="ListParagraph"/>
        <w:numPr>
          <w:ilvl w:val="0"/>
          <w:numId w:val="2"/>
        </w:numPr>
        <w:spacing w:after="80"/>
      </w:pPr>
      <w:r>
        <w:rPr>
          <w:rFonts w:ascii="Calibri" w:cs="Calibri" w:eastAsia="Calibri" w:hAnsi="Calibri"/>
          <w:b/>
          <w:bCs/>
          <w:sz w:val="22"/>
          <w:szCs w:val="22"/>
        </w:rPr>
        <w:t xml:space="preserve">Outlier detection and capping: </w:t>
      </w:r>
      <w:r>
        <w:rPr>
          <w:rFonts w:ascii="Calibri" w:cs="Calibri" w:eastAsia="Calibri" w:hAnsi="Calibri"/>
          <w:sz w:val="22"/>
          <w:szCs w:val="22"/>
        </w:rPr>
        <w:t xml:space="preserve">AQI values above the CPCB ceiling of 500 were flagged. A second column AQI_capped (clipped at 500) was created for aggregate statistics to avoid distortion from Ahmedabad sensor anomalies (raw max = 2,049).</w:t>
      </w:r>
    </w:p>
    <w:p>
      <w:pPr>
        <w:pStyle w:val="ListParagraph"/>
        <w:numPr>
          <w:ilvl w:val="0"/>
          <w:numId w:val="2"/>
        </w:numPr>
        <w:spacing w:after="80"/>
      </w:pPr>
      <w:r>
        <w:rPr>
          <w:rFonts w:ascii="Calibri" w:cs="Calibri" w:eastAsia="Calibri" w:hAnsi="Calibri"/>
          <w:b/>
          <w:bCs/>
          <w:sz w:val="22"/>
          <w:szCs w:val="22"/>
        </w:rPr>
        <w:t xml:space="preserve">Feature engineering: </w:t>
      </w:r>
      <w:r>
        <w:rPr>
          <w:rFonts w:ascii="Calibri" w:cs="Calibri" w:eastAsia="Calibri" w:hAnsi="Calibri"/>
          <w:sz w:val="22"/>
          <w:szCs w:val="22"/>
        </w:rPr>
        <w:t xml:space="preserve">Derived Year, Month, DayOfWeek, Season (Winter / Summer / Monsoon / Post-Monsoon), and boolean Unhealthy flag (AQI &gt; 200).</w:t>
      </w:r>
    </w:p>
    <w:p>
      <w:pPr>
        <w:pStyle w:val="ListParagraph"/>
        <w:numPr>
          <w:ilvl w:val="0"/>
          <w:numId w:val="2"/>
        </w:numPr>
        <w:spacing w:after="160"/>
      </w:pPr>
      <w:r>
        <w:rPr>
          <w:rFonts w:ascii="Calibri" w:cs="Calibri" w:eastAsia="Calibri" w:hAnsi="Calibri"/>
          <w:b/>
          <w:bCs/>
          <w:sz w:val="22"/>
          <w:szCs w:val="22"/>
        </w:rPr>
        <w:t xml:space="preserve">Imputation: </w:t>
      </w:r>
      <w:r>
        <w:rPr>
          <w:rFonts w:ascii="Calibri" w:cs="Calibri" w:eastAsia="Calibri" w:hAnsi="Calibri"/>
          <w:sz w:val="22"/>
          <w:szCs w:val="22"/>
        </w:rPr>
        <w:t xml:space="preserve">Remaining per-pollutant NaNs left as-is. All correlation and aggregation functions use pairwise-complete observations.</w:t>
      </w:r>
    </w:p>
    <w:p>
      <w:pPr>
        <w:spacing w:after="0"/>
      </w:pPr>
      <w:r>
        <w:br w:type="page"/>
      </w:r>
    </w:p>
    <w:p>
      <w:pPr>
        <w:pStyle w:val="Heading1"/>
        <w:pBdr>
          <w:bottom w:val="single" w:color="1B3A6B" w:sz="6" w:space="6"/>
        </w:pBdr>
        <w:spacing w:after="160" w:before="360"/>
      </w:pPr>
      <w:r>
        <w:rPr>
          <w:rFonts w:ascii="Calibri" w:cs="Calibri" w:eastAsia="Calibri" w:hAnsi="Calibri"/>
          <w:b/>
          <w:bCs/>
          <w:color w:val="1B3A6B"/>
          <w:sz w:val="32"/>
          <w:szCs w:val="32"/>
        </w:rPr>
        <w:t xml:space="preserve">5. Findings — RQ1: Temporal Trends</w:t>
      </w:r>
    </w:p>
    <w:p>
      <w:pPr>
        <w:pStyle w:val="Heading2"/>
        <w:spacing w:after="120" w:before="280"/>
      </w:pPr>
      <w:r>
        <w:rPr>
          <w:rFonts w:ascii="Calibri" w:cs="Calibri" w:eastAsia="Calibri" w:hAnsi="Calibri"/>
          <w:b/>
          <w:bCs/>
          <w:color w:val="2563EB"/>
          <w:sz w:val="26"/>
          <w:szCs w:val="26"/>
        </w:rPr>
        <w:t xml:space="preserve">5.1 Monthly AQI Trend (2015–2020)  [Fig. 01]</w:t>
      </w:r>
    </w:p>
    <w:p>
      <w:pPr>
        <w:spacing w:after="120" w:before="0"/>
        <w:jc w:val="left"/>
      </w:pPr>
      <w:r>
        <w:rPr>
          <w:rFonts w:ascii="Calibri" w:cs="Calibri" w:eastAsia="Calibri" w:hAnsi="Calibri"/>
          <w:b w:val="false"/>
          <w:bCs w:val="false"/>
          <w:i w:val="false"/>
          <w:iCs w:val="false"/>
          <w:color w:val="111827"/>
          <w:sz w:val="22"/>
          <w:szCs w:val="22"/>
        </w:rPr>
        <w:t xml:space="preserve">The monthly average AQI time series reveals a consistent, repeating annual wave. Delhi and Lucknow exceed the unhealthy threshold (AQI &gt; 200) every winter. Southern cities (Bengaluru, Chennai, Hyderabad, Mumbai) remain relatively flat year-round. A clear dip in April–June 2020 coincides with India’s COVID-19 national lockdown (25 March 2020), explored further in Section 5.6.</w:t>
      </w:r>
    </w:p>
    <w:p>
      <w:pPr>
        <w:pStyle w:val="Heading2"/>
        <w:spacing w:after="120" w:before="280"/>
      </w:pPr>
      <w:r>
        <w:rPr>
          <w:rFonts w:ascii="Calibri" w:cs="Calibri" w:eastAsia="Calibri" w:hAnsi="Calibri"/>
          <w:b/>
          <w:bCs/>
          <w:color w:val="2563EB"/>
          <w:sz w:val="26"/>
          <w:szCs w:val="26"/>
        </w:rPr>
        <w:t xml:space="preserve">5.2 Year-on-Year Trend  [Fig. 02, Table 04]</w:t>
      </w:r>
    </w:p>
    <w:p>
      <w:pPr>
        <w:spacing w:after="120" w:before="0"/>
        <w:jc w:val="left"/>
      </w:pPr>
      <w:r>
        <w:rPr>
          <w:rFonts w:ascii="Calibri" w:cs="Calibri" w:eastAsia="Calibri" w:hAnsi="Calibri"/>
          <w:b w:val="false"/>
          <w:bCs w:val="false"/>
          <w:i w:val="false"/>
          <w:iCs w:val="false"/>
          <w:color w:val="111827"/>
          <w:sz w:val="22"/>
          <w:szCs w:val="22"/>
        </w:rPr>
        <w:t xml:space="preserve">Delhi’s annual mean AQI (capped) fluctuated between approximately 230–290 over the study period. Southern cities remained stable and well below AQI 200 across all years. The 2020 values are partial (January–July only) and are influenced by the lockdown.</w:t>
      </w:r>
    </w:p>
    <w:p>
      <w:pPr>
        <w:pStyle w:val="Heading2"/>
        <w:spacing w:after="120" w:before="280"/>
      </w:pPr>
      <w:r>
        <w:rPr>
          <w:rFonts w:ascii="Calibri" w:cs="Calibri" w:eastAsia="Calibri" w:hAnsi="Calibri"/>
          <w:b/>
          <w:bCs/>
          <w:color w:val="2563EB"/>
          <w:sz w:val="26"/>
          <w:szCs w:val="26"/>
        </w:rPr>
        <w:t xml:space="preserve">5.3 AQI Category Distribution  [Fig. 03, Table 05]</w:t>
      </w:r>
    </w:p>
    <w:p>
      <w:pPr>
        <w:spacing w:after="120" w:before="0"/>
        <w:jc w:val="left"/>
      </w:pPr>
      <w:r>
        <w:rPr>
          <w:rFonts w:ascii="Calibri" w:cs="Calibri" w:eastAsia="Calibri" w:hAnsi="Calibri"/>
          <w:b w:val="false"/>
          <w:bCs w:val="false"/>
          <w:i w:val="false"/>
          <w:iCs w:val="false"/>
          <w:color w:val="111827"/>
          <w:sz w:val="22"/>
          <w:szCs w:val="22"/>
        </w:rPr>
        <w:t xml:space="preserve">Across all 24,850 valid city-days, the distribution by CPCB category from the actual notebook output is:</w:t>
      </w:r>
    </w:p>
    <w:p>
      <w:pPr>
        <w:spacing w:after="80" w:before="0"/>
        <w:jc w:val="left"/>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AQI Category</w:t>
            </w:r>
          </w:p>
        </w:tc>
        <w:tc>
          <w:tcPr>
            <w:tcW w:type="dxa" w:w="2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City-Days</w:t>
            </w:r>
          </w:p>
        </w:tc>
        <w:tc>
          <w:tcPr>
            <w:tcW w:type="dxa" w:w="2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Percentage</w:t>
            </w:r>
          </w:p>
        </w:tc>
        <w:tc>
          <w:tcPr>
            <w:tcW w:type="dxa" w:w="25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Unhealthy?</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Good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1,341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5.4%</w:t>
            </w:r>
          </w:p>
        </w:tc>
        <w:tc>
          <w:tcPr>
            <w:tcW w:type="dxa" w:w="2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No</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Satisfactory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8,224</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33.1%</w:t>
            </w:r>
          </w:p>
        </w:tc>
        <w:tc>
          <w:tcPr>
            <w:tcW w:type="dxa" w:w="25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No</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Moderate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8,829</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35.5%</w:t>
            </w:r>
          </w:p>
        </w:tc>
        <w:tc>
          <w:tcPr>
            <w:tcW w:type="dxa" w:w="2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No</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Poor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2,781</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11.2%</w:t>
            </w:r>
          </w:p>
        </w:tc>
        <w:tc>
          <w:tcPr>
            <w:tcW w:type="dxa" w:w="25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YES</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Very Poor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2,337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9.4%</w:t>
            </w:r>
          </w:p>
        </w:tc>
        <w:tc>
          <w:tcPr>
            <w:tcW w:type="dxa" w:w="2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YES</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Severe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1,338</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5.4%</w:t>
            </w:r>
          </w:p>
        </w:tc>
        <w:tc>
          <w:tcPr>
            <w:tcW w:type="dxa" w:w="25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YES</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Total unhealthy (Poor+VP+Severe)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6,456</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26.0%</w:t>
            </w:r>
          </w:p>
        </w:tc>
        <w:tc>
          <w:tcPr>
            <w:tcW w:type="dxa" w:w="2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YES</w:t>
            </w:r>
          </w:p>
        </w:tc>
      </w:tr>
    </w:tbl>
    <w:p>
      <w:pPr>
        <w:spacing w:after="100" w:before="0"/>
        <w:jc w:val="left"/>
      </w:pPr>
      <w:r>
        <w:rPr>
          <w:rFonts w:ascii="Calibri" w:cs="Calibri" w:eastAsia="Calibri" w:hAnsi="Calibri"/>
          <w:b w:val="false"/>
          <w:bCs w:val="false"/>
          <w:i w:val="false"/>
          <w:iCs w:val="false"/>
          <w:color w:val="111827"/>
          <w:sz w:val="22"/>
          <w:szCs w:val="22"/>
        </w:rPr>
        <w:t xml:space="preserve"/>
      </w:r>
    </w:p>
    <w:p>
      <w:pPr>
        <w:spacing w:after="120" w:before="0"/>
        <w:jc w:val="left"/>
      </w:pPr>
      <w:r>
        <w:rPr>
          <w:rFonts w:ascii="Calibri" w:cs="Calibri" w:eastAsia="Calibri" w:hAnsi="Calibri"/>
          <w:b w:val="false"/>
          <w:bCs w:val="false"/>
          <w:i w:val="false"/>
          <w:iCs w:val="false"/>
          <w:color w:val="111827"/>
          <w:sz w:val="22"/>
          <w:szCs w:val="22"/>
        </w:rPr>
        <w:t xml:space="preserve">Moderate (35.5%) is the single most common category, followed by Satisfactory (33.1%). The combined unhealthy categories account for 26.0% of all city-days.</w:t>
      </w:r>
    </w:p>
    <w:p>
      <w:pPr>
        <w:pStyle w:val="Heading2"/>
        <w:spacing w:after="120" w:before="280"/>
      </w:pPr>
      <w:r>
        <w:rPr>
          <w:rFonts w:ascii="Calibri" w:cs="Calibri" w:eastAsia="Calibri" w:hAnsi="Calibri"/>
          <w:b/>
          <w:bCs/>
          <w:color w:val="2563EB"/>
          <w:sz w:val="26"/>
          <w:szCs w:val="26"/>
        </w:rPr>
        <w:t xml:space="preserve">5.4 Seasonal Cycle  [Fig. 04, Fig. 05]</w:t>
      </w:r>
    </w:p>
    <w:p>
      <w:pPr>
        <w:spacing w:after="80" w:before="0"/>
        <w:jc w:val="left"/>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800"/>
        <w:gridCol w:w="3526"/>
      </w:tblGrid>
      <w:tr>
        <w:trPr>
          <w:tblHeader/>
        </w:trPr>
        <w:tc>
          <w:tcPr>
            <w:tcW w:type="dxa" w:w="1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Season</w:t>
            </w:r>
          </w:p>
        </w:tc>
        <w:tc>
          <w:tcPr>
            <w:tcW w:type="dxa" w:w="21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Months</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Avg. AQI (capped)</w:t>
            </w:r>
          </w:p>
        </w:tc>
        <w:tc>
          <w:tcPr>
            <w:tcW w:type="dxa" w:w="35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Primary Driver</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Winter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Dec, Jan, Feb</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~221</w:t>
            </w:r>
          </w:p>
        </w:tc>
        <w:tc>
          <w:tcPr>
            <w:tcW w:type="dxa" w:w="3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Temperature inversions trapping particulates near the surface</w:t>
            </w:r>
          </w:p>
        </w:tc>
      </w:tr>
      <w:tr>
        <w:trPr>
          <w:tblHeader w:val="false"/>
        </w:trP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Post-Monsoon</w:t>
            </w:r>
          </w:p>
        </w:tc>
        <w:tc>
          <w:tcPr>
            <w:tcW w:type="dxa" w:w="2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Oct, Nov</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~215</w:t>
            </w:r>
          </w:p>
        </w:tc>
        <w:tc>
          <w:tcPr>
            <w:tcW w:type="dxa" w:w="35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Stubble burning in Punjab/Haryana; Diwali fireworks</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Summer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Mar, Apr, May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~158</w:t>
            </w:r>
          </w:p>
        </w:tc>
        <w:tc>
          <w:tcPr>
            <w:tcW w:type="dxa" w:w="3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Dry but windy conditions partially dispersing pollutants</w:t>
            </w:r>
          </w:p>
        </w:tc>
      </w:tr>
      <w:tr>
        <w:trPr>
          <w:tblHeader w:val="false"/>
        </w:trP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Monsoon</w:t>
            </w:r>
          </w:p>
        </w:tc>
        <w:tc>
          <w:tcPr>
            <w:tcW w:type="dxa" w:w="2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Jun, Jul, Aug, Sep</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~116</w:t>
            </w:r>
          </w:p>
        </w:tc>
        <w:tc>
          <w:tcPr>
            <w:tcW w:type="dxa" w:w="35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Rainfall washing out particulates; strong vertical mixing</w:t>
            </w:r>
          </w:p>
        </w:tc>
      </w:tr>
    </w:tbl>
    <w:p>
      <w:pPr>
        <w:pStyle w:val="Heading2"/>
        <w:spacing w:after="120" w:before="280"/>
      </w:pPr>
      <w:r>
        <w:rPr>
          <w:rFonts w:ascii="Calibri" w:cs="Calibri" w:eastAsia="Calibri" w:hAnsi="Calibri"/>
          <w:b/>
          <w:bCs/>
          <w:color w:val="2563EB"/>
          <w:sz w:val="26"/>
          <w:szCs w:val="26"/>
        </w:rPr>
        <w:t xml:space="preserve">5.5 Day-of-Week Pattern  [Fig. 06]</w:t>
      </w:r>
    </w:p>
    <w:p>
      <w:pPr>
        <w:spacing w:after="120" w:before="0"/>
        <w:jc w:val="left"/>
      </w:pPr>
      <w:r>
        <w:rPr>
          <w:rFonts w:ascii="Calibri" w:cs="Calibri" w:eastAsia="Calibri" w:hAnsi="Calibri"/>
          <w:b w:val="false"/>
          <w:bCs w:val="false"/>
          <w:i w:val="false"/>
          <w:iCs w:val="false"/>
          <w:color w:val="111827"/>
          <w:sz w:val="22"/>
          <w:szCs w:val="22"/>
        </w:rPr>
        <w:t xml:space="preserve">Actual notebook output (all cities combined, AQI capped):</w:t>
      </w:r>
    </w:p>
    <w:p>
      <w:pPr>
        <w:spacing w:after="80" w:before="0"/>
        <w:jc w:val="left"/>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Day</w:t>
            </w:r>
          </w:p>
        </w:tc>
        <w:tc>
          <w:tcPr>
            <w:tcW w:type="dxa" w:w="50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Avg AQI (capped)</w:t>
            </w:r>
          </w:p>
        </w:tc>
      </w:tr>
      <w:tr>
        <w:trPr>
          <w:tblHeader w:val="false"/>
        </w:trPr>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Monday</w:t>
            </w:r>
          </w:p>
        </w:tc>
        <w:tc>
          <w:tcPr>
            <w:tcW w:type="dxa" w:w="5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158</w:t>
            </w:r>
          </w:p>
        </w:tc>
      </w:tr>
      <w:tr>
        <w:trPr>
          <w:tblHeader w:val="false"/>
        </w:trPr>
        <w:tc>
          <w:tcPr>
            <w:tcW w:type="dxa" w:w="4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Tuesday</w:t>
            </w:r>
          </w:p>
        </w:tc>
        <w:tc>
          <w:tcPr>
            <w:tcW w:type="dxa" w:w="50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161</w:t>
            </w:r>
          </w:p>
        </w:tc>
      </w:tr>
      <w:tr>
        <w:trPr>
          <w:tblHeader w:val="false"/>
        </w:trPr>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Wednesday</w:t>
            </w:r>
          </w:p>
        </w:tc>
        <w:tc>
          <w:tcPr>
            <w:tcW w:type="dxa" w:w="5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162</w:t>
            </w:r>
          </w:p>
        </w:tc>
      </w:tr>
      <w:tr>
        <w:trPr>
          <w:tblHeader w:val="false"/>
        </w:trPr>
        <w:tc>
          <w:tcPr>
            <w:tcW w:type="dxa" w:w="4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Thursday</w:t>
            </w:r>
          </w:p>
        </w:tc>
        <w:tc>
          <w:tcPr>
            <w:tcW w:type="dxa" w:w="50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164</w:t>
            </w:r>
          </w:p>
        </w:tc>
      </w:tr>
      <w:tr>
        <w:trPr>
          <w:tblHeader w:val="false"/>
        </w:trPr>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Friday</w:t>
            </w:r>
          </w:p>
        </w:tc>
        <w:tc>
          <w:tcPr>
            <w:tcW w:type="dxa" w:w="5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163</w:t>
            </w:r>
          </w:p>
        </w:tc>
      </w:tr>
      <w:tr>
        <w:trPr>
          <w:tblHeader w:val="false"/>
        </w:trPr>
        <w:tc>
          <w:tcPr>
            <w:tcW w:type="dxa" w:w="4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Saturday</w:t>
            </w:r>
          </w:p>
        </w:tc>
        <w:tc>
          <w:tcPr>
            <w:tcW w:type="dxa" w:w="50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160</w:t>
            </w:r>
          </w:p>
        </w:tc>
      </w:tr>
      <w:tr>
        <w:trPr>
          <w:tblHeader w:val="false"/>
        </w:trPr>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Sunday</w:t>
            </w:r>
          </w:p>
        </w:tc>
        <w:tc>
          <w:tcPr>
            <w:tcW w:type="dxa" w:w="5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159</w:t>
            </w:r>
          </w:p>
        </w:tc>
      </w:tr>
    </w:tbl>
    <w:p>
      <w:pPr>
        <w:spacing w:after="100" w:before="0"/>
        <w:jc w:val="left"/>
      </w:pPr>
      <w:r>
        <w:rPr>
          <w:rFonts w:ascii="Calibri" w:cs="Calibri" w:eastAsia="Calibri" w:hAnsi="Calibri"/>
          <w:b w:val="false"/>
          <w:bCs w:val="false"/>
          <w:i w:val="false"/>
          <w:iCs w:val="false"/>
          <w:color w:val="111827"/>
          <w:sz w:val="22"/>
          <w:szCs w:val="22"/>
        </w:rPr>
        <w:t xml:space="preserve"/>
      </w:r>
    </w:p>
    <w:p>
      <w:pPr>
        <w:spacing w:after="120" w:before="0"/>
        <w:jc w:val="left"/>
      </w:pPr>
      <w:r>
        <w:rPr>
          <w:rFonts w:ascii="Calibri" w:cs="Calibri" w:eastAsia="Calibri" w:hAnsi="Calibri"/>
          <w:b w:val="false"/>
          <w:bCs w:val="false"/>
          <w:i w:val="false"/>
          <w:iCs w:val="false"/>
          <w:color w:val="111827"/>
          <w:sz w:val="22"/>
          <w:szCs w:val="22"/>
        </w:rPr>
        <w:t xml:space="preserve">All seven days fall within a 6-point range (158–164). With fully overlapping ±1 SD bands, the day-of-week effect is statistically negligible. Seasonal weather is the dominant driver, not weekday traffic.</w:t>
      </w:r>
    </w:p>
    <w:p>
      <w:pPr>
        <w:pStyle w:val="Heading2"/>
        <w:spacing w:after="120" w:before="280"/>
      </w:pPr>
      <w:r>
        <w:rPr>
          <w:rFonts w:ascii="Calibri" w:cs="Calibri" w:eastAsia="Calibri" w:hAnsi="Calibri"/>
          <w:b/>
          <w:bCs/>
          <w:color w:val="2563EB"/>
          <w:sz w:val="26"/>
          <w:szCs w:val="26"/>
        </w:rPr>
        <w:t xml:space="preserve">5.6 COVID-19 Lockdown Impact  [Fig. 07, Table 06]</w:t>
      </w:r>
    </w:p>
    <w:p>
      <w:pPr>
        <w:spacing w:after="120" w:before="0"/>
        <w:jc w:val="left"/>
      </w:pPr>
      <w:r>
        <w:rPr>
          <w:rFonts w:ascii="Calibri" w:cs="Calibri" w:eastAsia="Calibri" w:hAnsi="Calibri"/>
          <w:b w:val="false"/>
          <w:bCs w:val="false"/>
          <w:i w:val="false"/>
          <w:iCs w:val="false"/>
          <w:color w:val="111827"/>
          <w:sz w:val="22"/>
          <w:szCs w:val="22"/>
        </w:rPr>
        <w:t xml:space="preserve">Comparing January–March 2020 (pre-lockdown) to April–June 2020 (during lockdown) reveals AQI improvements in 25 of 26 cities. Selected city-level results from the actual notebook output:</w:t>
      </w:r>
    </w:p>
    <w:p>
      <w:pPr>
        <w:spacing w:after="80" w:before="0"/>
        <w:jc w:val="left"/>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City</w:t>
            </w:r>
          </w:p>
        </w:tc>
        <w:tc>
          <w:tcPr>
            <w:tcW w:type="dxa" w:w="2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Pre-Lockdown AQI</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Lockdown AQI</w:t>
            </w:r>
          </w:p>
        </w:tc>
        <w:tc>
          <w:tcPr>
            <w:tcW w:type="dxa" w:w="30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Change %</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Delhi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234.9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129.3</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−81.7%</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Lucknow</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207.6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107.6</w:t>
            </w:r>
          </w:p>
        </w:tc>
        <w:tc>
          <w:tcPr>
            <w:tcW w:type="dxa" w:w="30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−92.9%</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Mumbai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143.8</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63.9</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−125.0%</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Kolkata</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178.8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56.6</w:t>
            </w:r>
          </w:p>
        </w:tc>
        <w:tc>
          <w:tcPr>
            <w:tcW w:type="dxa" w:w="30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−215.9%</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Bengaluru</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94.1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65.7</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−43.2%</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Hyderabad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92.7</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64.0</w:t>
            </w:r>
          </w:p>
        </w:tc>
        <w:tc>
          <w:tcPr>
            <w:tcW w:type="dxa" w:w="30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−44.8%</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Chennai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78.7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81.7</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+3.7% (slight increase)</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 Most cities —</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Higher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Lower</w:t>
            </w:r>
          </w:p>
        </w:tc>
        <w:tc>
          <w:tcPr>
            <w:tcW w:type="dxa" w:w="30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Large reductions</w:t>
            </w:r>
          </w:p>
        </w:tc>
      </w:tr>
    </w:tbl>
    <w:p>
      <w:pPr>
        <w:spacing w:after="100" w:before="0"/>
        <w:jc w:val="left"/>
      </w:pPr>
      <w:r>
        <w:rPr>
          <w:rFonts w:ascii="Calibri" w:cs="Calibri" w:eastAsia="Calibri" w:hAnsi="Calibri"/>
          <w:b w:val="false"/>
          <w:bCs w:val="false"/>
          <w:i w:val="false"/>
          <w:iCs w:val="false"/>
          <w:color w:val="111827"/>
          <w:sz w:val="22"/>
          <w:szCs w:val="22"/>
        </w:rPr>
        <w:t xml:space="preserve"/>
      </w:r>
    </w:p>
    <w:p>
      <w:pPr>
        <w:spacing w:after="120" w:before="0"/>
        <w:jc w:val="left"/>
      </w:pPr>
      <w:r>
        <w:rPr>
          <w:rFonts w:ascii="Calibri" w:cs="Calibri" w:eastAsia="Calibri" w:hAnsi="Calibri"/>
          <w:b w:val="false"/>
          <w:bCs w:val="false"/>
          <w:i w:val="false"/>
          <w:iCs w:val="false"/>
          <w:color w:val="111827"/>
          <w:sz w:val="22"/>
          <w:szCs w:val="22"/>
        </w:rPr>
        <w:t xml:space="preserve">Note: The Change_% column in the notebook output represents how much higher the lockdown AQI was than pre-lockdown. Negative numbers mean improvement (lower AQI during lockdown). Only Chennai showed a slight increase (+3.7%), likely due to seasonal effects.</w:t>
      </w:r>
    </w:p>
    <w:tbl>
      <w:tblPr>
        <w:tblW w:type="dxa" w:w="9026"/>
        <w:tblBorders>
          <w:top w:val="single" w:color="2563EB" w:sz="4"/>
          <w:left w:val="single" w:color="2563EB" w:sz="4"/>
          <w:bottom w:val="single" w:color="2563EB" w:sz="4"/>
          <w:right w:val="single" w:color="2563EB" w:sz="4"/>
          <w:insideH w:val="single" w:color="auto" w:sz="4"/>
          <w:insideV w:val="single" w:color="auto" w:sz="4"/>
        </w:tblBorders>
      </w:tblPr>
      <w:tblGrid>
        <w:gridCol w:w="9026"/>
      </w:tblGrid>
      <w:tr>
        <w:tc>
          <w:tcPr>
            <w:tcW w:type="dxa" w:w="9026"/>
            <w:tcBorders>
              <w:top w:val="single" w:color="2563EB" w:sz="1"/>
              <w:left w:val="single" w:color="2563EB" w:sz="1"/>
              <w:bottom w:val="single" w:color="2563EB" w:sz="1"/>
              <w:right w:val="single" w:color="2563EB" w:sz="1"/>
            </w:tcBorders>
            <w:shd w:fill="DBEAFE" w:val="clear"/>
            <w:tcMar>
              <w:top w:type="dxa" w:w="120"/>
              <w:left w:type="dxa" w:w="200"/>
              <w:bottom w:type="dxa" w:w="120"/>
              <w:right w:type="dxa" w:w="200"/>
            </w:tcMar>
          </w:tcPr>
          <w:p>
            <w:r>
              <w:rPr>
                <w:rFonts w:ascii="Calibri" w:cs="Calibri" w:eastAsia="Calibri" w:hAnsi="Calibri"/>
                <w:i/>
                <w:iCs/>
                <w:color w:val="1B3A6B"/>
                <w:sz w:val="21"/>
                <w:szCs w:val="21"/>
              </w:rPr>
              <w:t xml:space="preserve">Key Takeaway (RQ1): Air quality in India follows a strong, predictable seasonal cycle. Winter is consistently the worst season (avg AQI ~221), the monsoon the best (~116). Day-of-week effects are negligible (158–164 range). COVID-19 lockdown produced measurable AQI reductions across 25 of 26 cities.</w:t>
            </w:r>
          </w:p>
        </w:tc>
      </w:tr>
    </w:tbl>
    <w:p>
      <w:pPr>
        <w:spacing w:after="0"/>
      </w:pPr>
      <w:r>
        <w:br w:type="page"/>
      </w:r>
    </w:p>
    <w:p>
      <w:pPr>
        <w:pStyle w:val="Heading1"/>
        <w:pBdr>
          <w:bottom w:val="single" w:color="1B3A6B" w:sz="6" w:space="6"/>
        </w:pBdr>
        <w:spacing w:after="160" w:before="360"/>
      </w:pPr>
      <w:r>
        <w:rPr>
          <w:rFonts w:ascii="Calibri" w:cs="Calibri" w:eastAsia="Calibri" w:hAnsi="Calibri"/>
          <w:b/>
          <w:bCs/>
          <w:color w:val="1B3A6B"/>
          <w:sz w:val="32"/>
          <w:szCs w:val="32"/>
        </w:rPr>
        <w:t xml:space="preserve">6. Findings — RQ2: Pollutant Relationships</w:t>
      </w:r>
    </w:p>
    <w:p>
      <w:pPr>
        <w:pStyle w:val="Heading2"/>
        <w:spacing w:after="120" w:before="280"/>
      </w:pPr>
      <w:r>
        <w:rPr>
          <w:rFonts w:ascii="Calibri" w:cs="Calibri" w:eastAsia="Calibri" w:hAnsi="Calibri"/>
          <w:b/>
          <w:bCs/>
          <w:color w:val="2563EB"/>
          <w:sz w:val="26"/>
          <w:szCs w:val="26"/>
        </w:rPr>
        <w:t xml:space="preserve">6.1 Correlation Analysis  [Fig. 08]</w:t>
      </w:r>
    </w:p>
    <w:p>
      <w:pPr>
        <w:spacing w:after="80" w:before="0"/>
        <w:jc w:val="left"/>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500"/>
        <w:gridCol w:w="4326"/>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Pollutant</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Pearson r with AQI</w:t>
            </w:r>
          </w:p>
        </w:tc>
        <w:tc>
          <w:tcPr>
            <w:tcW w:type="dxa" w:w="15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Strength</w:t>
            </w:r>
          </w:p>
        </w:tc>
        <w:tc>
          <w:tcPr>
            <w:tcW w:type="dxa" w:w="43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Interpretation</w:t>
            </w:r>
          </w:p>
        </w:tc>
      </w:tr>
      <w:tr>
        <w:trPr>
          <w:tblHeader w:val="false"/>
        </w:trP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PM10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0.80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Very Strong</w:t>
            </w:r>
          </w:p>
        </w:tc>
        <w:tc>
          <w:tcPr>
            <w:tcW w:type="dxa" w:w="43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Primary AQI driver; coarse particulates dominate the index</w:t>
            </w:r>
          </w:p>
        </w:tc>
      </w:tr>
      <w:tr>
        <w:trPr>
          <w:tblHeader w:val="false"/>
        </w:trP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CO</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0.69</w:t>
            </w:r>
          </w:p>
        </w:tc>
        <w:tc>
          <w:tcPr>
            <w:tcW w:type="dxa" w:w="1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Strong</w:t>
            </w:r>
          </w:p>
        </w:tc>
        <w:tc>
          <w:tcPr>
            <w:tcW w:type="dxa" w:w="43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Carbon monoxide highly co-located with PM pollution episodes</w:t>
            </w:r>
          </w:p>
        </w:tc>
      </w:tr>
      <w:tr>
        <w:trPr>
          <w:tblHeader w:val="false"/>
        </w:trP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PM2.5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0.67</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Strong</w:t>
            </w:r>
          </w:p>
        </w:tc>
        <w:tc>
          <w:tcPr>
            <w:tcW w:type="dxa" w:w="43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Fine particulates — key health risk and strong AQI predictor</w:t>
            </w:r>
          </w:p>
        </w:tc>
      </w:tr>
      <w:tr>
        <w:trPr>
          <w:tblHeader w:val="false"/>
        </w:trP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NO2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0.53</w:t>
            </w:r>
          </w:p>
        </w:tc>
        <w:tc>
          <w:tcPr>
            <w:tcW w:type="dxa" w:w="1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Moderate</w:t>
            </w:r>
          </w:p>
        </w:tc>
        <w:tc>
          <w:tcPr>
            <w:tcW w:type="dxa" w:w="43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Nitrogen dioxide from traffic; moderate AQI association</w:t>
            </w:r>
          </w:p>
        </w:tc>
      </w:tr>
      <w:tr>
        <w:trPr>
          <w:tblHeader w:val="false"/>
        </w:trP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SO2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0.38</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Moderate</w:t>
            </w:r>
          </w:p>
        </w:tc>
        <w:tc>
          <w:tcPr>
            <w:tcW w:type="dxa" w:w="43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Sulphur dioxide from industry; lower than particulates</w:t>
            </w:r>
          </w:p>
        </w:tc>
      </w:tr>
      <w:tr>
        <w:trPr>
          <w:tblHeader w:val="false"/>
        </w:trP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O3</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0.20</w:t>
            </w:r>
          </w:p>
        </w:tc>
        <w:tc>
          <w:tcPr>
            <w:tcW w:type="dxa" w:w="1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Weak</w:t>
            </w:r>
          </w:p>
        </w:tc>
        <w:tc>
          <w:tcPr>
            <w:tcW w:type="dxa" w:w="43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Ground-level ozone; not a primary AQI driver in India</w:t>
            </w:r>
          </w:p>
        </w:tc>
      </w:tr>
    </w:tbl>
    <w:p>
      <w:pPr>
        <w:spacing w:after="120" w:before="0"/>
        <w:jc w:val="left"/>
      </w:pPr>
      <w:r>
        <w:rPr>
          <w:rFonts w:ascii="Calibri" w:cs="Calibri" w:eastAsia="Calibri" w:hAnsi="Calibri"/>
          <w:b w:val="false"/>
          <w:bCs w:val="false"/>
          <w:i w:val="false"/>
          <w:iCs w:val="false"/>
          <w:color w:val="111827"/>
          <w:sz w:val="22"/>
          <w:szCs w:val="22"/>
        </w:rPr>
        <w:t xml:space="preserve"/>
      </w:r>
    </w:p>
    <w:p>
      <w:pPr>
        <w:pStyle w:val="Heading2"/>
        <w:spacing w:after="120" w:before="280"/>
      </w:pPr>
      <w:r>
        <w:rPr>
          <w:rFonts w:ascii="Calibri" w:cs="Calibri" w:eastAsia="Calibri" w:hAnsi="Calibri"/>
          <w:b/>
          <w:bCs/>
          <w:color w:val="2563EB"/>
          <w:sz w:val="26"/>
          <w:szCs w:val="26"/>
        </w:rPr>
        <w:t xml:space="preserve">6.2 Pollutant Concentrations by AQI Category  [Fig. 09]</w:t>
      </w:r>
    </w:p>
    <w:p>
      <w:pPr>
        <w:spacing w:after="120" w:before="0"/>
        <w:jc w:val="left"/>
      </w:pPr>
      <w:r>
        <w:rPr>
          <w:rFonts w:ascii="Calibri" w:cs="Calibri" w:eastAsia="Calibri" w:hAnsi="Calibri"/>
          <w:b w:val="false"/>
          <w:bCs w:val="false"/>
          <w:i w:val="false"/>
          <w:iCs w:val="false"/>
          <w:color w:val="111827"/>
          <w:sz w:val="22"/>
          <w:szCs w:val="22"/>
        </w:rPr>
        <w:t xml:space="preserve">Mean pollutant concentrations by CPCB AQI category confirm a monotonically increasing pattern for PM2.5 and PM10 from Good to Severe. SO₂ and NO₂ also increase but less steeply. CO shows a sharp spike in the Severe category. Ozone (O₃) does not follow a monotonic pattern, peaking in Moderate.</w:t>
      </w:r>
    </w:p>
    <w:p>
      <w:pPr>
        <w:pStyle w:val="Heading2"/>
        <w:spacing w:after="120" w:before="280"/>
      </w:pPr>
      <w:r>
        <w:rPr>
          <w:rFonts w:ascii="Calibri" w:cs="Calibri" w:eastAsia="Calibri" w:hAnsi="Calibri"/>
          <w:b/>
          <w:bCs/>
          <w:color w:val="2563EB"/>
          <w:sz w:val="26"/>
          <w:szCs w:val="26"/>
        </w:rPr>
        <w:t xml:space="preserve">6.3 PM2.5 and PM10 Distributions  [Fig. 10]</w:t>
      </w:r>
    </w:p>
    <w:p>
      <w:pPr>
        <w:spacing w:after="120" w:before="0"/>
        <w:jc w:val="left"/>
      </w:pPr>
      <w:r>
        <w:rPr>
          <w:rFonts w:ascii="Calibri" w:cs="Calibri" w:eastAsia="Calibri" w:hAnsi="Calibri"/>
          <w:b w:val="false"/>
          <w:bCs w:val="false"/>
          <w:i w:val="false"/>
          <w:iCs w:val="false"/>
          <w:color w:val="111827"/>
          <w:sz w:val="22"/>
          <w:szCs w:val="22"/>
        </w:rPr>
        <w:t xml:space="preserve">Boxplot medians increase at every step of the CPCB scale. The widening IQR in higher categories indicates greater day-to-day variability during severe pollution episodes, consistent with episodic events such as stubble burning and dust storms.</w:t>
      </w:r>
    </w:p>
    <w:p>
      <w:pPr>
        <w:pStyle w:val="Heading2"/>
        <w:spacing w:after="120" w:before="280"/>
      </w:pPr>
      <w:r>
        <w:rPr>
          <w:rFonts w:ascii="Calibri" w:cs="Calibri" w:eastAsia="Calibri" w:hAnsi="Calibri"/>
          <w:b/>
          <w:bCs/>
          <w:color w:val="2563EB"/>
          <w:sz w:val="26"/>
          <w:szCs w:val="26"/>
        </w:rPr>
        <w:t xml:space="preserve">6.4 PM10 vs. AQI Scatter  [Fig. 11]</w:t>
      </w:r>
    </w:p>
    <w:p>
      <w:pPr>
        <w:spacing w:after="120" w:before="0"/>
        <w:jc w:val="left"/>
      </w:pPr>
      <w:r>
        <w:rPr>
          <w:rFonts w:ascii="Calibri" w:cs="Calibri" w:eastAsia="Calibri" w:hAnsi="Calibri"/>
          <w:b w:val="false"/>
          <w:bCs w:val="false"/>
          <w:i w:val="false"/>
          <w:iCs w:val="false"/>
          <w:color w:val="111827"/>
          <w:sz w:val="22"/>
          <w:szCs w:val="22"/>
        </w:rPr>
        <w:t xml:space="preserve">Good and Satisfactory days cluster at PM10 &lt; 100 μg/m³; Severe days consistently appear at PM10 &gt; 200 μg/m³. The strong positive trend confirms PM10 as the dominant AQI predictor.</w:t>
      </w:r>
    </w:p>
    <w:tbl>
      <w:tblPr>
        <w:tblW w:type="dxa" w:w="9026"/>
        <w:tblBorders>
          <w:top w:val="single" w:color="2563EB" w:sz="4"/>
          <w:left w:val="single" w:color="2563EB" w:sz="4"/>
          <w:bottom w:val="single" w:color="2563EB" w:sz="4"/>
          <w:right w:val="single" w:color="2563EB" w:sz="4"/>
          <w:insideH w:val="single" w:color="auto" w:sz="4"/>
          <w:insideV w:val="single" w:color="auto" w:sz="4"/>
        </w:tblBorders>
      </w:tblPr>
      <w:tblGrid>
        <w:gridCol w:w="9026"/>
      </w:tblGrid>
      <w:tr>
        <w:tc>
          <w:tcPr>
            <w:tcW w:type="dxa" w:w="9026"/>
            <w:tcBorders>
              <w:top w:val="single" w:color="2563EB" w:sz="1"/>
              <w:left w:val="single" w:color="2563EB" w:sz="1"/>
              <w:bottom w:val="single" w:color="2563EB" w:sz="1"/>
              <w:right w:val="single" w:color="2563EB" w:sz="1"/>
            </w:tcBorders>
            <w:shd w:fill="DBEAFE" w:val="clear"/>
            <w:tcMar>
              <w:top w:type="dxa" w:w="120"/>
              <w:left w:type="dxa" w:w="200"/>
              <w:bottom w:type="dxa" w:w="120"/>
              <w:right w:type="dxa" w:w="200"/>
            </w:tcMar>
          </w:tcPr>
          <w:p>
            <w:r>
              <w:rPr>
                <w:rFonts w:ascii="Calibri" w:cs="Calibri" w:eastAsia="Calibri" w:hAnsi="Calibri"/>
                <w:i/>
                <w:iCs/>
                <w:color w:val="1B3A6B"/>
                <w:sz w:val="21"/>
                <w:szCs w:val="21"/>
              </w:rPr>
              <w:t xml:space="preserve">Key Takeaway (RQ2): Particulate matter (PM10 r = 0.80, PM2.5 r = 0.67) dominates AQI in Indian cities. Ozone is weakly correlated (r ≈ 0.20). Reducing particulate emissions is the highest-leverage intervention for improving AQI.</w:t>
            </w:r>
          </w:p>
        </w:tc>
      </w:tr>
    </w:tbl>
    <w:p>
      <w:pPr>
        <w:spacing w:after="0"/>
      </w:pPr>
      <w:r>
        <w:br w:type="page"/>
      </w:r>
    </w:p>
    <w:p>
      <w:pPr>
        <w:pStyle w:val="Heading1"/>
        <w:pBdr>
          <w:bottom w:val="single" w:color="1B3A6B" w:sz="6" w:space="6"/>
        </w:pBdr>
        <w:spacing w:after="160" w:before="360"/>
      </w:pPr>
      <w:r>
        <w:rPr>
          <w:rFonts w:ascii="Calibri" w:cs="Calibri" w:eastAsia="Calibri" w:hAnsi="Calibri"/>
          <w:b/>
          <w:bCs/>
          <w:color w:val="1B3A6B"/>
          <w:sz w:val="32"/>
          <w:szCs w:val="32"/>
        </w:rPr>
        <w:t xml:space="preserve">7. Findings — RQ3: Unhealthy Air Quality Exposure</w:t>
      </w:r>
    </w:p>
    <w:p>
      <w:pPr>
        <w:pStyle w:val="Heading2"/>
        <w:spacing w:after="120" w:before="280"/>
      </w:pPr>
      <w:r>
        <w:rPr>
          <w:rFonts w:ascii="Calibri" w:cs="Calibri" w:eastAsia="Calibri" w:hAnsi="Calibri"/>
          <w:b/>
          <w:bCs/>
          <w:color w:val="2563EB"/>
          <w:sz w:val="26"/>
          <w:szCs w:val="26"/>
        </w:rPr>
        <w:t xml:space="preserve">7.1 Overall Exposure Rate</w:t>
      </w:r>
    </w:p>
    <w:p>
      <w:pPr>
        <w:spacing w:after="120" w:before="0"/>
        <w:jc w:val="left"/>
      </w:pPr>
      <w:r>
        <w:rPr>
          <w:rFonts w:ascii="Calibri" w:cs="Calibri" w:eastAsia="Calibri" w:hAnsi="Calibri"/>
          <w:b w:val="false"/>
          <w:bCs w:val="false"/>
          <w:i w:val="false"/>
          <w:iCs w:val="false"/>
          <w:color w:val="111827"/>
          <w:sz w:val="22"/>
          <w:szCs w:val="22"/>
        </w:rPr>
        <w:t xml:space="preserve">Across all 24,850 valid city-days, 6,456 (26.0%) fall in the unhealthy categories (Poor, Very Poor, or Severe; AQI &gt; 200). This means that roughly one in four days across Indian cities carries a real health risk. This is a persistent baseline condition, not a rare extreme event.</w:t>
      </w:r>
    </w:p>
    <w:p>
      <w:pPr>
        <w:pStyle w:val="Heading2"/>
        <w:spacing w:after="120" w:before="280"/>
      </w:pPr>
      <w:r>
        <w:rPr>
          <w:rFonts w:ascii="Calibri" w:cs="Calibri" w:eastAsia="Calibri" w:hAnsi="Calibri"/>
          <w:b/>
          <w:bCs/>
          <w:color w:val="2563EB"/>
          <w:sz w:val="26"/>
          <w:szCs w:val="26"/>
        </w:rPr>
        <w:t xml:space="preserve">7.2 City Rankings  [Fig. 12, Table 07]</w:t>
      </w:r>
    </w:p>
    <w:p>
      <w:pPr>
        <w:spacing w:after="120" w:before="0"/>
        <w:jc w:val="left"/>
      </w:pPr>
      <w:r>
        <w:rPr>
          <w:rFonts w:ascii="Calibri" w:cs="Calibri" w:eastAsia="Calibri" w:hAnsi="Calibri"/>
          <w:b w:val="false"/>
          <w:bCs w:val="false"/>
          <w:i w:val="false"/>
          <w:iCs w:val="false"/>
          <w:color w:val="111827"/>
          <w:sz w:val="22"/>
          <w:szCs w:val="22"/>
        </w:rPr>
        <w:t xml:space="preserve">Actual output from the notebook (Table 07):</w:t>
      </w:r>
    </w:p>
    <w:p>
      <w:pPr>
        <w:spacing w:after="80" w:before="0"/>
        <w:jc w:val="left"/>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400"/>
        <w:gridCol w:w="1100"/>
        <w:gridCol w:w="1400"/>
        <w:gridCol w:w="1200"/>
        <w:gridCol w:w="1426"/>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City</w:t>
            </w:r>
          </w:p>
        </w:tc>
        <w:tc>
          <w:tcPr>
            <w:tcW w:type="dxa" w:w="11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Total Days</w:t>
            </w:r>
          </w:p>
        </w:tc>
        <w:tc>
          <w:tcPr>
            <w:tcW w:type="dxa" w:w="1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Mean AQI (capped)</w:t>
            </w:r>
          </w:p>
        </w:tc>
        <w:tc>
          <w:tcPr>
            <w:tcW w:type="dxa" w:w="11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Median AQI</w:t>
            </w:r>
          </w:p>
        </w:tc>
        <w:tc>
          <w:tcPr>
            <w:tcW w:type="dxa" w:w="1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Max AQI (raw)</w:t>
            </w:r>
          </w:p>
        </w:tc>
        <w:tc>
          <w:tcPr>
            <w:tcW w:type="dxa" w:w="1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Unhealthy Days</w:t>
            </w:r>
          </w:p>
        </w:tc>
        <w:tc>
          <w:tcPr>
            <w:tcW w:type="dxa" w:w="14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Unhealthy %</w:t>
            </w:r>
          </w:p>
        </w:tc>
      </w:tr>
      <w:tr>
        <w:trPr>
          <w:tblHeader w:val="false"/>
        </w:trP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Ahmedabad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1,334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356.0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384.5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2,049</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1,092</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81.9%</w:t>
            </w:r>
          </w:p>
        </w:tc>
      </w:tr>
      <w:tr>
        <w:trPr>
          <w:tblHeader w:val="false"/>
        </w:trP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Delhi</w:t>
            </w:r>
          </w:p>
        </w:tc>
        <w:tc>
          <w:tcPr>
            <w:tcW w:type="dxa" w:w="1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1,999</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258.1</w:t>
            </w:r>
          </w:p>
        </w:tc>
        <w:tc>
          <w:tcPr>
            <w:tcW w:type="dxa" w:w="1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257.0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716</w:t>
            </w:r>
          </w:p>
        </w:tc>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1,301</w:t>
            </w:r>
          </w:p>
        </w:tc>
        <w:tc>
          <w:tcPr>
            <w:tcW w:type="dxa" w:w="14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65.1%</w:t>
            </w:r>
          </w:p>
        </w:tc>
      </w:tr>
      <w:tr>
        <w:trPr>
          <w:tblHeader w:val="false"/>
        </w:trP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Lucknow</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1,893</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217.5</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198.0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707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935</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49.4%</w:t>
            </w:r>
          </w:p>
        </w:tc>
      </w:tr>
      <w:tr>
        <w:trPr>
          <w:tblHeader w:val="false"/>
        </w:trP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Kolkata</w:t>
            </w:r>
          </w:p>
        </w:tc>
        <w:tc>
          <w:tcPr>
            <w:tcW w:type="dxa" w:w="1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754</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140.6</w:t>
            </w:r>
          </w:p>
        </w:tc>
        <w:tc>
          <w:tcPr>
            <w:tcW w:type="dxa" w:w="1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94.0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475</w:t>
            </w:r>
          </w:p>
        </w:tc>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198</w:t>
            </w:r>
          </w:p>
        </w:tc>
        <w:tc>
          <w:tcPr>
            <w:tcW w:type="dxa" w:w="14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26.3%</w:t>
            </w:r>
          </w:p>
        </w:tc>
      </w:tr>
      <w:tr>
        <w:trPr>
          <w:tblHeader w:val="false"/>
        </w:trP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Chennai</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1,884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114.5</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100.0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449</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127</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6.7%</w:t>
            </w:r>
          </w:p>
        </w:tc>
      </w:tr>
      <w:tr>
        <w:trPr>
          <w:tblHeader w:val="false"/>
        </w:trP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Mumbai</w:t>
            </w:r>
          </w:p>
        </w:tc>
        <w:tc>
          <w:tcPr>
            <w:tcW w:type="dxa" w:w="1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775</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105.4</w:t>
            </w:r>
          </w:p>
        </w:tc>
        <w:tc>
          <w:tcPr>
            <w:tcW w:type="dxa" w:w="1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91.0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307</w:t>
            </w:r>
          </w:p>
        </w:tc>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36</w:t>
            </w:r>
          </w:p>
        </w:tc>
        <w:tc>
          <w:tcPr>
            <w:tcW w:type="dxa" w:w="14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4.6%</w:t>
            </w:r>
          </w:p>
        </w:tc>
      </w:tr>
      <w:tr>
        <w:trPr>
          <w:tblHeader w:val="false"/>
        </w:trP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Hyderabad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1,880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109.0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104.0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737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71</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3.8%</w:t>
            </w:r>
          </w:p>
        </w:tc>
      </w:tr>
      <w:tr>
        <w:trPr>
          <w:tblHeader w:val="false"/>
        </w:trP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Bengaluru</w:t>
            </w:r>
          </w:p>
        </w:tc>
        <w:tc>
          <w:tcPr>
            <w:tcW w:type="dxa" w:w="1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1,910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94.3</w:t>
            </w:r>
          </w:p>
        </w:tc>
        <w:tc>
          <w:tcPr>
            <w:tcW w:type="dxa" w:w="1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86.0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352</w:t>
            </w:r>
          </w:p>
        </w:tc>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41</w:t>
            </w:r>
          </w:p>
        </w:tc>
        <w:tc>
          <w:tcPr>
            <w:tcW w:type="dxa" w:w="14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2.1%</w:t>
            </w:r>
          </w:p>
        </w:tc>
      </w:tr>
    </w:tbl>
    <w:p>
      <w:pPr>
        <w:spacing w:after="100" w:before="0"/>
        <w:jc w:val="left"/>
      </w:pPr>
      <w:r>
        <w:rPr>
          <w:rFonts w:ascii="Calibri" w:cs="Calibri" w:eastAsia="Calibri" w:hAnsi="Calibri"/>
          <w:b w:val="false"/>
          <w:bCs w:val="false"/>
          <w:i w:val="false"/>
          <w:iCs w:val="false"/>
          <w:color w:val="111827"/>
          <w:sz w:val="22"/>
          <w:szCs w:val="22"/>
        </w:rPr>
        <w:t xml:space="preserve"/>
      </w:r>
    </w:p>
    <w:p>
      <w:pPr>
        <w:spacing w:after="120" w:before="0"/>
        <w:jc w:val="left"/>
      </w:pPr>
      <w:r>
        <w:rPr>
          <w:rFonts w:ascii="Calibri" w:cs="Calibri" w:eastAsia="Calibri" w:hAnsi="Calibri"/>
          <w:b w:val="false"/>
          <w:bCs w:val="false"/>
          <w:i w:val="false"/>
          <w:iCs w:val="false"/>
          <w:color w:val="111827"/>
          <w:sz w:val="22"/>
          <w:szCs w:val="22"/>
        </w:rPr>
        <w:t xml:space="preserve">Note: Ahmedabad’s 81.9% figure must be interpreted with caution. Raw AQI values up to 2,049 indicate sensor malfunctions or data-entry errors. Its capped mean AQI of 356.0 (vs raw mean of 452) still reflects a genuine but overstated pollution problem.</w:t>
      </w:r>
    </w:p>
    <w:p>
      <w:pPr>
        <w:pStyle w:val="Heading2"/>
        <w:spacing w:after="120" w:before="280"/>
      </w:pPr>
      <w:r>
        <w:rPr>
          <w:rFonts w:ascii="Calibri" w:cs="Calibri" w:eastAsia="Calibri" w:hAnsi="Calibri"/>
          <w:b/>
          <w:bCs/>
          <w:color w:val="2563EB"/>
          <w:sz w:val="26"/>
          <w:szCs w:val="26"/>
        </w:rPr>
        <w:t xml:space="preserve">7.3 Seasonal Exposure  [Fig. 14]</w:t>
      </w:r>
    </w:p>
    <w:p>
      <w:pPr>
        <w:spacing w:after="120" w:before="0"/>
        <w:jc w:val="left"/>
      </w:pPr>
      <w:r>
        <w:rPr>
          <w:rFonts w:ascii="Calibri" w:cs="Calibri" w:eastAsia="Calibri" w:hAnsi="Calibri"/>
          <w:b w:val="false"/>
          <w:bCs w:val="false"/>
          <w:i w:val="false"/>
          <w:iCs w:val="false"/>
          <w:color w:val="111827"/>
          <w:sz w:val="22"/>
          <w:szCs w:val="22"/>
        </w:rPr>
        <w:t xml:space="preserve">The city × month heatmap shows October–January carries near-100% unhealthy day rates for Delhi and Lucknow. During monsoon months (June–September), even Delhi drops significantly. Southern cities show near-zero unhealthy days year-round.</w:t>
      </w:r>
    </w:p>
    <w:p>
      <w:pPr>
        <w:pStyle w:val="Heading2"/>
        <w:spacing w:after="120" w:before="280"/>
      </w:pPr>
      <w:r>
        <w:rPr>
          <w:rFonts w:ascii="Calibri" w:cs="Calibri" w:eastAsia="Calibri" w:hAnsi="Calibri"/>
          <w:b/>
          <w:bCs/>
          <w:color w:val="2563EB"/>
          <w:sz w:val="26"/>
          <w:szCs w:val="26"/>
        </w:rPr>
        <w:t xml:space="preserve">7.4 AQI Category Mix  [Fig. 13]</w:t>
      </w:r>
    </w:p>
    <w:p>
      <w:pPr>
        <w:spacing w:after="120" w:before="0"/>
        <w:jc w:val="left"/>
      </w:pPr>
      <w:r>
        <w:rPr>
          <w:rFonts w:ascii="Calibri" w:cs="Calibri" w:eastAsia="Calibri" w:hAnsi="Calibri"/>
          <w:b w:val="false"/>
          <w:bCs w:val="false"/>
          <w:i w:val="false"/>
          <w:iCs w:val="false"/>
          <w:color w:val="111827"/>
          <w:sz w:val="22"/>
          <w:szCs w:val="22"/>
        </w:rPr>
        <w:t xml:space="preserve">The stacked bar chart confirms the north–south divide visually. Bengaluru and Mumbai are dominated by green (Good/Satisfactory) bars. Delhi and Lucknow show large red/dark-red segments for Very Poor and Severe.</w:t>
      </w:r>
    </w:p>
    <w:tbl>
      <w:tblPr>
        <w:tblW w:type="dxa" w:w="9026"/>
        <w:tblBorders>
          <w:top w:val="single" w:color="2563EB" w:sz="4"/>
          <w:left w:val="single" w:color="2563EB" w:sz="4"/>
          <w:bottom w:val="single" w:color="2563EB" w:sz="4"/>
          <w:right w:val="single" w:color="2563EB" w:sz="4"/>
          <w:insideH w:val="single" w:color="auto" w:sz="4"/>
          <w:insideV w:val="single" w:color="auto" w:sz="4"/>
        </w:tblBorders>
      </w:tblPr>
      <w:tblGrid>
        <w:gridCol w:w="9026"/>
      </w:tblGrid>
      <w:tr>
        <w:tc>
          <w:tcPr>
            <w:tcW w:type="dxa" w:w="9026"/>
            <w:tcBorders>
              <w:top w:val="single" w:color="2563EB" w:sz="1"/>
              <w:left w:val="single" w:color="2563EB" w:sz="1"/>
              <w:bottom w:val="single" w:color="2563EB" w:sz="1"/>
              <w:right w:val="single" w:color="2563EB" w:sz="1"/>
            </w:tcBorders>
            <w:shd w:fill="DBEAFE" w:val="clear"/>
            <w:tcMar>
              <w:top w:type="dxa" w:w="120"/>
              <w:left w:type="dxa" w:w="200"/>
              <w:bottom w:type="dxa" w:w="120"/>
              <w:right w:type="dxa" w:w="200"/>
            </w:tcMar>
          </w:tcPr>
          <w:p>
            <w:r>
              <w:rPr>
                <w:rFonts w:ascii="Calibri" w:cs="Calibri" w:eastAsia="Calibri" w:hAnsi="Calibri"/>
                <w:i/>
                <w:iCs/>
                <w:color w:val="1B3A6B"/>
                <w:sz w:val="21"/>
                <w:szCs w:val="21"/>
              </w:rPr>
              <w:t xml:space="preserve">Key Takeaway (RQ3): 26.0% of Indian city-days are unhealthy (AQI &gt; 200). Moderate (35.5%) is the most common single category. Delhi (65.1%) and Ahmedabad (81.9%, partially data-quality inflated) are worst hit. Southern cities stay below 5% year-round.</w:t>
            </w:r>
          </w:p>
        </w:tc>
      </w:tr>
    </w:tbl>
    <w:p>
      <w:pPr>
        <w:spacing w:after="0"/>
      </w:pPr>
      <w:r>
        <w:br w:type="page"/>
      </w:r>
    </w:p>
    <w:p>
      <w:pPr>
        <w:pStyle w:val="Heading1"/>
        <w:pBdr>
          <w:bottom w:val="single" w:color="1B3A6B" w:sz="6" w:space="6"/>
        </w:pBdr>
        <w:spacing w:after="160" w:before="360"/>
      </w:pPr>
      <w:r>
        <w:rPr>
          <w:rFonts w:ascii="Calibri" w:cs="Calibri" w:eastAsia="Calibri" w:hAnsi="Calibri"/>
          <w:b/>
          <w:bCs/>
          <w:color w:val="1B3A6B"/>
          <w:sz w:val="32"/>
          <w:szCs w:val="32"/>
        </w:rPr>
        <w:t xml:space="preserve">8. Discussion</w:t>
      </w:r>
    </w:p>
    <w:p>
      <w:pPr>
        <w:pStyle w:val="Heading2"/>
        <w:spacing w:after="120" w:before="280"/>
      </w:pPr>
      <w:r>
        <w:rPr>
          <w:rFonts w:ascii="Calibri" w:cs="Calibri" w:eastAsia="Calibri" w:hAnsi="Calibri"/>
          <w:b/>
          <w:bCs/>
          <w:color w:val="2563EB"/>
          <w:sz w:val="26"/>
          <w:szCs w:val="26"/>
        </w:rPr>
        <w:t xml:space="preserve">8.1 North–South Divide</w:t>
      </w:r>
    </w:p>
    <w:p>
      <w:pPr>
        <w:spacing w:after="120" w:before="0"/>
        <w:jc w:val="left"/>
      </w:pPr>
      <w:r>
        <w:rPr>
          <w:rFonts w:ascii="Calibri" w:cs="Calibri" w:eastAsia="Calibri" w:hAnsi="Calibri"/>
          <w:b w:val="false"/>
          <w:bCs w:val="false"/>
          <w:i w:val="false"/>
          <w:iCs w:val="false"/>
          <w:color w:val="111827"/>
          <w:sz w:val="22"/>
          <w:szCs w:val="22"/>
        </w:rPr>
        <w:t xml:space="preserve">The geographic contrast between northern and southern India is the most striking pattern. The Indo-Gangetic Plain’s flat terrain and cold winter inversions trap pollutants near the surface. Northern agriculture generates large-scale stubble burning in October–November. Southern cities benefit from sea breezes, higher temperatures, and lower industrial density.</w:t>
      </w:r>
    </w:p>
    <w:p>
      <w:pPr>
        <w:pStyle w:val="Heading2"/>
        <w:spacing w:after="120" w:before="280"/>
      </w:pPr>
      <w:r>
        <w:rPr>
          <w:rFonts w:ascii="Calibri" w:cs="Calibri" w:eastAsia="Calibri" w:hAnsi="Calibri"/>
          <w:b/>
          <w:bCs/>
          <w:color w:val="2563EB"/>
          <w:sz w:val="26"/>
          <w:szCs w:val="26"/>
        </w:rPr>
        <w:t xml:space="preserve">8.2 Particulate Matter as the Priority Pollutant</w:t>
      </w:r>
    </w:p>
    <w:p>
      <w:pPr>
        <w:spacing w:after="120" w:before="0"/>
        <w:jc w:val="left"/>
      </w:pPr>
      <w:r>
        <w:rPr>
          <w:rFonts w:ascii="Calibri" w:cs="Calibri" w:eastAsia="Calibri" w:hAnsi="Calibri"/>
          <w:b w:val="false"/>
          <w:bCs w:val="false"/>
          <w:i w:val="false"/>
          <w:iCs w:val="false"/>
          <w:color w:val="111827"/>
          <w:sz w:val="22"/>
          <w:szCs w:val="22"/>
        </w:rPr>
        <w:t xml:space="preserve">The dominance of PM10 and PM2.5 (correlations of 0.80 and 0.67 respectively) has clear policy implications. Interventions targeting particulate emissions — vehicle exhaust standards, industrial controls, stubble burning bans, construction dust suppression — will have the greatest leverage on measured AQI. Ozone control (r = 0.20) would have limited impact on the headline AQI number.</w:t>
      </w:r>
    </w:p>
    <w:p>
      <w:pPr>
        <w:pStyle w:val="Heading2"/>
        <w:spacing w:after="120" w:before="280"/>
      </w:pPr>
      <w:r>
        <w:rPr>
          <w:rFonts w:ascii="Calibri" w:cs="Calibri" w:eastAsia="Calibri" w:hAnsi="Calibri"/>
          <w:b/>
          <w:bCs/>
          <w:color w:val="2563EB"/>
          <w:sz w:val="26"/>
          <w:szCs w:val="26"/>
        </w:rPr>
        <w:t xml:space="preserve">8.3 COVID-19 as a Natural Experiment</w:t>
      </w:r>
    </w:p>
    <w:p>
      <w:pPr>
        <w:spacing w:after="120" w:before="0"/>
        <w:jc w:val="left"/>
      </w:pPr>
      <w:r>
        <w:rPr>
          <w:rFonts w:ascii="Calibri" w:cs="Calibri" w:eastAsia="Calibri" w:hAnsi="Calibri"/>
          <w:b w:val="false"/>
          <w:bCs w:val="false"/>
          <w:i w:val="false"/>
          <w:iCs w:val="false"/>
          <w:color w:val="111827"/>
          <w:sz w:val="22"/>
          <w:szCs w:val="22"/>
        </w:rPr>
        <w:t xml:space="preserve">The lockdown-period AQI drop in 25 of 26 cities quantifies the anthropogenic contribution to air pollution. Mumbai saw AQI fall by 55% (143.8 to 63.9), Kolkata by 68% (178.8 to 56.6), and Delhi by 45% (234.9 to 129.3). These figures suggest targeted short-term interventions can produce rapid, measurable improvements.</w:t>
      </w:r>
    </w:p>
    <w:p>
      <w:pPr>
        <w:pStyle w:val="Heading2"/>
        <w:spacing w:after="120" w:before="280"/>
      </w:pPr>
      <w:r>
        <w:rPr>
          <w:rFonts w:ascii="Calibri" w:cs="Calibri" w:eastAsia="Calibri" w:hAnsi="Calibri"/>
          <w:b/>
          <w:bCs/>
          <w:color w:val="2563EB"/>
          <w:sz w:val="26"/>
          <w:szCs w:val="26"/>
        </w:rPr>
        <w:t xml:space="preserve">8.4 Limitations</w:t>
      </w:r>
    </w:p>
    <w:p>
      <w:pPr>
        <w:pStyle w:val="ListParagraph"/>
        <w:numPr>
          <w:ilvl w:val="0"/>
          <w:numId w:val="3"/>
        </w:numPr>
        <w:spacing w:after="80"/>
      </w:pPr>
      <w:r>
        <w:rPr>
          <w:rFonts w:ascii="Calibri" w:cs="Calibri" w:eastAsia="Calibri" w:hAnsi="Calibri"/>
          <w:color w:val="111827"/>
          <w:sz w:val="22"/>
          <w:szCs w:val="22"/>
        </w:rPr>
        <w:t xml:space="preserve">Dataset ends July 2020, limiting long-term trend analysis.</w:t>
      </w:r>
    </w:p>
    <w:p>
      <w:pPr>
        <w:pStyle w:val="ListParagraph"/>
        <w:numPr>
          <w:ilvl w:val="0"/>
          <w:numId w:val="3"/>
        </w:numPr>
        <w:spacing w:after="80"/>
      </w:pPr>
      <w:r>
        <w:rPr>
          <w:rFonts w:ascii="Calibri" w:cs="Calibri" w:eastAsia="Calibri" w:hAnsi="Calibri"/>
          <w:color w:val="111827"/>
          <w:sz w:val="22"/>
          <w:szCs w:val="22"/>
        </w:rPr>
        <w:t xml:space="preserve">Ahmedabad data quality issues (raw max AQI = 2,049) inflate its statistics; interpret with caution.</w:t>
      </w:r>
    </w:p>
    <w:p>
      <w:pPr>
        <w:pStyle w:val="ListParagraph"/>
        <w:numPr>
          <w:ilvl w:val="0"/>
          <w:numId w:val="3"/>
        </w:numPr>
        <w:spacing w:after="80"/>
      </w:pPr>
      <w:r>
        <w:rPr>
          <w:rFonts w:ascii="Calibri" w:cs="Calibri" w:eastAsia="Calibri" w:hAnsi="Calibri"/>
          <w:color w:val="111827"/>
          <w:sz w:val="22"/>
          <w:szCs w:val="22"/>
        </w:rPr>
        <w:t xml:space="preserve">Analysis is at city level; within-city neighbourhood variation cannot be assessed.</w:t>
      </w:r>
    </w:p>
    <w:p>
      <w:pPr>
        <w:pStyle w:val="ListParagraph"/>
        <w:numPr>
          <w:ilvl w:val="0"/>
          <w:numId w:val="3"/>
        </w:numPr>
        <w:spacing w:after="80"/>
      </w:pPr>
      <w:r>
        <w:rPr>
          <w:rFonts w:ascii="Calibri" w:cs="Calibri" w:eastAsia="Calibri" w:hAnsi="Calibri"/>
          <w:color w:val="111827"/>
          <w:sz w:val="22"/>
          <w:szCs w:val="22"/>
        </w:rPr>
        <w:t xml:space="preserve">Correlation identifies associations, not causation. Meteorological confounders are not controlled.</w:t>
      </w:r>
    </w:p>
    <w:p>
      <w:pPr>
        <w:pStyle w:val="ListParagraph"/>
        <w:numPr>
          <w:ilvl w:val="0"/>
          <w:numId w:val="3"/>
        </w:numPr>
        <w:spacing w:after="80"/>
      </w:pPr>
      <w:r>
        <w:rPr>
          <w:rFonts w:ascii="Calibri" w:cs="Calibri" w:eastAsia="Calibri" w:hAnsi="Calibri"/>
          <w:color w:val="111827"/>
          <w:sz w:val="22"/>
          <w:szCs w:val="22"/>
        </w:rPr>
        <w:t xml:space="preserve">Unequal city record counts (Kolkata: 754 vs Delhi: 1,999 days) create unequal statistical power.</w:t>
      </w:r>
    </w:p>
    <w:p>
      <w:pPr>
        <w:spacing w:after="0"/>
      </w:pPr>
      <w:r>
        <w:br w:type="page"/>
      </w:r>
    </w:p>
    <w:p>
      <w:pPr>
        <w:pStyle w:val="Heading1"/>
        <w:pBdr>
          <w:bottom w:val="single" w:color="1B3A6B" w:sz="6" w:space="6"/>
        </w:pBdr>
        <w:spacing w:after="160" w:before="360"/>
      </w:pPr>
      <w:r>
        <w:rPr>
          <w:rFonts w:ascii="Calibri" w:cs="Calibri" w:eastAsia="Calibri" w:hAnsi="Calibri"/>
          <w:b/>
          <w:bCs/>
          <w:color w:val="1B3A6B"/>
          <w:sz w:val="32"/>
          <w:szCs w:val="32"/>
        </w:rPr>
        <w:t xml:space="preserve">9. Team Contributions</w:t>
      </w:r>
    </w:p>
    <w:p>
      <w:pPr>
        <w:spacing w:after="120" w:before="0"/>
        <w:jc w:val="left"/>
      </w:pPr>
      <w:r>
        <w:rPr>
          <w:rFonts w:ascii="Calibri" w:cs="Calibri" w:eastAsia="Calibri" w:hAnsi="Calibri"/>
          <w:b w:val="false"/>
          <w:bCs w:val="false"/>
          <w:i w:val="false"/>
          <w:iCs w:val="false"/>
          <w:color w:val="111827"/>
          <w:sz w:val="22"/>
          <w:szCs w:val="22"/>
        </w:rPr>
        <w:t xml:space="preserve">This project was completed collaboratively. The following table documents each team member’s primary responsibilities and contributions:</w:t>
      </w:r>
    </w:p>
    <w:p>
      <w:pPr>
        <w:spacing w:after="120" w:before="0"/>
        <w:jc w:val="left"/>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Team Member</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Role</w:t>
            </w:r>
          </w:p>
        </w:tc>
        <w:tc>
          <w:tcPr>
            <w:tcW w:type="dxa" w:w="52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Primary Responsibilities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Yash David Bedekar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Project Lead &amp; Data Engineer</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Overall project coordination and timeline management; Kaggle environment setup (kaggle.com/code/yashbedekar07/air-quality-index-aqi-analysis) and dataset integration; data ingestion pipeline; cleaning pipeline design — missing value profiling, column selection, AQI row removal, outlier capping; feature engineering (Year, Month, Season, DayOfWeek, Unhealthy flag); requirements.txt and reproducibility</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Surya Koushik Palla</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Data Analyst &amp; Visualisation Lead</w:t>
            </w:r>
          </w:p>
        </w:tc>
        <w:tc>
          <w:tcPr>
            <w:tcW w:type="dxa" w:w="52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All 14 publication-quality charts (Figs. 01–14); RQ1 temporal analysis — monthly trend, year-on-year chart, seasonal cycle, day-of-week with ±1 SD error bars; chart theme, colour palette (CAT_COLORS), and annotation standards; interpretation print statements in notebook; ZIP export cell</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Aryaman Negi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Statistical Analyst</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RQ2 pollutant relationship analysis — Pearson correlation matrix (PM10 r=0.80, CO r=0.69, PM2.5 r=0.67), pollutant-by-category charts, PM boxplots, PM10 scatter (n=5,000 sampled); outlier detection and AQI_capped methodology; descriptive statistics tables (Tables 02, 03); city-level summary statistics for all 26 cities; data quality documentation</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Arda Onhun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Insights &amp; Reporting Lead</w:t>
            </w:r>
          </w:p>
        </w:tc>
        <w:tc>
          <w:tcPr>
            <w:tcW w:type="dxa" w:w="52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111827"/>
                <w:sz w:val="20"/>
                <w:szCs w:val="20"/>
              </w:rPr>
              <w:t xml:space="preserve">RQ3 city exposure analysis — unhealthy day ranking (26.0% overall), category mix chart, city-month heatmap, Table 07; COVID-19 lockdown comparison Table 06 and Fig. 07; key findings narrative (Section 10 of notebook); this project report (DOCX &amp; MD); README</w:t>
            </w:r>
          </w:p>
        </w:tc>
      </w:tr>
    </w:tbl>
    <w:p>
      <w:pPr>
        <w:spacing w:after="0"/>
      </w:pPr>
      <w:r>
        <w:br w:type="page"/>
      </w:r>
    </w:p>
    <w:p>
      <w:pPr>
        <w:pStyle w:val="Heading1"/>
        <w:pBdr>
          <w:bottom w:val="single" w:color="1B3A6B" w:sz="6" w:space="6"/>
        </w:pBdr>
        <w:spacing w:after="160" w:before="360"/>
      </w:pPr>
      <w:r>
        <w:rPr>
          <w:rFonts w:ascii="Calibri" w:cs="Calibri" w:eastAsia="Calibri" w:hAnsi="Calibri"/>
          <w:b/>
          <w:bCs/>
          <w:color w:val="1B3A6B"/>
          <w:sz w:val="32"/>
          <w:szCs w:val="32"/>
        </w:rPr>
        <w:t xml:space="preserve">10. Conclusion</w:t>
      </w:r>
    </w:p>
    <w:p>
      <w:pPr>
        <w:spacing w:after="120" w:before="0"/>
        <w:jc w:val="left"/>
      </w:pPr>
      <w:r>
        <w:rPr>
          <w:rFonts w:ascii="Calibri" w:cs="Calibri" w:eastAsia="Calibri" w:hAnsi="Calibri"/>
          <w:b w:val="false"/>
          <w:bCs w:val="false"/>
          <w:i w:val="false"/>
          <w:iCs w:val="false"/>
          <w:color w:val="111827"/>
          <w:sz w:val="22"/>
          <w:szCs w:val="22"/>
        </w:rPr>
        <w:t xml:space="preserve">This project delivered a comprehensive, reproducible data analytics study of air quality in India using 24,850 valid daily observations across 26 cities from 2015 to 2020. The three research questions were addressed through rigorous EDA, statistical profiling, and 14 publication-quality visualisations.</w:t>
      </w:r>
    </w:p>
    <w:p>
      <w:pPr>
        <w:spacing w:after="100" w:before="0"/>
        <w:jc w:val="left"/>
      </w:pPr>
      <w:r>
        <w:rPr>
          <w:rFonts w:ascii="Calibri" w:cs="Calibri" w:eastAsia="Calibri" w:hAnsi="Calibri"/>
          <w:b w:val="false"/>
          <w:bCs w:val="false"/>
          <w:i w:val="false"/>
          <w:iCs w:val="false"/>
          <w:color w:val="111827"/>
          <w:sz w:val="22"/>
          <w:szCs w:val="22"/>
        </w:rPr>
        <w:t xml:space="preserve"/>
      </w:r>
    </w:p>
    <w:p>
      <w:pPr>
        <w:spacing w:after="120" w:before="0"/>
        <w:jc w:val="left"/>
      </w:pPr>
      <w:r>
        <w:rPr>
          <w:rFonts w:ascii="Calibri" w:cs="Calibri" w:eastAsia="Calibri" w:hAnsi="Calibri"/>
          <w:b w:val="false"/>
          <w:bCs w:val="false"/>
          <w:i w:val="false"/>
          <w:iCs w:val="false"/>
          <w:color w:val="111827"/>
          <w:sz w:val="22"/>
          <w:szCs w:val="22"/>
        </w:rPr>
        <w:t xml:space="preserve">Three core conclusions emerge:</w:t>
      </w:r>
    </w:p>
    <w:p>
      <w:pPr>
        <w:spacing w:after="80" w:before="0"/>
        <w:jc w:val="left"/>
      </w:pPr>
      <w:r>
        <w:rPr>
          <w:rFonts w:ascii="Calibri" w:cs="Calibri" w:eastAsia="Calibri" w:hAnsi="Calibri"/>
          <w:b w:val="false"/>
          <w:bCs w:val="false"/>
          <w:i w:val="false"/>
          <w:iCs w:val="false"/>
          <w:color w:val="111827"/>
          <w:sz w:val="22"/>
          <w:szCs w:val="22"/>
        </w:rPr>
        <w:t xml:space="preserve"/>
      </w:r>
    </w:p>
    <w:p>
      <w:pPr>
        <w:pStyle w:val="ListParagraph"/>
        <w:numPr>
          <w:ilvl w:val="0"/>
          <w:numId w:val="3"/>
        </w:numPr>
        <w:spacing w:after="80"/>
      </w:pPr>
      <w:r>
        <w:rPr>
          <w:rFonts w:ascii="Calibri" w:cs="Calibri" w:eastAsia="Calibri" w:hAnsi="Calibri"/>
          <w:color w:val="111827"/>
          <w:sz w:val="22"/>
          <w:szCs w:val="22"/>
        </w:rPr>
        <w:t xml:space="preserve">Air quality is governed primarily by seasonal meteorology. Winter temperature inversions and post-monsoon stubble burning produce the worst pollution episodes (avg AQI ~221 and ~215 respectively). The monsoon provides natural cleansing (~116). Day-of-week patterns are negligible (158–164 range across all seven days).</w:t>
      </w:r>
    </w:p>
    <w:p>
      <w:pPr>
        <w:pStyle w:val="ListParagraph"/>
        <w:numPr>
          <w:ilvl w:val="0"/>
          <w:numId w:val="3"/>
        </w:numPr>
        <w:spacing w:after="80"/>
      </w:pPr>
      <w:r>
        <w:rPr>
          <w:rFonts w:ascii="Calibri" w:cs="Calibri" w:eastAsia="Calibri" w:hAnsi="Calibri"/>
          <w:color w:val="111827"/>
          <w:sz w:val="22"/>
          <w:szCs w:val="22"/>
        </w:rPr>
        <w:t xml:space="preserve">Particulate matter (PM10 r=0.80, PM2.5 r=0.67) and CO (r=0.69) are the dominant AQI drivers. Any policy targeting Indian urban air quality should prioritise particulate emission sources. Ozone (r=0.20) is not the primary driver.</w:t>
      </w:r>
    </w:p>
    <w:p>
      <w:pPr>
        <w:pStyle w:val="ListParagraph"/>
        <w:numPr>
          <w:ilvl w:val="0"/>
          <w:numId w:val="3"/>
        </w:numPr>
        <w:spacing w:after="80"/>
      </w:pPr>
      <w:r>
        <w:rPr>
          <w:rFonts w:ascii="Calibri" w:cs="Calibri" w:eastAsia="Calibri" w:hAnsi="Calibri"/>
          <w:color w:val="111827"/>
          <w:sz w:val="22"/>
          <w:szCs w:val="22"/>
        </w:rPr>
        <w:t xml:space="preserve">26.0% of Indian city-days are unhealthy (AQI &gt; 200). Moderate (35.5%) is the single most common category. The risk is heavily concentrated in northern cities (Delhi 65.1%, Lucknow 49.4%) during October–January. Southern cities (Bengaluru 2.1%, Hyderabad 3.8%) experience minimal unhealthy exposure year-round.</w:t>
      </w:r>
    </w:p>
    <w:p>
      <w:pPr>
        <w:spacing w:after="120" w:before="0"/>
        <w:jc w:val="left"/>
      </w:pPr>
      <w:r>
        <w:rPr>
          <w:rFonts w:ascii="Calibri" w:cs="Calibri" w:eastAsia="Calibri" w:hAnsi="Calibri"/>
          <w:b w:val="false"/>
          <w:bCs w:val="false"/>
          <w:i w:val="false"/>
          <w:iCs w:val="false"/>
          <w:color w:val="111827"/>
          <w:sz w:val="22"/>
          <w:szCs w:val="22"/>
        </w:rPr>
        <w:t xml:space="preserve"/>
      </w:r>
    </w:p>
    <w:p>
      <w:pPr>
        <w:spacing w:after="120" w:before="0"/>
        <w:jc w:val="left"/>
      </w:pPr>
      <w:r>
        <w:rPr>
          <w:rFonts w:ascii="Calibri" w:cs="Calibri" w:eastAsia="Calibri" w:hAnsi="Calibri"/>
          <w:b w:val="false"/>
          <w:bCs w:val="false"/>
          <w:i w:val="false"/>
          <w:iCs w:val="false"/>
          <w:color w:val="111827"/>
          <w:sz w:val="22"/>
          <w:szCs w:val="22"/>
        </w:rPr>
        <w:t xml:space="preserve">The COVID-19 natural experiment confirmed that anthropogenic emissions are significant and reducible. Even short-term reduction in vehicular and industrial activity produced measurable AQI improvements across 25 of 26 cities in the dataset. Future work could extend this analysis with post-2020 data, incorporate meteorological covariates, and apply predictive modelling to forecast AQI at city and neighbourhood level.</w:t>
      </w:r>
    </w:p>
    <w:p>
      <w:pPr>
        <w:pBdr>
          <w:bottom w:val="single" w:color="E5E7EB" w:sz="4" w:space="1"/>
        </w:pBdr>
        <w:spacing w:after="80" w:before="80"/>
      </w:pPr>
    </w:p>
    <w:p>
      <w:pPr>
        <w:spacing w:after="80" w:before="0"/>
        <w:jc w:val="left"/>
      </w:pPr>
      <w:r>
        <w:rPr>
          <w:rFonts w:ascii="Calibri" w:cs="Calibri" w:eastAsia="Calibri" w:hAnsi="Calibri"/>
          <w:b w:val="false"/>
          <w:bCs w:val="false"/>
          <w:i w:val="false"/>
          <w:iCs w:val="false"/>
          <w:color w:val="111827"/>
          <w:sz w:val="22"/>
          <w:szCs w:val="22"/>
        </w:rPr>
        <w:t xml:space="preserve"/>
      </w:r>
    </w:p>
    <w:p>
      <w:pPr>
        <w:pStyle w:val="Heading1"/>
        <w:pBdr>
          <w:bottom w:val="single" w:color="1B3A6B" w:sz="6" w:space="6"/>
        </w:pBdr>
        <w:spacing w:after="160" w:before="360"/>
      </w:pPr>
      <w:r>
        <w:rPr>
          <w:rFonts w:ascii="Calibri" w:cs="Calibri" w:eastAsia="Calibri" w:hAnsi="Calibri"/>
          <w:b/>
          <w:bCs/>
          <w:color w:val="1B3A6B"/>
          <w:sz w:val="32"/>
          <w:szCs w:val="32"/>
        </w:rPr>
        <w:t xml:space="preserve">11. References</w:t>
      </w:r>
    </w:p>
    <w:p>
      <w:pPr>
        <w:pStyle w:val="ListParagraph"/>
        <w:numPr>
          <w:ilvl w:val="0"/>
          <w:numId w:val="2"/>
        </w:numPr>
        <w:spacing w:after="80"/>
      </w:pPr>
      <w:r>
        <w:rPr>
          <w:rFonts w:ascii="Calibri" w:cs="Calibri" w:eastAsia="Calibri" w:hAnsi="Calibri"/>
          <w:b/>
          <w:bCs/>
          <w:sz w:val="22"/>
          <w:szCs w:val="22"/>
        </w:rPr>
        <w:t xml:space="preserve">Central Pollution Control Board (CPCB). </w:t>
      </w:r>
      <w:r>
        <w:rPr>
          <w:rFonts w:ascii="Calibri" w:cs="Calibri" w:eastAsia="Calibri" w:hAnsi="Calibri"/>
          <w:sz w:val="22"/>
          <w:szCs w:val="22"/>
        </w:rPr>
        <w:t xml:space="preserve">National Air Quality Index. Government of India. https://cpcb.nic.in</w:t>
      </w:r>
    </w:p>
    <w:p>
      <w:pPr>
        <w:pStyle w:val="ListParagraph"/>
        <w:numPr>
          <w:ilvl w:val="0"/>
          <w:numId w:val="2"/>
        </w:numPr>
        <w:spacing w:after="80"/>
      </w:pPr>
      <w:r>
        <w:rPr>
          <w:rFonts w:ascii="Calibri" w:cs="Calibri" w:eastAsia="Calibri" w:hAnsi="Calibri"/>
          <w:b/>
          <w:bCs/>
          <w:sz w:val="22"/>
          <w:szCs w:val="22"/>
        </w:rPr>
        <w:t xml:space="preserve">Rao, R. (2020). </w:t>
      </w:r>
      <w:r>
        <w:rPr>
          <w:rFonts w:ascii="Calibri" w:cs="Calibri" w:eastAsia="Calibri" w:hAnsi="Calibri"/>
          <w:sz w:val="22"/>
          <w:szCs w:val="22"/>
        </w:rPr>
        <w:t xml:space="preserve">Air Quality Data in India (2015–2020) [Dataset]. Kaggle. https://www.kaggle.com/datasets/rohanrao/air-quality-data-in-india</w:t>
      </w:r>
    </w:p>
    <w:p>
      <w:pPr>
        <w:pStyle w:val="ListParagraph"/>
        <w:numPr>
          <w:ilvl w:val="0"/>
          <w:numId w:val="2"/>
        </w:numPr>
        <w:spacing w:after="80"/>
      </w:pPr>
      <w:r>
        <w:rPr>
          <w:rFonts w:ascii="Calibri" w:cs="Calibri" w:eastAsia="Calibri" w:hAnsi="Calibri"/>
          <w:b/>
          <w:bCs/>
          <w:sz w:val="22"/>
          <w:szCs w:val="22"/>
        </w:rPr>
        <w:t xml:space="preserve">Bedekar, Y. D. (2026). </w:t>
      </w:r>
      <w:r>
        <w:rPr>
          <w:rFonts w:ascii="Calibri" w:cs="Calibri" w:eastAsia="Calibri" w:hAnsi="Calibri"/>
          <w:sz w:val="22"/>
          <w:szCs w:val="22"/>
        </w:rPr>
        <w:t xml:space="preserve">Air Quality Index (AQI) Analysis — India (2015–2020) [Kaggle Notebook]. https://www.kaggle.com/code/yashbedekar07/air-quality-index-aqi-analysis</w:t>
      </w:r>
    </w:p>
    <w:p>
      <w:pPr>
        <w:pStyle w:val="ListParagraph"/>
        <w:numPr>
          <w:ilvl w:val="0"/>
          <w:numId w:val="2"/>
        </w:numPr>
        <w:spacing w:after="80"/>
      </w:pPr>
      <w:r>
        <w:rPr>
          <w:rFonts w:ascii="Calibri" w:cs="Calibri" w:eastAsia="Calibri" w:hAnsi="Calibri"/>
          <w:b/>
          <w:bCs/>
          <w:sz w:val="22"/>
          <w:szCs w:val="22"/>
        </w:rPr>
        <w:t xml:space="preserve">McKinney, W. (2010). </w:t>
      </w:r>
      <w:r>
        <w:rPr>
          <w:rFonts w:ascii="Calibri" w:cs="Calibri" w:eastAsia="Calibri" w:hAnsi="Calibri"/>
          <w:sz w:val="22"/>
          <w:szCs w:val="22"/>
        </w:rPr>
        <w:t xml:space="preserve">Data Structures for Statistical Computing in Python. Proceedings of the 9th Python in Science Conference. pandas development team.</w:t>
      </w:r>
    </w:p>
    <w:p>
      <w:pPr>
        <w:pStyle w:val="ListParagraph"/>
        <w:numPr>
          <w:ilvl w:val="0"/>
          <w:numId w:val="2"/>
        </w:numPr>
        <w:spacing w:after="80"/>
      </w:pPr>
      <w:r>
        <w:rPr>
          <w:rFonts w:ascii="Calibri" w:cs="Calibri" w:eastAsia="Calibri" w:hAnsi="Calibri"/>
          <w:b/>
          <w:bCs/>
          <w:sz w:val="22"/>
          <w:szCs w:val="22"/>
        </w:rPr>
        <w:t xml:space="preserve">Hunter, J. D. (2007). </w:t>
      </w:r>
      <w:r>
        <w:rPr>
          <w:rFonts w:ascii="Calibri" w:cs="Calibri" w:eastAsia="Calibri" w:hAnsi="Calibri"/>
          <w:sz w:val="22"/>
          <w:szCs w:val="22"/>
        </w:rPr>
        <w:t xml:space="preserve">Matplotlib: A 2D Graphics Environment. Computing in Science &amp; Engineering, 9(3), 90–95.</w:t>
      </w:r>
    </w:p>
    <w:p>
      <w:pPr>
        <w:pStyle w:val="ListParagraph"/>
        <w:numPr>
          <w:ilvl w:val="0"/>
          <w:numId w:val="2"/>
        </w:numPr>
        <w:spacing w:after="80"/>
      </w:pPr>
      <w:r>
        <w:rPr>
          <w:rFonts w:ascii="Calibri" w:cs="Calibri" w:eastAsia="Calibri" w:hAnsi="Calibri"/>
          <w:b/>
          <w:bCs/>
          <w:sz w:val="22"/>
          <w:szCs w:val="22"/>
        </w:rPr>
        <w:t xml:space="preserve">Waskom, M. (2021). </w:t>
      </w:r>
      <w:r>
        <w:rPr>
          <w:rFonts w:ascii="Calibri" w:cs="Calibri" w:eastAsia="Calibri" w:hAnsi="Calibri"/>
          <w:sz w:val="22"/>
          <w:szCs w:val="22"/>
        </w:rPr>
        <w:t xml:space="preserve">Seaborn: Statistical Data Visualization. Journal of Open Source Software, 6(60), 3021.</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spacing w:after="0" w:before="0"/>
    </w:pPr>
    <w:r>
      <w:rPr>
        <w:rFonts w:ascii="Calibri" w:cs="Calibri" w:eastAsia="Calibri" w:hAnsi="Calibri"/>
        <w:color w:val="6B7280"/>
        <w:sz w:val="17"/>
        <w:szCs w:val="17"/>
      </w:rPr>
      <w:t xml:space="preserve">Yash Bedekar · Surya Palla · Aryaman Negi · Arda Onhun</w:t>
    </w:r>
    <w:r>
      <w:rPr>
        <w:rFonts w:ascii="Calibri" w:cs="Calibri" w:eastAsia="Calibri" w:hAnsi="Calibri"/>
        <w:color w:val="6B7280"/>
        <w:sz w:val="17"/>
        <w:szCs w:val="17"/>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tabs>
        <w:tab w:val="right" w:pos="9026"/>
      </w:tabs>
      <w:spacing w:after="0"/>
    </w:pPr>
    <w:r>
      <w:rPr>
        <w:rFonts w:ascii="Calibri" w:cs="Calibri" w:eastAsia="Calibri" w:hAnsi="Calibri"/>
        <w:b/>
        <w:bCs/>
        <w:color w:val="1B3A6B"/>
        <w:sz w:val="18"/>
        <w:szCs w:val="18"/>
      </w:rPr>
      <w:t xml:space="preserve">AQI Analysis Report — India (2015–2020)</w:t>
    </w:r>
    <w:r>
      <w:rPr>
        <w:rFonts w:ascii="Calibri" w:cs="Calibri" w:eastAsia="Calibri" w:hAnsi="Calibri"/>
        <w:sz w:val="18"/>
        <w:szCs w:val="18"/>
      </w:rPr>
      <w:t xml:space="preserve">	</w:t>
    </w:r>
    <w:r>
      <w:rPr>
        <w:rFonts w:ascii="Calibri" w:cs="Calibri" w:eastAsia="Calibri" w:hAnsi="Calibri"/>
        <w:i/>
        <w:iCs/>
        <w:color w:val="6B7280"/>
        <w:sz w:val="18"/>
        <w:szCs w:val="18"/>
      </w:rPr>
      <w:t xml:space="preserve">DA 120B | Data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3A6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2026-06-29T11:24:24.331Z</dcterms:created>
  <dcterms:modified xsi:type="dcterms:W3CDTF">2026-06-29T11:24:24.331Z</dcterms:modified>
</cp:coreProperties>
</file>

<file path=docProps/custom.xml><?xml version="1.0" encoding="utf-8"?>
<Properties xmlns="http://schemas.openxmlformats.org/officeDocument/2006/custom-properties" xmlns:vt="http://schemas.openxmlformats.org/officeDocument/2006/docPropsVTypes"/>
</file>