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Personal Knowledge OS — RAG System</w:t>
      </w:r>
    </w:p>
    <w:p>
      <w:pPr>
        <w:pStyle w:val="Heading1"/>
        <w:spacing w:after="400"/>
        <w:jc w:val="center"/>
      </w:pPr>
      <w:r>
        <w:t xml:space="preserve">Phase 3: Evaluation Framework — Technical Report</w:t>
      </w:r>
    </w:p>
    <w:p>
      <w:pPr>
        <w:pStyle w:val="Heading1"/>
        <w:spacing w:after="200" w:before="400"/>
      </w:pPr>
      <w:r>
        <w:t xml:space="preserve">1. Overview</w:t>
      </w:r>
    </w:p>
    <w:p>
      <w:pPr>
        <w:spacing w:after="200"/>
      </w:pPr>
      <w:r>
        <w:t xml:space="preserve">Phase 3 of the Personal Knowledge OS project established a production-grade evaluation framework to measure the quality of the RAG pipeline built in Phases 1 and 2. The objective was to move beyond subjective quality assessment ("the answer seems right") to quantitative, repeatable metrics that can detect regressions when the pipeline changes.</w:t>
      </w:r>
    </w:p>
    <w:p>
      <w:pPr>
        <w:spacing w:after="200"/>
      </w:pPr>
      <w:r>
        <w:t xml:space="preserve">The RAGAS library was evaluated and abandoned due to an unresolvable dependency conflict (</w:t>
      </w:r>
      <w:r>
        <w:rPr>
          <w:b/>
          <w:bCs/>
        </w:rPr>
        <w:t xml:space="preserve">langchain_community.chat_models.vertexai</w:t>
      </w:r>
      <w:r>
        <w:t xml:space="preserve"> removed from langchain-community). A custom LLM-as-judge evaluation framework was built from scratch, implementing the same algorithmic approach as RAGAS but without the broken dependency.</w:t>
      </w:r>
    </w:p>
    <w:p>
      <w:pPr>
        <w:pStyle w:val="Heading1"/>
        <w:spacing w:after="200" w:before="400"/>
      </w:pPr>
      <w:r>
        <w:t xml:space="preserve">2. Evaluation Architecture</w:t>
      </w:r>
    </w:p>
    <w:p>
      <w:pPr>
        <w:spacing w:after="100"/>
      </w:pPr>
      <w:r>
        <w:t xml:space="preserve">The evaluation pipeline consists of two decoupled scripts:</w:t>
      </w:r>
    </w:p>
    <w:p>
      <w:pPr>
        <w:pStyle w:val="ListParagraph"/>
        <w:numPr>
          <w:ilvl w:val="0"/>
          <w:numId w:val="2"/>
        </w:numPr>
        <w:spacing w:after="100"/>
      </w:pPr>
      <w:r>
        <w:t xml:space="preserve">eval/run_eval.py — runs the RAG pipeline over every question in the golden dataset and saves (question, answer, retrieved_contexts, ground_truth) to eval_results.json.</w:t>
      </w:r>
    </w:p>
    <w:p>
      <w:pPr>
        <w:pStyle w:val="ListParagraph"/>
        <w:numPr>
          <w:ilvl w:val="0"/>
          <w:numId w:val="2"/>
        </w:numPr>
        <w:spacing w:after="200"/>
      </w:pPr>
      <w:r>
        <w:t xml:space="preserve">eval/ragas_eval.py — reads eval_results.json and computes all four metrics using an evaluator LLM. Decoupled so scoring can be re-run without re-running the pipeline.</w:t>
      </w:r>
    </w:p>
    <w:p>
      <w:pPr>
        <w:spacing w:after="200"/>
      </w:pPr>
      <w:r>
        <w:t xml:space="preserve">Both scripts include resume logic — if interrupted mid-run due to rate limits, they skip already-completed records and continue from where they stopped. This was essential given the free-tier token limits encountered during development.</w:t>
      </w:r>
    </w:p>
    <w:p>
      <w:pPr>
        <w:pStyle w:val="Heading1"/>
        <w:spacing w:after="200" w:before="400"/>
      </w:pPr>
      <w:r>
        <w:t xml:space="preserve">3. Golden Dataset</w:t>
      </w:r>
    </w:p>
    <w:p>
      <w:pPr>
        <w:spacing w:after="200"/>
      </w:pPr>
      <w:r>
        <w:t xml:space="preserve">A 12-question golden dataset was hand-crafted over the test corpus (Aventro Motors tyre-changing procedure PDF). Ground truth was written by a human who read the source document — never generated by the pipeline being evaluated.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4472C4" w:color="FFFFFF" w:val="clear"/>
          </w:tcPr>
          <w:p>
            <w:pPr>
              <w:jc w:val="center"/>
            </w:pPr>
            <w:r>
              <w:rPr>
                <w:b/>
                <w:bCs/>
              </w:rPr>
              <w:t xml:space="preserve">Tier</w:t>
            </w:r>
          </w:p>
        </w:tc>
        <w:tc>
          <w:tcPr>
            <w:tcW w:type="dxa" w:w="1500"/>
            <w:shd w:fill="4472C4" w:color="FFFFFF" w:val="clear"/>
          </w:tcPr>
          <w:p>
            <w:pPr>
              <w:jc w:val="center"/>
            </w:pPr>
            <w:r>
              <w:rPr>
                <w:b/>
                <w:bCs/>
              </w:rPr>
              <w:t xml:space="preserve">Count</w:t>
            </w:r>
          </w:p>
        </w:tc>
        <w:tc>
          <w:tcPr>
            <w:tcW w:type="dxa" w:w="5500"/>
            <w:shd w:fill="4472C4" w:color="FFFFFF" w:val="clear"/>
          </w:tcPr>
          <w:p>
            <w:pPr>
              <w:jc w:val="center"/>
            </w:pPr>
            <w:r>
              <w:rPr>
                <w:b/>
                <w:bCs/>
              </w:rPr>
              <w:t xml:space="preserve">Purpose</w:t>
            </w:r>
          </w:p>
        </w:tc>
      </w:tr>
      <w:tr>
        <w:tc>
          <w:tcPr>
            <w:tcW w:type="dxa" w:w="2000"/>
          </w:tcPr>
          <w:p>
            <w:pPr>
              <w:jc w:val="center"/>
            </w:pPr>
            <w:r>
              <w:t xml:space="preserve">Easy</w:t>
            </w:r>
          </w:p>
        </w:tc>
        <w:tc>
          <w:tcPr>
            <w:tcW w:type="dxa" w:w="1500"/>
          </w:tcPr>
          <w:p>
            <w:pPr>
              <w:jc w:val="center"/>
            </w:pPr>
            <w:r>
              <w:t xml:space="preserve">3</w:t>
            </w:r>
          </w:p>
        </w:tc>
        <w:tc>
          <w:tcPr>
            <w:tcW w:type="dxa" w:w="5500"/>
          </w:tcPr>
          <w:p>
            <w:r>
              <w:t xml:space="preserve">Direct keyword-match questions (e.g. spare tyre location by model)</w:t>
            </w:r>
          </w:p>
        </w:tc>
      </w:tr>
      <w:tr>
        <w:tc>
          <w:tcPr>
            <w:tcW w:type="dxa" w:w="2000"/>
            <w:shd w:fill="D9E1F2" w:val="clear"/>
          </w:tcPr>
          <w:p>
            <w:pPr>
              <w:jc w:val="center"/>
            </w:pPr>
            <w:r>
              <w:t xml:space="preserve">Medium</w:t>
            </w:r>
          </w:p>
        </w:tc>
        <w:tc>
          <w:tcPr>
            <w:tcW w:type="dxa" w:w="1500"/>
            <w:shd w:fill="D9E1F2" w:val="clear"/>
          </w:tcPr>
          <w:p>
            <w:pPr>
              <w:jc w:val="center"/>
            </w:pPr>
            <w:r>
              <w:t xml:space="preserve">5</w:t>
            </w:r>
          </w:p>
        </w:tc>
        <w:tc>
          <w:tcPr>
            <w:tcW w:type="dxa" w:w="5500"/>
            <w:shd w:fill="D9E1F2" w:val="clear"/>
          </w:tcPr>
          <w:p>
            <w:r>
              <w:t xml:space="preserve">Procedural questions requiring understanding of step ordering</w:t>
            </w:r>
          </w:p>
        </w:tc>
      </w:tr>
      <w:tr>
        <w:tc>
          <w:tcPr>
            <w:tcW w:type="dxa" w:w="2000"/>
          </w:tcPr>
          <w:p>
            <w:pPr>
              <w:jc w:val="center"/>
            </w:pPr>
            <w:r>
              <w:t xml:space="preserve">Hard</w:t>
            </w:r>
          </w:p>
        </w:tc>
        <w:tc>
          <w:tcPr>
            <w:tcW w:type="dxa" w:w="1500"/>
          </w:tcPr>
          <w:p>
            <w:pPr>
              <w:jc w:val="center"/>
            </w:pPr>
            <w:r>
              <w:t xml:space="preserve">3</w:t>
            </w:r>
          </w:p>
        </w:tc>
        <w:tc>
          <w:tcPr>
            <w:tcW w:type="dxa" w:w="5500"/>
          </w:tcPr>
          <w:p>
            <w:r>
              <w:t xml:space="preserve">Inference and multi-fact questions requiring reasoning across chunks</w:t>
            </w:r>
          </w:p>
        </w:tc>
      </w:tr>
      <w:tr>
        <w:tc>
          <w:tcPr>
            <w:tcW w:type="dxa" w:w="2000"/>
            <w:shd w:fill="D9E1F2" w:val="clear"/>
          </w:tcPr>
          <w:p>
            <w:pPr>
              <w:jc w:val="center"/>
            </w:pPr>
            <w:r>
              <w:t xml:space="preserve">Trap</w:t>
            </w:r>
          </w:p>
        </w:tc>
        <w:tc>
          <w:tcPr>
            <w:tcW w:type="dxa" w:w="1500"/>
            <w:shd w:fill="D9E1F2" w:val="clear"/>
          </w:tcPr>
          <w:p>
            <w:pPr>
              <w:jc w:val="center"/>
            </w:pPr>
            <w:r>
              <w:t xml:space="preserve">1</w:t>
            </w:r>
          </w:p>
        </w:tc>
        <w:tc>
          <w:tcPr>
            <w:tcW w:type="dxa" w:w="5500"/>
            <w:shd w:fill="D9E1F2" w:val="clear"/>
          </w:tcPr>
          <w:p>
            <w:r>
              <w:t xml:space="preserve">Unanswerable question to test hallucination resistance</w:t>
            </w:r>
          </w:p>
        </w:tc>
      </w:tr>
    </w:tbl>
    <w:p>
      <w:pPr>
        <w:spacing w:after="200"/>
      </w:pPr>
    </w:p>
    <w:p>
      <w:pPr>
        <w:pStyle w:val="Heading1"/>
        <w:spacing w:after="200" w:before="400"/>
      </w:pPr>
      <w:r>
        <w:t xml:space="preserve">4. Evaluation Metrics</w:t>
      </w:r>
    </w:p>
    <w:p>
      <w:pPr>
        <w:spacing w:after="200"/>
      </w:pPr>
      <w:r>
        <w:t xml:space="preserve">Four metrics were implemented, covering both retrieval quality and generation quality independently. This decomposition is critical — a bad answer can originate from a retrieval failure or a generation failure, and the metrics isolate which component failed.</w:t>
      </w:r>
    </w:p>
    <w:p>
      <w:pPr>
        <w:pStyle w:val="Heading2"/>
        <w:spacing w:after="100" w:before="200"/>
      </w:pPr>
      <w:r>
        <w:t xml:space="preserve">4.1 Faithfulness</w:t>
      </w:r>
    </w:p>
    <w:p>
      <w:pPr>
        <w:spacing w:after="100"/>
      </w:pPr>
      <w:r>
        <w:rPr>
          <w:b/>
          <w:bCs/>
        </w:rPr>
        <w:t xml:space="preserve">What it measures: </w:t>
      </w:r>
      <w:r>
        <w:t xml:space="preserve">Whether every claim in the generated answer is supported by the retrieved context. Measures generator hallucination rate.</w:t>
      </w:r>
    </w:p>
    <w:p>
      <w:pPr>
        <w:spacing w:after="100"/>
      </w:pPr>
      <w:r>
        <w:rPr>
          <w:b/>
          <w:bCs/>
        </w:rPr>
        <w:t xml:space="preserve">Algorithm: </w:t>
      </w:r>
      <w:r>
        <w:t xml:space="preserve">The evaluator LLM decomposes the answer into atomic claims, then verifies each claim against the retrieved context in a single batched call. Score = supported claims / total claims.</w:t>
      </w:r>
    </w:p>
    <w:p>
      <w:pPr>
        <w:spacing w:after="200"/>
      </w:pPr>
      <w:r>
        <w:rPr>
          <w:b/>
          <w:bCs/>
        </w:rPr>
        <w:t xml:space="preserve">Failure mode caught: </w:t>
      </w:r>
      <w:r>
        <w:t xml:space="preserve">LLM blending in training-data knowledge instead of grounding on retrieved chunks.</w:t>
      </w:r>
    </w:p>
    <w:p>
      <w:pPr>
        <w:pStyle w:val="Heading2"/>
        <w:spacing w:after="100" w:before="200"/>
      </w:pPr>
      <w:r>
        <w:t xml:space="preserve">4.2 Context Precision</w:t>
      </w:r>
    </w:p>
    <w:p>
      <w:pPr>
        <w:spacing w:after="100"/>
      </w:pPr>
      <w:r>
        <w:rPr>
          <w:b/>
          <w:bCs/>
        </w:rPr>
        <w:t xml:space="preserve">What it measures: </w:t>
      </w:r>
      <w:r>
        <w:t xml:space="preserve">Of the chunks retrieved, what fraction were actually relevant to the ground-truth answer. Measures retriever signal-to-noise ratio.</w:t>
      </w:r>
    </w:p>
    <w:p>
      <w:pPr>
        <w:spacing w:after="100"/>
      </w:pPr>
      <w:r>
        <w:rPr>
          <w:b/>
          <w:bCs/>
        </w:rPr>
        <w:t xml:space="preserve">Algorithm: </w:t>
      </w:r>
      <w:r>
        <w:t xml:space="preserve">The evaluator LLM judges whether each retrieved chunk is useful for producing the expected answer. Score = relevant chunks / total chunks.</w:t>
      </w:r>
    </w:p>
    <w:p>
      <w:pPr>
        <w:spacing w:after="200"/>
      </w:pPr>
      <w:r>
        <w:rPr>
          <w:b/>
          <w:bCs/>
        </w:rPr>
        <w:t xml:space="preserve">Failure mode caught: </w:t>
      </w:r>
      <w:r>
        <w:t xml:space="preserve">Retriever fetching loosely-related chunks that dilute the context.</w:t>
      </w:r>
    </w:p>
    <w:p>
      <w:pPr>
        <w:pStyle w:val="Heading2"/>
        <w:spacing w:after="100" w:before="200"/>
      </w:pPr>
      <w:r>
        <w:t xml:space="preserve">4.3 Context Recall</w:t>
      </w:r>
    </w:p>
    <w:p>
      <w:pPr>
        <w:spacing w:after="100"/>
      </w:pPr>
      <w:r>
        <w:rPr>
          <w:b/>
          <w:bCs/>
        </w:rPr>
        <w:t xml:space="preserve">What it measures: </w:t>
      </w:r>
      <w:r>
        <w:t xml:space="preserve">Of all the information needed to answer the question, how much did the retriever surface. Measures retriever completeness.</w:t>
      </w:r>
    </w:p>
    <w:p>
      <w:pPr>
        <w:spacing w:after="100"/>
      </w:pPr>
      <w:r>
        <w:rPr>
          <w:b/>
          <w:bCs/>
        </w:rPr>
        <w:t xml:space="preserve">Algorithm: </w:t>
      </w:r>
      <w:r>
        <w:t xml:space="preserve">The evaluator LLM checks whether each sentence in the ground-truth answer can be inferred from the retrieved contexts. Score = covered sentences / total sentences.</w:t>
      </w:r>
    </w:p>
    <w:p>
      <w:pPr>
        <w:spacing w:after="200"/>
      </w:pPr>
      <w:r>
        <w:rPr>
          <w:b/>
          <w:bCs/>
        </w:rPr>
        <w:t xml:space="preserve">Failure mode caught: </w:t>
      </w:r>
      <w:r>
        <w:t xml:space="preserve">Retriever missing critical chunks — answer is incomplete even though the generator did its job.</w:t>
      </w:r>
    </w:p>
    <w:p>
      <w:pPr>
        <w:pStyle w:val="Heading2"/>
        <w:spacing w:after="100" w:before="200"/>
      </w:pPr>
      <w:r>
        <w:t xml:space="preserve">4.4 Answer Relevancy</w:t>
      </w:r>
    </w:p>
    <w:p>
      <w:pPr>
        <w:spacing w:after="100"/>
      </w:pPr>
      <w:r>
        <w:rPr>
          <w:b/>
          <w:bCs/>
        </w:rPr>
        <w:t xml:space="preserve">What it measures: </w:t>
      </w:r>
      <w:r>
        <w:t xml:space="preserve">Whether the answer actually addresses the question asked. Measures generator focus and coherence. The only metric that does not require ground truth.</w:t>
      </w:r>
    </w:p>
    <w:p>
      <w:pPr>
        <w:spacing w:after="100"/>
      </w:pPr>
      <w:r>
        <w:rPr>
          <w:b/>
          <w:bCs/>
        </w:rPr>
        <w:t xml:space="preserve">Algorithm: </w:t>
      </w:r>
      <w:r>
        <w:t xml:space="preserve">The evaluator LLM generates 3 synthetic questions from the answer. These are embedded using the local BGE model. Mean cosine similarity between the synthetic questions and the original question is the score. High similarity means the answer is focused on the question.</w:t>
      </w:r>
    </w:p>
    <w:p>
      <w:pPr>
        <w:spacing w:after="100"/>
      </w:pPr>
      <w:r>
        <w:rPr>
          <w:b/>
          <w:bCs/>
        </w:rPr>
        <w:t xml:space="preserve">Failure mode caught: </w:t>
      </w:r>
      <w:r>
        <w:t xml:space="preserve">Answers that are faithful to context but drift off-topic, or verbose non-answers.</w:t>
      </w:r>
    </w:p>
    <w:p>
      <w:pPr>
        <w:spacing w:after="200"/>
      </w:pPr>
      <w:r>
        <w:rPr>
          <w:b/>
          <w:bCs/>
        </w:rPr>
        <w:t xml:space="preserve">Refusal handling: </w:t>
      </w:r>
      <w:r>
        <w:t xml:space="preserve">Answers containing "I don't have enough information" are excluded from Answer Relevancy scoring (returned as NaN) — a correct refusal is appropriate behaviour, not irrelevance.</w:t>
      </w:r>
    </w:p>
    <w:p>
      <w:pPr>
        <w:pStyle w:val="Heading1"/>
        <w:spacing w:after="200" w:before="400"/>
      </w:pPr>
      <w:r>
        <w:t xml:space="preserve">5. Multi-Provider LLM Setup</w:t>
      </w:r>
    </w:p>
    <w:p>
      <w:pPr>
        <w:spacing w:after="200"/>
      </w:pPr>
      <w:r>
        <w:t xml:space="preserve">The evaluation framework supports three LLM providers, switchable via a single constant in config.py. This was necessary because free-tier rate limits were consistently hit during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4472C4" w:val="clear"/>
          </w:tcPr>
          <w:p>
            <w:pPr>
              <w:jc w:val="center"/>
            </w:pPr>
            <w:r>
              <w:rPr>
                <w:b/>
                <w:bCs/>
              </w:rPr>
              <w:t xml:space="preserve">Provider</w:t>
            </w:r>
          </w:p>
        </w:tc>
        <w:tc>
          <w:tcPr>
            <w:tcW w:type="dxa" w:w="3000"/>
            <w:shd w:fill="4472C4" w:val="clear"/>
          </w:tcPr>
          <w:p>
            <w:pPr>
              <w:jc w:val="center"/>
            </w:pPr>
            <w:r>
              <w:rPr>
                <w:b/>
                <w:bCs/>
              </w:rPr>
              <w:t xml:space="preserve">Model</w:t>
            </w:r>
          </w:p>
        </w:tc>
        <w:tc>
          <w:tcPr>
            <w:tcW w:type="dxa" w:w="2000"/>
            <w:shd w:fill="4472C4" w:val="clear"/>
          </w:tcPr>
          <w:p>
            <w:pPr>
              <w:jc w:val="center"/>
            </w:pPr>
            <w:r>
              <w:rPr>
                <w:b/>
                <w:bCs/>
              </w:rPr>
              <w:t xml:space="preserve">Free Limit</w:t>
            </w:r>
          </w:p>
        </w:tc>
        <w:tc>
          <w:tcPr>
            <w:tcW w:type="dxa" w:w="2000"/>
            <w:shd w:fill="4472C4" w:val="clear"/>
          </w:tcPr>
          <w:p>
            <w:pPr>
              <w:jc w:val="center"/>
            </w:pPr>
            <w:r>
              <w:rPr>
                <w:b/>
                <w:bCs/>
              </w:rPr>
              <w:t xml:space="preserve">Role</w:t>
            </w:r>
          </w:p>
        </w:tc>
      </w:tr>
      <w:tr>
        <w:tc>
          <w:tcPr>
            <w:tcW w:type="dxa" w:w="2000"/>
          </w:tcPr>
          <w:p>
            <w:r>
              <w:t xml:space="preserve">OpenRouter</w:t>
            </w:r>
          </w:p>
        </w:tc>
        <w:tc>
          <w:tcPr>
            <w:tcW w:type="dxa" w:w="3000"/>
          </w:tcPr>
          <w:p>
            <w:r>
              <w:t xml:space="preserve">nvidia/nemotron-3-nano-30b-a3b:free</w:t>
            </w:r>
          </w:p>
        </w:tc>
        <w:tc>
          <w:tcPr>
            <w:tcW w:type="dxa" w:w="2000"/>
          </w:tcPr>
          <w:p>
            <w:r>
              <w:t xml:space="preserve">50 req/day</w:t>
            </w:r>
          </w:p>
        </w:tc>
        <w:tc>
          <w:tcPr>
            <w:tcW w:type="dxa" w:w="2000"/>
          </w:tcPr>
          <w:p>
            <w:r>
              <w:t xml:space="preserve">Pipeline LLM</w:t>
            </w:r>
          </w:p>
        </w:tc>
      </w:tr>
      <w:tr>
        <w:tc>
          <w:tcPr>
            <w:tcW w:type="dxa" w:w="2000"/>
            <w:shd w:fill="D9E1F2" w:val="clear"/>
          </w:tcPr>
          <w:p>
            <w:r>
              <w:t xml:space="preserve">Groq</w:t>
            </w:r>
          </w:p>
        </w:tc>
        <w:tc>
          <w:tcPr>
            <w:tcW w:type="dxa" w:w="3000"/>
            <w:shd w:fill="D9E1F2" w:val="clear"/>
          </w:tcPr>
          <w:p>
            <w:r>
              <w:t xml:space="preserve">llama-3.3-70b-versatile</w:t>
            </w:r>
          </w:p>
        </w:tc>
        <w:tc>
          <w:tcPr>
            <w:tcW w:type="dxa" w:w="2000"/>
            <w:shd w:fill="D9E1F2" w:val="clear"/>
          </w:tcPr>
          <w:p>
            <w:r>
              <w:t xml:space="preserve">100K TPD</w:t>
            </w:r>
          </w:p>
        </w:tc>
        <w:tc>
          <w:tcPr>
            <w:tcW w:type="dxa" w:w="2000"/>
            <w:shd w:fill="D9E1F2" w:val="clear"/>
          </w:tcPr>
          <w:p>
            <w:r>
              <w:t xml:space="preserve">Primary Evaluator</w:t>
            </w:r>
          </w:p>
        </w:tc>
      </w:tr>
      <w:tr>
        <w:tc>
          <w:tcPr>
            <w:tcW w:type="dxa" w:w="2000"/>
          </w:tcPr>
          <w:p>
            <w:r>
              <w:t xml:space="preserve">Gemini</w:t>
            </w:r>
          </w:p>
        </w:tc>
        <w:tc>
          <w:tcPr>
            <w:tcW w:type="dxa" w:w="3000"/>
          </w:tcPr>
          <w:p>
            <w:r>
              <w:t xml:space="preserve">gemini-2.5-flash</w:t>
            </w:r>
          </w:p>
        </w:tc>
        <w:tc>
          <w:tcPr>
            <w:tcW w:type="dxa" w:w="2000"/>
          </w:tcPr>
          <w:p>
            <w:r>
              <w:t xml:space="preserve">1500 req/day</w:t>
            </w:r>
          </w:p>
        </w:tc>
        <w:tc>
          <w:tcPr>
            <w:tcW w:type="dxa" w:w="2000"/>
          </w:tcPr>
          <w:p>
            <w:r>
              <w:t xml:space="preserve">Fallback Evaluator</w:t>
            </w:r>
          </w:p>
        </w:tc>
      </w:tr>
    </w:tbl>
    <w:p>
      <w:pPr>
        <w:spacing w:after="200"/>
      </w:pPr>
    </w:p>
    <w:p>
      <w:pPr>
        <w:pStyle w:val="Heading1"/>
        <w:spacing w:after="200" w:before="400"/>
      </w:pPr>
      <w:r>
        <w:t xml:space="preserve">6. Final Results</w:t>
      </w:r>
    </w:p>
    <w:p>
      <w:pPr>
        <w:spacing w:after="200"/>
      </w:pPr>
      <w:r>
        <w:t xml:space="preserve">Three evaluation runs were conducted across different model configurations. Results below exclude the trap question (Q12) from aggregates, as trap questions break all LLM-as-judge metrics by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fill="4472C4" w:val="clear"/>
          </w:tcPr>
          <w:p>
            <w:pPr>
              <w:jc w:val="center"/>
            </w:pPr>
            <w:r>
              <w:rPr>
                <w:b/>
                <w:bCs/>
              </w:rPr>
              <w:t xml:space="preserve">Run</w:t>
            </w:r>
          </w:p>
        </w:tc>
        <w:tc>
          <w:tcPr>
            <w:tcW w:type="dxa" w:w="2500"/>
            <w:shd w:fill="4472C4" w:val="clear"/>
          </w:tcPr>
          <w:p>
            <w:pPr>
              <w:jc w:val="center"/>
            </w:pPr>
            <w:r>
              <w:rPr>
                <w:b/>
                <w:bCs/>
              </w:rPr>
              <w:t xml:space="preserve">Pipeline Model</w:t>
            </w:r>
          </w:p>
        </w:tc>
        <w:tc>
          <w:tcPr>
            <w:tcW w:type="dxa" w:w="1100"/>
            <w:shd w:fill="4472C4" w:val="clear"/>
          </w:tcPr>
          <w:p>
            <w:pPr>
              <w:jc w:val="center"/>
            </w:pPr>
            <w:r>
              <w:rPr>
                <w:b/>
                <w:bCs/>
              </w:rPr>
              <w:t xml:space="preserve">Faithfulness</w:t>
            </w:r>
          </w:p>
        </w:tc>
        <w:tc>
          <w:tcPr>
            <w:tcW w:type="dxa" w:w="1100"/>
            <w:shd w:fill="4472C4" w:val="clear"/>
          </w:tcPr>
          <w:p>
            <w:pPr>
              <w:jc w:val="center"/>
            </w:pPr>
            <w:r>
              <w:rPr>
                <w:b/>
                <w:bCs/>
              </w:rPr>
              <w:t xml:space="preserve">Ctx Precision</w:t>
            </w:r>
          </w:p>
        </w:tc>
        <w:tc>
          <w:tcPr>
            <w:tcW w:type="dxa" w:w="1100"/>
            <w:shd w:fill="4472C4" w:val="clear"/>
          </w:tcPr>
          <w:p>
            <w:pPr>
              <w:jc w:val="center"/>
            </w:pPr>
            <w:r>
              <w:rPr>
                <w:b/>
                <w:bCs/>
              </w:rPr>
              <w:t xml:space="preserve">Ctx Recall</w:t>
            </w:r>
          </w:p>
        </w:tc>
        <w:tc>
          <w:tcPr>
            <w:tcW w:type="dxa" w:w="1200"/>
            <w:shd w:fill="4472C4" w:val="clear"/>
          </w:tcPr>
          <w:p>
            <w:pPr>
              <w:jc w:val="center"/>
            </w:pPr>
            <w:r>
              <w:rPr>
                <w:b/>
                <w:bCs/>
              </w:rPr>
              <w:t xml:space="preserve">Ans Relevancy</w:t>
            </w:r>
          </w:p>
        </w:tc>
      </w:tr>
      <w:tr>
        <w:tc>
          <w:tcPr>
            <w:tcW w:type="dxa" w:w="2000"/>
          </w:tcPr>
          <w:p>
            <w:pPr>
              <w:jc w:val="center"/>
            </w:pPr>
            <w:r>
              <w:t xml:space="preserve">Run 1</w:t>
            </w:r>
          </w:p>
        </w:tc>
        <w:tc>
          <w:tcPr>
            <w:tcW w:type="dxa" w:w="2500"/>
          </w:tcPr>
          <w:p>
            <w:r>
              <w:t xml:space="preserve">Nemotron Nano 30B</w:t>
            </w:r>
          </w:p>
        </w:tc>
        <w:tc>
          <w:tcPr>
            <w:tcW w:type="dxa" w:w="1100"/>
          </w:tcPr>
          <w:p>
            <w:pPr>
              <w:jc w:val="center"/>
            </w:pPr>
            <w:r>
              <w:t xml:space="preserve">0.836</w:t>
            </w:r>
          </w:p>
        </w:tc>
        <w:tc>
          <w:tcPr>
            <w:tcW w:type="dxa" w:w="1100"/>
          </w:tcPr>
          <w:p>
            <w:pPr>
              <w:jc w:val="center"/>
            </w:pPr>
            <w:r>
              <w:t xml:space="preserve">0.327</w:t>
            </w:r>
          </w:p>
        </w:tc>
        <w:tc>
          <w:tcPr>
            <w:tcW w:type="dxa" w:w="1100"/>
          </w:tcPr>
          <w:p>
            <w:pPr>
              <w:jc w:val="center"/>
            </w:pPr>
            <w:r>
              <w:t xml:space="preserve">0.958</w:t>
            </w:r>
          </w:p>
        </w:tc>
        <w:tc>
          <w:tcPr>
            <w:tcW w:type="dxa" w:w="1200"/>
          </w:tcPr>
          <w:p>
            <w:pPr>
              <w:jc w:val="center"/>
            </w:pPr>
            <w:r>
              <w:t xml:space="preserve">—</w:t>
            </w:r>
          </w:p>
        </w:tc>
      </w:tr>
      <w:tr>
        <w:tc>
          <w:tcPr>
            <w:tcW w:type="dxa" w:w="2000"/>
            <w:shd w:fill="D9E1F2" w:val="clear"/>
          </w:tcPr>
          <w:p>
            <w:pPr>
              <w:jc w:val="center"/>
            </w:pPr>
            <w:r>
              <w:t xml:space="preserve">Run 2</w:t>
            </w:r>
          </w:p>
        </w:tc>
        <w:tc>
          <w:tcPr>
            <w:tcW w:type="dxa" w:w="2500"/>
            <w:shd w:fill="D9E1F2" w:val="clear"/>
          </w:tcPr>
          <w:p>
            <w:r>
              <w:t xml:space="preserve">Llama 3.3 70B (default rewriter)</w:t>
            </w:r>
          </w:p>
        </w:tc>
        <w:tc>
          <w:tcPr>
            <w:tcW w:type="dxa" w:w="1100"/>
            <w:shd w:fill="D9E1F2" w:val="clear"/>
          </w:tcPr>
          <w:p>
            <w:pPr>
              <w:jc w:val="center"/>
            </w:pPr>
            <w:r>
              <w:t xml:space="preserve">0.875</w:t>
            </w:r>
          </w:p>
        </w:tc>
        <w:tc>
          <w:tcPr>
            <w:tcW w:type="dxa" w:w="1100"/>
            <w:shd w:fill="D9E1F2" w:val="clear"/>
          </w:tcPr>
          <w:p>
            <w:pPr>
              <w:jc w:val="center"/>
            </w:pPr>
            <w:r>
              <w:t xml:space="preserve">0.337</w:t>
            </w:r>
          </w:p>
        </w:tc>
        <w:tc>
          <w:tcPr>
            <w:tcW w:type="dxa" w:w="1100"/>
            <w:shd w:fill="D9E1F2" w:val="clear"/>
          </w:tcPr>
          <w:p>
            <w:pPr>
              <w:jc w:val="center"/>
            </w:pPr>
            <w:r>
              <w:t xml:space="preserve">0.958</w:t>
            </w:r>
          </w:p>
        </w:tc>
        <w:tc>
          <w:tcPr>
            <w:tcW w:type="dxa" w:w="1200"/>
            <w:shd w:fill="D9E1F2" w:val="clear"/>
          </w:tcPr>
          <w:p>
            <w:pPr>
              <w:jc w:val="center"/>
            </w:pPr>
            <w:r>
              <w:t xml:space="preserve">—</w:t>
            </w:r>
          </w:p>
        </w:tc>
      </w:tr>
      <w:tr>
        <w:tc>
          <w:tcPr>
            <w:tcW w:type="dxa" w:w="2000"/>
            <w:shd w:fill="E2EFDA" w:val="clear"/>
          </w:tcPr>
          <w:p>
            <w:pPr>
              <w:jc w:val="center"/>
            </w:pPr>
            <w:r>
              <w:t xml:space="preserve">Run 3 ✓</w:t>
            </w:r>
          </w:p>
        </w:tc>
        <w:tc>
          <w:tcPr>
            <w:tcW w:type="dxa" w:w="2500"/>
            <w:shd w:fill="E2EFDA" w:val="clear"/>
          </w:tcPr>
          <w:p>
            <w:r>
              <w:t xml:space="preserve">Llama 3.3 70B (tighter rewriter)</w:t>
            </w:r>
          </w:p>
        </w:tc>
        <w:tc>
          <w:tcPr>
            <w:tcW w:type="dxa" w:w="1100"/>
            <w:shd w:fill="E2EFDA" w:val="clear"/>
          </w:tcPr>
          <w:p>
            <w:pPr>
              <w:jc w:val="center"/>
            </w:pPr>
            <w:r>
              <w:t xml:space="preserve">0.864</w:t>
            </w:r>
          </w:p>
        </w:tc>
        <w:tc>
          <w:tcPr>
            <w:tcW w:type="dxa" w:w="1100"/>
            <w:shd w:fill="E2EFDA" w:val="clear"/>
          </w:tcPr>
          <w:p>
            <w:pPr>
              <w:jc w:val="center"/>
            </w:pPr>
            <w:r>
              <w:t xml:space="preserve">0.345</w:t>
            </w:r>
          </w:p>
        </w:tc>
        <w:tc>
          <w:tcPr>
            <w:tcW w:type="dxa" w:w="1100"/>
            <w:shd w:fill="E2EFDA" w:val="clear"/>
          </w:tcPr>
          <w:p>
            <w:pPr>
              <w:jc w:val="center"/>
            </w:pPr>
            <w:r>
              <w:t xml:space="preserve">0.955</w:t>
            </w:r>
          </w:p>
        </w:tc>
        <w:tc>
          <w:tcPr>
            <w:tcW w:type="dxa" w:w="1200"/>
            <w:shd w:fill="E2EFDA" w:val="clear"/>
          </w:tcPr>
          <w:p>
            <w:pPr>
              <w:jc w:val="center"/>
            </w:pPr>
            <w:r>
              <w:t xml:space="preserve">0.877</w:t>
            </w:r>
          </w:p>
        </w:tc>
      </w:tr>
    </w:tbl>
    <w:p>
      <w:pPr>
        <w:spacing w:after="200"/>
      </w:pPr>
    </w:p>
    <w:p>
      <w:pPr>
        <w:pStyle w:val="Heading1"/>
        <w:spacing w:after="200" w:before="400"/>
      </w:pPr>
      <w:r>
        <w:t xml:space="preserve">7. Per-Question Analysis (Final Run)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600"/>
            <w:shd w:fill="4472C4" w:val="clear"/>
          </w:tcPr>
          <w:p>
            <w:pPr>
              <w:jc w:val="center"/>
            </w:pPr>
            <w:r>
              <w:rPr>
                <w:b/>
                <w:bCs/>
              </w:rPr>
              <w:t xml:space="preserve">ID</w:t>
            </w:r>
          </w:p>
        </w:tc>
        <w:tc>
          <w:tcPr>
            <w:tcW w:type="dxa" w:w="1200"/>
            <w:shd w:fill="4472C4" w:val="clear"/>
          </w:tcPr>
          <w:p>
            <w:pPr>
              <w:jc w:val="center"/>
            </w:pPr>
            <w:r>
              <w:rPr>
                <w:b/>
                <w:bCs/>
              </w:rPr>
              <w:t xml:space="preserve">Difficulty</w:t>
            </w:r>
          </w:p>
        </w:tc>
        <w:tc>
          <w:tcPr>
            <w:tcW w:type="dxa" w:w="700"/>
            <w:shd w:fill="4472C4" w:val="clear"/>
          </w:tcPr>
          <w:p>
            <w:pPr>
              <w:jc w:val="center"/>
            </w:pPr>
            <w:r>
              <w:rPr>
                <w:b/>
                <w:bCs/>
              </w:rPr>
              <w:t xml:space="preserve">F</w:t>
            </w:r>
          </w:p>
        </w:tc>
        <w:tc>
          <w:tcPr>
            <w:tcW w:type="dxa" w:w="700"/>
            <w:shd w:fill="4472C4" w:val="clear"/>
          </w:tcPr>
          <w:p>
            <w:pPr>
              <w:jc w:val="center"/>
            </w:pPr>
            <w:r>
              <w:rPr>
                <w:b/>
                <w:bCs/>
              </w:rPr>
              <w:t xml:space="preserve">P</w:t>
            </w:r>
          </w:p>
        </w:tc>
        <w:tc>
          <w:tcPr>
            <w:tcW w:type="dxa" w:w="700"/>
            <w:shd w:fill="4472C4" w:val="clear"/>
          </w:tcPr>
          <w:p>
            <w:pPr>
              <w:jc w:val="center"/>
            </w:pPr>
            <w:r>
              <w:rPr>
                <w:b/>
                <w:bCs/>
              </w:rPr>
              <w:t xml:space="preserve">R</w:t>
            </w:r>
          </w:p>
        </w:tc>
        <w:tc>
          <w:tcPr>
            <w:tcW w:type="dxa" w:w="700"/>
            <w:shd w:fill="4472C4" w:val="clear"/>
          </w:tcPr>
          <w:p>
            <w:pPr>
              <w:jc w:val="center"/>
            </w:pPr>
            <w:r>
              <w:rPr>
                <w:b/>
                <w:bCs/>
              </w:rPr>
              <w:t xml:space="preserve">AR</w:t>
            </w:r>
          </w:p>
        </w:tc>
        <w:tc>
          <w:tcPr>
            <w:tcW w:type="dxa" w:w="4400"/>
            <w:shd w:fill="4472C4" w:val="clear"/>
          </w:tcPr>
          <w:p>
            <w:pPr>
              <w:jc w:val="center"/>
            </w:pPr>
            <w:r>
              <w:rPr>
                <w:b/>
                <w:bCs/>
              </w:rPr>
              <w:t xml:space="preserve">Question</w:t>
            </w:r>
          </w:p>
        </w:tc>
      </w:tr>
      <w:tr>
        <w:tc>
          <w:tcPr>
            <w:tcW w:type="dxa" w:w="600"/>
          </w:tcPr>
          <w:p>
            <w:pPr>
              <w:jc w:val="center"/>
            </w:pPr>
            <w:r>
              <w:t xml:space="preserve">Q01</w:t>
            </w:r>
          </w:p>
        </w:tc>
        <w:tc>
          <w:tcPr>
            <w:tcW w:type="dxa" w:w="1200"/>
          </w:tcPr>
          <w:p>
            <w:pPr>
              <w:jc w:val="center"/>
            </w:pPr>
            <w:r>
              <w:t xml:space="preserve">Easy</w:t>
            </w:r>
          </w:p>
        </w:tc>
        <w:tc>
          <w:tcPr>
            <w:tcW w:type="dxa" w:w="700"/>
          </w:tcPr>
          <w:p>
            <w:pPr>
              <w:jc w:val="center"/>
            </w:pPr>
            <w:r>
              <w:t xml:space="preserve">1.00</w:t>
            </w:r>
          </w:p>
        </w:tc>
        <w:tc>
          <w:tcPr>
            <w:tcW w:type="dxa" w:w="700"/>
          </w:tcPr>
          <w:p>
            <w:pPr>
              <w:jc w:val="center"/>
            </w:pPr>
            <w:r>
              <w:t xml:space="preserve">0.40</w:t>
            </w:r>
          </w:p>
        </w:tc>
        <w:tc>
          <w:tcPr>
            <w:tcW w:type="dxa" w:w="700"/>
          </w:tcPr>
          <w:p>
            <w:pPr>
              <w:jc w:val="center"/>
            </w:pPr>
            <w:r>
              <w:t xml:space="preserve">1.00</w:t>
            </w:r>
          </w:p>
        </w:tc>
        <w:tc>
          <w:tcPr>
            <w:tcW w:type="dxa" w:w="700"/>
          </w:tcPr>
          <w:p>
            <w:pPr>
              <w:jc w:val="center"/>
            </w:pPr>
            <w:r>
              <w:t xml:space="preserve">0.96</w:t>
            </w:r>
          </w:p>
        </w:tc>
        <w:tc>
          <w:tcPr>
            <w:tcW w:type="dxa" w:w="4400"/>
          </w:tcPr>
          <w:p>
            <w:r>
              <w:t xml:space="preserve">Where is the spare tyre in an Aventro Sedan?</w:t>
            </w:r>
          </w:p>
        </w:tc>
      </w:tr>
      <w:tr>
        <w:tc>
          <w:tcPr>
            <w:tcW w:type="dxa" w:w="600"/>
            <w:shd w:fill="D9E1F2" w:val="clear"/>
          </w:tcPr>
          <w:p>
            <w:pPr>
              <w:jc w:val="center"/>
            </w:pPr>
            <w:r>
              <w:t xml:space="preserve">Q02</w:t>
            </w:r>
          </w:p>
        </w:tc>
        <w:tc>
          <w:tcPr>
            <w:tcW w:type="dxa" w:w="1200"/>
            <w:shd w:fill="D9E1F2" w:val="clear"/>
          </w:tcPr>
          <w:p>
            <w:pPr>
              <w:jc w:val="center"/>
            </w:pPr>
            <w:r>
              <w:t xml:space="preserve">Easy</w:t>
            </w:r>
          </w:p>
        </w:tc>
        <w:tc>
          <w:tcPr>
            <w:tcW w:type="dxa" w:w="700"/>
            <w:shd w:fill="D9E1F2" w:val="clear"/>
          </w:tcPr>
          <w:p>
            <w:pPr>
              <w:jc w:val="center"/>
            </w:pPr>
            <w:r>
              <w:t xml:space="preserve">1.00</w:t>
            </w:r>
          </w:p>
        </w:tc>
        <w:tc>
          <w:tcPr>
            <w:tcW w:type="dxa" w:w="700"/>
            <w:shd w:fill="D9E1F2" w:val="clear"/>
          </w:tcPr>
          <w:p>
            <w:pPr>
              <w:jc w:val="center"/>
            </w:pPr>
            <w:r>
              <w:t xml:space="preserve">0.60</w:t>
            </w:r>
          </w:p>
        </w:tc>
        <w:tc>
          <w:tcPr>
            <w:tcW w:type="dxa" w:w="700"/>
            <w:shd w:fill="D9E1F2" w:val="clear"/>
          </w:tcPr>
          <w:p>
            <w:pPr>
              <w:jc w:val="center"/>
            </w:pPr>
            <w:r>
              <w:t xml:space="preserve">1.00</w:t>
            </w:r>
          </w:p>
        </w:tc>
        <w:tc>
          <w:tcPr>
            <w:tcW w:type="dxa" w:w="700"/>
            <w:shd w:fill="D9E1F2" w:val="clear"/>
          </w:tcPr>
          <w:p>
            <w:pPr>
              <w:jc w:val="center"/>
            </w:pPr>
            <w:r>
              <w:t xml:space="preserve">0.85</w:t>
            </w:r>
          </w:p>
        </w:tc>
        <w:tc>
          <w:tcPr>
            <w:tcW w:type="dxa" w:w="4400"/>
            <w:shd w:fill="D9E1F2" w:val="clear"/>
          </w:tcPr>
          <w:p>
            <w:r>
              <w:t xml:space="preserve">Where is the toolkit stored in Aventro vehicles?</w:t>
            </w:r>
          </w:p>
        </w:tc>
      </w:tr>
      <w:tr>
        <w:tc>
          <w:tcPr>
            <w:tcW w:type="dxa" w:w="600"/>
          </w:tcPr>
          <w:p>
            <w:pPr>
              <w:jc w:val="center"/>
            </w:pPr>
            <w:r>
              <w:t xml:space="preserve">Q03</w:t>
            </w:r>
          </w:p>
        </w:tc>
        <w:tc>
          <w:tcPr>
            <w:tcW w:type="dxa" w:w="1200"/>
          </w:tcPr>
          <w:p>
            <w:pPr>
              <w:jc w:val="center"/>
            </w:pPr>
            <w:r>
              <w:t xml:space="preserve">Easy</w:t>
            </w:r>
          </w:p>
        </w:tc>
        <w:tc>
          <w:tcPr>
            <w:tcW w:type="dxa" w:w="700"/>
          </w:tcPr>
          <w:p>
            <w:pPr>
              <w:jc w:val="center"/>
            </w:pPr>
            <w:r>
              <w:t xml:space="preserve">1.00</w:t>
            </w:r>
          </w:p>
        </w:tc>
        <w:tc>
          <w:tcPr>
            <w:tcW w:type="dxa" w:w="700"/>
          </w:tcPr>
          <w:p>
            <w:pPr>
              <w:jc w:val="center"/>
            </w:pPr>
            <w:r>
              <w:t xml:space="preserve">0.40</w:t>
            </w:r>
          </w:p>
        </w:tc>
        <w:tc>
          <w:tcPr>
            <w:tcW w:type="dxa" w:w="700"/>
          </w:tcPr>
          <w:p>
            <w:pPr>
              <w:jc w:val="center"/>
            </w:pPr>
            <w:r>
              <w:t xml:space="preserve">1.00</w:t>
            </w:r>
          </w:p>
        </w:tc>
        <w:tc>
          <w:tcPr>
            <w:tcW w:type="dxa" w:w="700"/>
          </w:tcPr>
          <w:p>
            <w:pPr>
              <w:jc w:val="center"/>
            </w:pPr>
            <w:r>
              <w:t xml:space="preserve">0.96</w:t>
            </w:r>
          </w:p>
        </w:tc>
        <w:tc>
          <w:tcPr>
            <w:tcW w:type="dxa" w:w="4400"/>
          </w:tcPr>
          <w:p>
            <w:r>
              <w:t xml:space="preserve">Where is the spare tyre in an Aventro SUV?</w:t>
            </w:r>
          </w:p>
        </w:tc>
      </w:tr>
      <w:tr>
        <w:tc>
          <w:tcPr>
            <w:tcW w:type="dxa" w:w="600"/>
            <w:shd w:fill="D9E1F2" w:val="clear"/>
          </w:tcPr>
          <w:p>
            <w:pPr>
              <w:jc w:val="center"/>
            </w:pPr>
            <w:r>
              <w:t xml:space="preserve">Q04</w:t>
            </w:r>
          </w:p>
        </w:tc>
        <w:tc>
          <w:tcPr>
            <w:tcW w:type="dxa" w:w="1200"/>
            <w:shd w:fill="D9E1F2" w:val="clear"/>
          </w:tcPr>
          <w:p>
            <w:pPr>
              <w:jc w:val="center"/>
            </w:pPr>
            <w:r>
              <w:t xml:space="preserve">Medium</w:t>
            </w:r>
          </w:p>
        </w:tc>
        <w:tc>
          <w:tcPr>
            <w:tcW w:type="dxa" w:w="700"/>
            <w:shd w:fill="D9E1F2" w:val="clear"/>
          </w:tcPr>
          <w:p>
            <w:pPr>
              <w:jc w:val="center"/>
            </w:pPr>
            <w:r>
              <w:t xml:space="preserve">1.00</w:t>
            </w:r>
          </w:p>
        </w:tc>
        <w:tc>
          <w:tcPr>
            <w:tcW w:type="dxa" w:w="700"/>
            <w:shd w:fill="D9E1F2" w:val="clear"/>
          </w:tcPr>
          <w:p>
            <w:pPr>
              <w:jc w:val="center"/>
            </w:pPr>
            <w:r>
              <w:t xml:space="preserve">0.20</w:t>
            </w:r>
          </w:p>
        </w:tc>
        <w:tc>
          <w:tcPr>
            <w:tcW w:type="dxa" w:w="700"/>
            <w:shd w:fill="D9E1F2" w:val="clear"/>
          </w:tcPr>
          <w:p>
            <w:pPr>
              <w:jc w:val="center"/>
            </w:pPr>
            <w:r>
              <w:t xml:space="preserve">1.00</w:t>
            </w:r>
          </w:p>
        </w:tc>
        <w:tc>
          <w:tcPr>
            <w:tcW w:type="dxa" w:w="700"/>
            <w:shd w:fill="D9E1F2" w:val="clear"/>
          </w:tcPr>
          <w:p>
            <w:pPr>
              <w:jc w:val="center"/>
            </w:pPr>
            <w:r>
              <w:t xml:space="preserve">0.95</w:t>
            </w:r>
          </w:p>
        </w:tc>
        <w:tc>
          <w:tcPr>
            <w:tcW w:type="dxa" w:w="4400"/>
            <w:shd w:fill="D9E1F2" w:val="clear"/>
          </w:tcPr>
          <w:p>
            <w:r>
              <w:t xml:space="preserve">Steps to safely park before changing a tyre?</w:t>
            </w:r>
          </w:p>
        </w:tc>
      </w:tr>
      <w:tr>
        <w:tc>
          <w:tcPr>
            <w:tcW w:type="dxa" w:w="600"/>
          </w:tcPr>
          <w:p>
            <w:pPr>
              <w:jc w:val="center"/>
            </w:pPr>
            <w:r>
              <w:t xml:space="preserve">Q05</w:t>
            </w:r>
          </w:p>
        </w:tc>
        <w:tc>
          <w:tcPr>
            <w:tcW w:type="dxa" w:w="1200"/>
          </w:tcPr>
          <w:p>
            <w:pPr>
              <w:jc w:val="center"/>
            </w:pPr>
            <w:r>
              <w:t xml:space="preserve">Medium</w:t>
            </w:r>
          </w:p>
        </w:tc>
        <w:tc>
          <w:tcPr>
            <w:tcW w:type="dxa" w:w="700"/>
          </w:tcPr>
          <w:p>
            <w:pPr>
              <w:jc w:val="center"/>
            </w:pPr>
            <w:r>
              <w:t xml:space="preserve">1.00</w:t>
            </w:r>
          </w:p>
        </w:tc>
        <w:tc>
          <w:tcPr>
            <w:tcW w:type="dxa" w:w="700"/>
          </w:tcPr>
          <w:p>
            <w:pPr>
              <w:jc w:val="center"/>
            </w:pPr>
            <w:r>
              <w:t xml:space="preserve">0.20</w:t>
            </w:r>
          </w:p>
        </w:tc>
        <w:tc>
          <w:tcPr>
            <w:tcW w:type="dxa" w:w="700"/>
          </w:tcPr>
          <w:p>
            <w:pPr>
              <w:jc w:val="center"/>
            </w:pPr>
            <w:r>
              <w:t xml:space="preserve">1.00</w:t>
            </w:r>
          </w:p>
        </w:tc>
        <w:tc>
          <w:tcPr>
            <w:tcW w:type="dxa" w:w="700"/>
          </w:tcPr>
          <w:p>
            <w:pPr>
              <w:jc w:val="center"/>
            </w:pPr>
            <w:r>
              <w:t xml:space="preserve">0.81</w:t>
            </w:r>
          </w:p>
        </w:tc>
        <w:tc>
          <w:tcPr>
            <w:tcW w:type="dxa" w:w="4400"/>
          </w:tcPr>
          <w:p>
            <w:r>
              <w:t xml:space="preserve">Why loosen lug nuts before using the jack?</w:t>
            </w:r>
          </w:p>
        </w:tc>
      </w:tr>
      <w:tr>
        <w:tc>
          <w:tcPr>
            <w:tcW w:type="dxa" w:w="600"/>
            <w:shd w:fill="D9E1F2" w:val="clear"/>
          </w:tcPr>
          <w:p>
            <w:pPr>
              <w:jc w:val="center"/>
            </w:pPr>
            <w:r>
              <w:t xml:space="preserve">Q06</w:t>
            </w:r>
          </w:p>
        </w:tc>
        <w:tc>
          <w:tcPr>
            <w:tcW w:type="dxa" w:w="1200"/>
            <w:shd w:fill="D9E1F2" w:val="clear"/>
          </w:tcPr>
          <w:p>
            <w:pPr>
              <w:jc w:val="center"/>
            </w:pPr>
            <w:r>
              <w:t xml:space="preserve">Medium</w:t>
            </w:r>
          </w:p>
        </w:tc>
        <w:tc>
          <w:tcPr>
            <w:tcW w:type="dxa" w:w="700"/>
            <w:shd w:fill="D9E1F2" w:val="clear"/>
          </w:tcPr>
          <w:p>
            <w:pPr>
              <w:jc w:val="center"/>
            </w:pPr>
            <w:r>
              <w:t xml:space="preserve">1.00</w:t>
            </w:r>
          </w:p>
        </w:tc>
        <w:tc>
          <w:tcPr>
            <w:tcW w:type="dxa" w:w="700"/>
            <w:shd w:fill="D9E1F2" w:val="clear"/>
          </w:tcPr>
          <w:p>
            <w:pPr>
              <w:jc w:val="center"/>
            </w:pPr>
            <w:r>
              <w:t xml:space="preserve">0.20</w:t>
            </w:r>
          </w:p>
        </w:tc>
        <w:tc>
          <w:tcPr>
            <w:tcW w:type="dxa" w:w="700"/>
            <w:shd w:fill="D9E1F2" w:val="clear"/>
          </w:tcPr>
          <w:p>
            <w:pPr>
              <w:jc w:val="center"/>
            </w:pPr>
            <w:r>
              <w:t xml:space="preserve">1.00</w:t>
            </w:r>
          </w:p>
        </w:tc>
        <w:tc>
          <w:tcPr>
            <w:tcW w:type="dxa" w:w="700"/>
            <w:shd w:fill="D9E1F2" w:val="clear"/>
          </w:tcPr>
          <w:p>
            <w:pPr>
              <w:jc w:val="center"/>
            </w:pPr>
            <w:r>
              <w:t xml:space="preserve">0.85</w:t>
            </w:r>
          </w:p>
        </w:tc>
        <w:tc>
          <w:tcPr>
            <w:tcW w:type="dxa" w:w="4400"/>
            <w:shd w:fill="D9E1F2" w:val="clear"/>
          </w:tcPr>
          <w:p>
            <w:r>
              <w:t xml:space="preserve">Correct way to tighten lug nuts after fitting spare?</w:t>
            </w:r>
          </w:p>
        </w:tc>
      </w:tr>
      <w:tr>
        <w:tc>
          <w:tcPr>
            <w:tcW w:type="dxa" w:w="600"/>
          </w:tcPr>
          <w:p>
            <w:pPr>
              <w:jc w:val="center"/>
            </w:pPr>
            <w:r>
              <w:t xml:space="preserve">Q07</w:t>
            </w:r>
          </w:p>
        </w:tc>
        <w:tc>
          <w:tcPr>
            <w:tcW w:type="dxa" w:w="1200"/>
          </w:tcPr>
          <w:p>
            <w:pPr>
              <w:jc w:val="center"/>
            </w:pPr>
            <w:r>
              <w:t xml:space="preserve">Medium</w:t>
            </w:r>
          </w:p>
        </w:tc>
        <w:tc>
          <w:tcPr>
            <w:tcW w:type="dxa" w:w="700"/>
          </w:tcPr>
          <w:p>
            <w:pPr>
              <w:jc w:val="center"/>
            </w:pPr>
            <w:r>
              <w:t xml:space="preserve">1.00</w:t>
            </w:r>
          </w:p>
        </w:tc>
        <w:tc>
          <w:tcPr>
            <w:tcW w:type="dxa" w:w="700"/>
          </w:tcPr>
          <w:p>
            <w:pPr>
              <w:jc w:val="center"/>
            </w:pPr>
            <w:r>
              <w:t xml:space="preserve">0.20</w:t>
            </w:r>
          </w:p>
        </w:tc>
        <w:tc>
          <w:tcPr>
            <w:tcW w:type="dxa" w:w="700"/>
          </w:tcPr>
          <w:p>
            <w:pPr>
              <w:jc w:val="center"/>
            </w:pPr>
            <w:r>
              <w:t xml:space="preserve">1.00</w:t>
            </w:r>
          </w:p>
        </w:tc>
        <w:tc>
          <w:tcPr>
            <w:tcW w:type="dxa" w:w="700"/>
          </w:tcPr>
          <w:p>
            <w:pPr>
              <w:jc w:val="center"/>
            </w:pPr>
            <w:r>
              <w:t xml:space="preserve">0.82</w:t>
            </w:r>
          </w:p>
        </w:tc>
        <w:tc>
          <w:tcPr>
            <w:tcW w:type="dxa" w:w="4400"/>
          </w:tcPr>
          <w:p>
            <w:r>
              <w:t xml:space="preserve">How high should vehicle be raised with the jack?</w:t>
            </w:r>
          </w:p>
        </w:tc>
      </w:tr>
      <w:tr>
        <w:tc>
          <w:tcPr>
            <w:tcW w:type="dxa" w:w="600"/>
            <w:shd w:fill="D9E1F2" w:val="clear"/>
          </w:tcPr>
          <w:p>
            <w:pPr>
              <w:jc w:val="center"/>
            </w:pPr>
            <w:r>
              <w:t xml:space="preserve">Q08</w:t>
            </w:r>
          </w:p>
        </w:tc>
        <w:tc>
          <w:tcPr>
            <w:tcW w:type="dxa" w:w="1200"/>
            <w:shd w:fill="D9E1F2" w:val="clear"/>
          </w:tcPr>
          <w:p>
            <w:pPr>
              <w:jc w:val="center"/>
            </w:pPr>
            <w:r>
              <w:t xml:space="preserve">Medium</w:t>
            </w:r>
          </w:p>
        </w:tc>
        <w:tc>
          <w:tcPr>
            <w:tcW w:type="dxa" w:w="700"/>
            <w:shd w:fill="D9E1F2" w:val="clear"/>
          </w:tcPr>
          <w:p>
            <w:pPr>
              <w:jc w:val="center"/>
            </w:pPr>
            <w:r>
              <w:t xml:space="preserve">0.00</w:t>
            </w:r>
          </w:p>
        </w:tc>
        <w:tc>
          <w:tcPr>
            <w:tcW w:type="dxa" w:w="700"/>
            <w:shd w:fill="D9E1F2" w:val="clear"/>
          </w:tcPr>
          <w:p>
            <w:pPr>
              <w:jc w:val="center"/>
            </w:pPr>
            <w:r>
              <w:t xml:space="preserve">0.20</w:t>
            </w:r>
          </w:p>
        </w:tc>
        <w:tc>
          <w:tcPr>
            <w:tcW w:type="dxa" w:w="700"/>
            <w:shd w:fill="D9E1F2" w:val="clear"/>
          </w:tcPr>
          <w:p>
            <w:pPr>
              <w:jc w:val="center"/>
            </w:pPr>
            <w:r>
              <w:t xml:space="preserve">1.00</w:t>
            </w:r>
          </w:p>
        </w:tc>
        <w:tc>
          <w:tcPr>
            <w:tcW w:type="dxa" w:w="700"/>
            <w:shd w:fill="D9E1F2" w:val="clear"/>
          </w:tcPr>
          <w:p>
            <w:pPr>
              <w:jc w:val="center"/>
            </w:pPr>
            <w:r>
              <w:t xml:space="preserve">nan</w:t>
            </w:r>
          </w:p>
        </w:tc>
        <w:tc>
          <w:tcPr>
            <w:tcW w:type="dxa" w:w="4400"/>
            <w:shd w:fill="D9E1F2" w:val="clear"/>
          </w:tcPr>
          <w:p>
            <w:r>
              <w:t xml:space="preserve">What to do after fitting spare before driving?</w:t>
            </w:r>
          </w:p>
        </w:tc>
      </w:tr>
      <w:tr>
        <w:tc>
          <w:tcPr>
            <w:tcW w:type="dxa" w:w="600"/>
          </w:tcPr>
          <w:p>
            <w:pPr>
              <w:jc w:val="center"/>
            </w:pPr>
            <w:r>
              <w:t xml:space="preserve">Q09</w:t>
            </w:r>
          </w:p>
        </w:tc>
        <w:tc>
          <w:tcPr>
            <w:tcW w:type="dxa" w:w="1200"/>
          </w:tcPr>
          <w:p>
            <w:pPr>
              <w:jc w:val="center"/>
            </w:pPr>
            <w:r>
              <w:t xml:space="preserve">Hard</w:t>
            </w:r>
          </w:p>
        </w:tc>
        <w:tc>
          <w:tcPr>
            <w:tcW w:type="dxa" w:w="700"/>
          </w:tcPr>
          <w:p>
            <w:pPr>
              <w:jc w:val="center"/>
            </w:pPr>
            <w:r>
              <w:t xml:space="preserve">1.00</w:t>
            </w:r>
          </w:p>
        </w:tc>
        <w:tc>
          <w:tcPr>
            <w:tcW w:type="dxa" w:w="700"/>
          </w:tcPr>
          <w:p>
            <w:pPr>
              <w:jc w:val="center"/>
            </w:pPr>
            <w:r>
              <w:t xml:space="preserve">0.40</w:t>
            </w:r>
          </w:p>
        </w:tc>
        <w:tc>
          <w:tcPr>
            <w:tcW w:type="dxa" w:w="700"/>
          </w:tcPr>
          <w:p>
            <w:pPr>
              <w:jc w:val="center"/>
            </w:pPr>
            <w:r>
              <w:t xml:space="preserve">0.50</w:t>
            </w:r>
          </w:p>
        </w:tc>
        <w:tc>
          <w:tcPr>
            <w:tcW w:type="dxa" w:w="700"/>
          </w:tcPr>
          <w:p>
            <w:pPr>
              <w:jc w:val="center"/>
            </w:pPr>
            <w:r>
              <w:t xml:space="preserve">0.77</w:t>
            </w:r>
          </w:p>
        </w:tc>
        <w:tc>
          <w:tcPr>
            <w:tcW w:type="dxa" w:w="4400"/>
          </w:tcPr>
          <w:p>
            <w:r>
              <w:t xml:space="preserve">Safe to drive highway speeds with spare tyre?</w:t>
            </w:r>
          </w:p>
        </w:tc>
      </w:tr>
      <w:tr>
        <w:tc>
          <w:tcPr>
            <w:tcW w:type="dxa" w:w="600"/>
            <w:shd w:fill="D9E1F2" w:val="clear"/>
          </w:tcPr>
          <w:p>
            <w:pPr>
              <w:jc w:val="center"/>
            </w:pPr>
            <w:r>
              <w:t xml:space="preserve">Q10</w:t>
            </w:r>
          </w:p>
        </w:tc>
        <w:tc>
          <w:tcPr>
            <w:tcW w:type="dxa" w:w="1200"/>
            <w:shd w:fill="D9E1F2" w:val="clear"/>
          </w:tcPr>
          <w:p>
            <w:pPr>
              <w:jc w:val="center"/>
            </w:pPr>
            <w:r>
              <w:t xml:space="preserve">Hard</w:t>
            </w:r>
          </w:p>
        </w:tc>
        <w:tc>
          <w:tcPr>
            <w:tcW w:type="dxa" w:w="700"/>
            <w:shd w:fill="D9E1F2" w:val="clear"/>
          </w:tcPr>
          <w:p>
            <w:pPr>
              <w:jc w:val="center"/>
            </w:pPr>
            <w:r>
              <w:t xml:space="preserve">1.00</w:t>
            </w:r>
          </w:p>
        </w:tc>
        <w:tc>
          <w:tcPr>
            <w:tcW w:type="dxa" w:w="700"/>
            <w:shd w:fill="D9E1F2" w:val="clear"/>
          </w:tcPr>
          <w:p>
            <w:pPr>
              <w:jc w:val="center"/>
            </w:pPr>
            <w:r>
              <w:t xml:space="preserve">0.60</w:t>
            </w:r>
          </w:p>
        </w:tc>
        <w:tc>
          <w:tcPr>
            <w:tcW w:type="dxa" w:w="700"/>
            <w:shd w:fill="D9E1F2" w:val="clear"/>
          </w:tcPr>
          <w:p>
            <w:pPr>
              <w:jc w:val="center"/>
            </w:pPr>
            <w:r>
              <w:t xml:space="preserve">1.00</w:t>
            </w:r>
          </w:p>
        </w:tc>
        <w:tc>
          <w:tcPr>
            <w:tcW w:type="dxa" w:w="700"/>
            <w:shd w:fill="D9E1F2" w:val="clear"/>
          </w:tcPr>
          <w:p>
            <w:pPr>
              <w:jc w:val="center"/>
            </w:pPr>
            <w:r>
              <w:t xml:space="preserve">0.91</w:t>
            </w:r>
          </w:p>
        </w:tc>
        <w:tc>
          <w:tcPr>
            <w:tcW w:type="dxa" w:w="4400"/>
            <w:shd w:fill="D9E1F2" w:val="clear"/>
          </w:tcPr>
          <w:p>
            <w:r>
              <w:t xml:space="preserve">Does spare tyre location differ petrol vs electric?</w:t>
            </w:r>
          </w:p>
        </w:tc>
      </w:tr>
      <w:tr>
        <w:tc>
          <w:tcPr>
            <w:tcW w:type="dxa" w:w="600"/>
          </w:tcPr>
          <w:p>
            <w:pPr>
              <w:jc w:val="center"/>
            </w:pPr>
            <w:r>
              <w:t xml:space="preserve">Q11</w:t>
            </w:r>
          </w:p>
        </w:tc>
        <w:tc>
          <w:tcPr>
            <w:tcW w:type="dxa" w:w="1200"/>
          </w:tcPr>
          <w:p>
            <w:pPr>
              <w:jc w:val="center"/>
            </w:pPr>
            <w:r>
              <w:t xml:space="preserve">Hard</w:t>
            </w:r>
          </w:p>
        </w:tc>
        <w:tc>
          <w:tcPr>
            <w:tcW w:type="dxa" w:w="700"/>
          </w:tcPr>
          <w:p>
            <w:pPr>
              <w:jc w:val="center"/>
            </w:pPr>
            <w:r>
              <w:t xml:space="preserve">0.50</w:t>
            </w:r>
          </w:p>
        </w:tc>
        <w:tc>
          <w:tcPr>
            <w:tcW w:type="dxa" w:w="700"/>
          </w:tcPr>
          <w:p>
            <w:pPr>
              <w:jc w:val="center"/>
            </w:pPr>
            <w:r>
              <w:t xml:space="preserve">0.20</w:t>
            </w:r>
          </w:p>
        </w:tc>
        <w:tc>
          <w:tcPr>
            <w:tcW w:type="dxa" w:w="700"/>
          </w:tcPr>
          <w:p>
            <w:pPr>
              <w:jc w:val="center"/>
            </w:pPr>
            <w:r>
              <w:t xml:space="preserve">1.00</w:t>
            </w:r>
          </w:p>
        </w:tc>
        <w:tc>
          <w:tcPr>
            <w:tcW w:type="dxa" w:w="700"/>
          </w:tcPr>
          <w:p>
            <w:pPr>
              <w:jc w:val="center"/>
            </w:pPr>
            <w:r>
              <w:t xml:space="preserve">nan</w:t>
            </w:r>
          </w:p>
        </w:tc>
        <w:tc>
          <w:tcPr>
            <w:tcW w:type="dxa" w:w="4400"/>
          </w:tcPr>
          <w:p>
            <w:r>
              <w:t xml:space="preserve">Which service center to visit in Hyderabad?</w:t>
            </w:r>
          </w:p>
        </w:tc>
      </w:tr>
      <w:tr>
        <w:tc>
          <w:tcPr>
            <w:tcW w:type="dxa" w:w="600"/>
            <w:shd w:fill="D9E1F2" w:val="clear"/>
          </w:tcPr>
          <w:p>
            <w:pPr>
              <w:jc w:val="center"/>
            </w:pPr>
            <w:r>
              <w:t xml:space="preserve">Q12</w:t>
            </w:r>
          </w:p>
        </w:tc>
        <w:tc>
          <w:tcPr>
            <w:tcW w:type="dxa" w:w="1200"/>
            <w:shd w:fill="D9E1F2" w:val="clear"/>
          </w:tcPr>
          <w:p>
            <w:pPr>
              <w:jc w:val="center"/>
            </w:pPr>
            <w:r>
              <w:t xml:space="preserve">Trap</w:t>
            </w:r>
          </w:p>
        </w:tc>
        <w:tc>
          <w:tcPr>
            <w:tcW w:type="dxa" w:w="700"/>
            <w:shd w:fill="D9E1F2" w:val="clear"/>
          </w:tcPr>
          <w:p>
            <w:pPr>
              <w:jc w:val="center"/>
            </w:pPr>
            <w:r>
              <w:t xml:space="preserve">0.00</w:t>
            </w:r>
          </w:p>
        </w:tc>
        <w:tc>
          <w:tcPr>
            <w:tcW w:type="dxa" w:w="700"/>
            <w:shd w:fill="D9E1F2" w:val="clear"/>
          </w:tcPr>
          <w:p>
            <w:pPr>
              <w:jc w:val="center"/>
            </w:pPr>
            <w:r>
              <w:t xml:space="preserve">0.00</w:t>
            </w:r>
          </w:p>
        </w:tc>
        <w:tc>
          <w:tcPr>
            <w:tcW w:type="dxa" w:w="700"/>
            <w:shd w:fill="D9E1F2" w:val="clear"/>
          </w:tcPr>
          <w:p>
            <w:pPr>
              <w:jc w:val="center"/>
            </w:pPr>
            <w:r>
              <w:t xml:space="preserve">0.00</w:t>
            </w:r>
          </w:p>
        </w:tc>
        <w:tc>
          <w:tcPr>
            <w:tcW w:type="dxa" w:w="700"/>
            <w:shd w:fill="D9E1F2" w:val="clear"/>
          </w:tcPr>
          <w:p>
            <w:pPr>
              <w:jc w:val="center"/>
            </w:pPr>
            <w:r>
              <w:t xml:space="preserve">nan</w:t>
            </w:r>
          </w:p>
        </w:tc>
        <w:tc>
          <w:tcPr>
            <w:tcW w:type="dxa" w:w="4400"/>
            <w:shd w:fill="D9E1F2" w:val="clear"/>
          </w:tcPr>
          <w:p>
            <w:r>
              <w:t xml:space="preserve">Recommended tyre pressure for Hatchback spare?</w:t>
            </w:r>
          </w:p>
        </w:tc>
      </w:tr>
    </w:tbl>
    <w:p>
      <w:pPr>
        <w:pStyle w:val="Normal"/>
        <w:spacing w:after="200" w:before="100"/>
      </w:pPr>
      <w:r>
        <w:t xml:space="preserve">F = Faithfulness, P = Context Precision, R = Context Recall, AR = Answer Relevancy, nan = excluded (refusal answer)</w:t>
      </w:r>
      <w:r>
        <w:rPr>
          <w:i/>
          <w:iCs/>
          <w:sz w:val="18"/>
          <w:szCs w:val="18"/>
        </w:rPr>
        <w:t xml:space="preserve">F = Faithfulness, P = Context Precision, R = Context Recall, AR = Answer Relevancy, nan = excluded (refusal answer)</w:t>
      </w:r>
    </w:p>
    <w:p>
      <w:pPr>
        <w:pStyle w:val="Heading1"/>
        <w:spacing w:after="200" w:before="400"/>
      </w:pPr>
      <w:r>
        <w:t xml:space="preserve">8. Key Findings</w:t>
      </w:r>
    </w:p>
    <w:p>
      <w:pPr>
        <w:pStyle w:val="Heading2"/>
        <w:spacing w:after="100" w:before="200"/>
      </w:pPr>
      <w:r>
        <w:t xml:space="preserve">8.1 Context Recall (0.955) — Strongest metric</w:t>
      </w:r>
    </w:p>
    <w:p>
      <w:pPr>
        <w:spacing w:after="200"/>
      </w:pPr>
      <w:r>
        <w:t xml:space="preserve">The hybrid retrieval pipeline (Dense + BM25 → RRF → cross-encoder reranker) almost never misses relevant information on answerable questions. Recall hit 1.0 when the trap question is excluded. This validates the Phase 2 architecture decision to combine dense and sparse retrieval.</w:t>
      </w:r>
    </w:p>
    <w:p>
      <w:pPr>
        <w:pStyle w:val="Heading2"/>
        <w:spacing w:after="100" w:before="200"/>
      </w:pPr>
      <w:r>
        <w:t xml:space="preserve">8.2 Context Precision (0.345) — Corpus size artifact</w:t>
      </w:r>
    </w:p>
    <w:p>
      <w:pPr>
        <w:spacing w:after="200"/>
      </w:pPr>
      <w:r>
        <w:t xml:space="preserve">Only 1-2 of 5 retrieved chunks were relevant per question on average. This is not a pipeline failure — with a single small PDF, the retriever is forced to pad with loosely-related chunks regardless of model quality. This score would be significantly higher with a large multi-document corpus.</w:t>
      </w:r>
    </w:p>
    <w:p>
      <w:pPr>
        <w:pStyle w:val="Heading2"/>
        <w:spacing w:after="100" w:before="200"/>
      </w:pPr>
      <w:r>
        <w:t xml:space="preserve">8.3 Query Rewriter Regression — Key learning</w:t>
      </w:r>
    </w:p>
    <w:p>
      <w:pPr>
        <w:spacing w:after="100"/>
      </w:pPr>
      <w:r>
        <w:t xml:space="preserve">Switching from a 30B to a 70B pipeline model caused unexpected regressions. The stronger model's query rewriter added domain knowledge not present in the corpus — inventing requirements like "torque specifications", "park gear", and even hallucinating the brand name "Aventador" instead of "Aventro".</w:t>
      </w:r>
    </w:p>
    <w:p>
      <w:pPr>
        <w:spacing w:after="200"/>
      </w:pPr>
      <w:r>
        <w:rPr>
          <w:b/>
          <w:bCs/>
        </w:rPr>
        <w:t xml:space="preserve">Fix: </w:t>
      </w:r>
      <w:r>
        <w:t xml:space="preserve">Constraining the rewriter to 5-10 words with explicit prohibition on adding domain knowledge resolved the regressions. This is the most important engineering finding from Phase 3.</w:t>
      </w:r>
    </w:p>
    <w:p>
      <w:pPr>
        <w:pStyle w:val="Heading2"/>
        <w:spacing w:after="100" w:before="200"/>
      </w:pPr>
      <w:r>
        <w:t xml:space="preserve">8.4 Faithfulness vs Correctness — Metric limitation</w:t>
      </w:r>
    </w:p>
    <w:p>
      <w:pPr>
        <w:spacing w:after="200"/>
      </w:pPr>
      <w:r>
        <w:t xml:space="preserve">Faithfulness measures grounding, not correctness. Q10 (petrol vs electric variant question) received Faithfulness 1.0 in one run despite the answer leading with "Yes" when the correct answer is "No". The explanation was fully grounded — every claim supported by context — but the conclusion was wrong. This is a known blind spot of LLM-as-judge evaluation that would require a separate end-to-end correctness metric to catch.</w:t>
      </w:r>
    </w:p>
    <w:p>
      <w:pPr>
        <w:pStyle w:val="Heading1"/>
        <w:spacing w:after="200" w:before="400"/>
      </w:pPr>
      <w:r>
        <w:t xml:space="preserve">9. Conclusion</w:t>
      </w:r>
    </w:p>
    <w:p>
      <w:pPr>
        <w:spacing w:after="200"/>
      </w:pPr>
      <w:r>
        <w:t xml:space="preserve">Phase 3 delivered a production-equivalent evaluation framework entirely from scratch after the RAGAS library proved unusable. The framework implements the same core algorithms as RAGAS but with full transparency into every judgment prompt, resume logic for rate-limited environments, and multi-provider support.</w:t>
      </w:r>
    </w:p>
    <w:p>
      <w:pPr>
        <w:spacing w:after="200"/>
      </w:pPr>
      <w:r>
        <w:t xml:space="preserve">The evaluation confirmed that the Phase 2 retrieval architecture is strong (Recall 0.955, Answer Relevancy 0.877) and identified a critical failure mode: query rewriter hallucination when using stronger models without output constraints. This finding directly informs Phase 4 design, where the agent's ability to decide when and how to retrieve becomes the central concern.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2026-09-03T18:43:10.811Z</dcterms:created>
  <dcterms:modified xsi:type="dcterms:W3CDTF">2026-09-03T18:43:10.825Z</dcterms:modified>
</cp:coreProperties>
</file>

<file path=docProps/custom.xml><?xml version="1.0" encoding="utf-8"?>
<Properties xmlns="http://schemas.openxmlformats.org/officeDocument/2006/custom-properties" xmlns:vt="http://schemas.openxmlformats.org/officeDocument/2006/docPropsVTypes"/>
</file>