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2E4057"/>
          <w:sz w:val="48"/>
          <w:szCs w:val="48"/>
        </w:rPr>
        <w:t xml:space="preserve">RAG Engineering — Learning Journal</w:t>
      </w:r>
    </w:p>
    <w:p>
      <w:pPr>
        <w:spacing w:after="600" w:before="0"/>
        <w:jc w:val="center"/>
      </w:pPr>
      <w:r>
        <w:rPr>
          <w:rFonts w:ascii="Calibri" w:cs="Calibri" w:eastAsia="Calibri" w:hAnsi="Calibri"/>
          <w:color w:val="666666"/>
          <w:sz w:val="26"/>
          <w:szCs w:val="26"/>
        </w:rPr>
        <w:t xml:space="preserve">From LLM Fundamentals to Agentic RAG</w:t>
      </w:r>
    </w:p>
    <w:p>
      <w:pPr>
        <w:pBdr>
          <w:bottom w:val="single" w:color="CCCCCC" w:sz="6"/>
        </w:pBdr>
        <w:spacing w:after="200" w:before="200"/>
      </w:pPr>
    </w:p>
    <w:p>
      <w:pPr>
        <w:pStyle w:val="Heading1"/>
        <w:spacing w:after="200" w:before="400"/>
      </w:pPr>
      <w:r>
        <w:t xml:space="preserve">Session 1: LLM Fundamentals</w:t>
      </w:r>
    </w:p>
    <w:p>
      <w:pPr>
        <w:pStyle w:val="Heading2"/>
        <w:spacing w:after="150" w:before="300"/>
      </w:pPr>
      <w:r>
        <w:t xml:space="preserve">1. How LLMs Generate Answers</w:t>
      </w:r>
    </w:p>
    <w:p>
      <w:pPr>
        <w:spacing w:after="80" w:before="80"/>
      </w:pPr>
      <w:r>
        <w:rPr>
          <w:sz w:val="22"/>
          <w:szCs w:val="22"/>
        </w:rPr>
        <w:t xml:space="preserve">An LLM is a next-token prediction machine. It does not retrieve stored answers — it constructs responses by predicting the most statistically likely next token, one at a time. During training, the model compressed patterns from billions of text sequences into numerical weights (parameters). At inference, those weights are frozen and the model samples from probability distributions over its vocabulary.</w:t>
      </w:r>
    </w:p>
    <w:p>
      <w:pPr>
        <w:spacing w:after="80" w:before="80"/>
      </w:pPr>
      <w:r>
        <w:rPr>
          <w:sz w:val="22"/>
          <w:szCs w:val="22"/>
        </w:rPr>
        <w:t xml:space="preserve">Analogy: A master chef who cooks from 30 years of internalized patterns — not from a recipe. Sometimes brilliant, sometimes confidently wrong.</w:t>
      </w:r>
    </w:p>
    <w:p>
      <w:pPr>
        <w:pStyle w:val="Heading2"/>
        <w:spacing w:after="150" w:before="300"/>
      </w:pPr>
      <w:r>
        <w:t xml:space="preserve">2. What Training Data Actually Means</w:t>
      </w:r>
    </w:p>
    <w:p>
      <w:pPr>
        <w:spacing w:after="80" w:before="80"/>
      </w:pPr>
      <w:r>
        <w:rPr>
          <w:sz w:val="22"/>
          <w:szCs w:val="22"/>
        </w:rPr>
        <w:t xml:space="preserve">Training data is the corpus the model was exposed to before deployment — web pages, books, Wikipedia, code, papers, forums. The model minimized prediction error across this corpus, internalizing grammar, facts, reasoning, and style. Training has a cutoff date. After that date, weights are frozen. The model has no awareness of anything that happened afterward.</w:t>
      </w:r>
    </w:p>
    <w:p>
      <w:pPr>
        <w:spacing w:after="80" w:before="80"/>
      </w:pPr>
      <w:r>
        <w:rPr>
          <w:sz w:val="22"/>
          <w:szCs w:val="22"/>
        </w:rPr>
        <w:t xml:space="preserve">Analogy: A scholar who spent 20 years reading everything, then entered a sealed room with no outside communication. Knows an enormous amount — but only up to the day they entered.</w:t>
      </w:r>
    </w:p>
    <w:p>
      <w:pPr>
        <w:pStyle w:val="Heading2"/>
        <w:spacing w:after="150" w:before="300"/>
      </w:pPr>
      <w:r>
        <w:t xml:space="preserve">3. Why Hallucinations Happen</w:t>
      </w:r>
    </w:p>
    <w:p>
      <w:pPr>
        <w:spacing w:after="80" w:before="80"/>
      </w:pPr>
      <w:r>
        <w:rPr>
          <w:sz w:val="22"/>
          <w:szCs w:val="22"/>
        </w:rPr>
        <w:t xml:space="preserve">The model's training objective was to produce plausible text, not accurate text. When asked about something with weak or no training signal, it extrapolates from adjacent patterns and generates statistically reasonable content that may be factually wrong. It has no internal confidence gate — it always generates.</w:t>
      </w:r>
    </w:p>
    <w:p>
      <w:pPr>
        <w:spacing w:after="80" w:before="80"/>
      </w:pPr>
      <w:r>
        <w:rPr>
          <w:sz w:val="22"/>
          <w:szCs w:val="22"/>
        </w:rPr>
        <w:t xml:space="preserve">Three root causes:</w:t>
      </w:r>
    </w:p>
    <w:p>
      <w:pPr>
        <w:pStyle w:val="ListParagraph"/>
        <w:numPr>
          <w:ilvl w:val="0"/>
          <w:numId w:val="1"/>
        </w:numPr>
        <w:spacing w:after="60" w:before="60"/>
      </w:pPr>
      <w:r>
        <w:rPr>
          <w:sz w:val="22"/>
          <w:szCs w:val="22"/>
        </w:rPr>
        <w:t xml:space="preserve">Sparse training signal — topic appeared rarely, model generalizes poorly</w:t>
      </w:r>
    </w:p>
    <w:p>
      <w:pPr>
        <w:pStyle w:val="ListParagraph"/>
        <w:numPr>
          <w:ilvl w:val="0"/>
          <w:numId w:val="1"/>
        </w:numPr>
        <w:spacing w:after="60" w:before="60"/>
      </w:pPr>
      <w:r>
        <w:rPr>
          <w:sz w:val="22"/>
          <w:szCs w:val="22"/>
        </w:rPr>
        <w:t xml:space="preserve">Conflicting information — contradictory sources in training data blended incoherently</w:t>
      </w:r>
    </w:p>
    <w:p>
      <w:pPr>
        <w:pStyle w:val="ListParagraph"/>
        <w:numPr>
          <w:ilvl w:val="0"/>
          <w:numId w:val="1"/>
        </w:numPr>
        <w:spacing w:after="60" w:before="60"/>
      </w:pPr>
      <w:r>
        <w:rPr>
          <w:sz w:val="22"/>
          <w:szCs w:val="22"/>
        </w:rPr>
        <w:t xml:space="preserve">Out-of-distribution queries — question is outside what the model trained on</w:t>
      </w:r>
    </w:p>
    <w:p>
      <w:pPr>
        <w:spacing w:after="80" w:before="80"/>
      </w:pPr>
      <w:r>
        <w:rPr>
          <w:sz w:val="22"/>
          <w:szCs w:val="22"/>
        </w:rPr>
        <w:t xml:space="preserve">Analogy: The scholar asked about an obscure figure they only vaguely remember. They reconstruct a plausible-sounding biography — mixing up names, dates, and facts from others they remember clearly.</w:t>
      </w:r>
    </w:p>
    <w:p>
      <w:pPr>
        <w:pStyle w:val="Heading2"/>
        <w:spacing w:after="150" w:before="300"/>
      </w:pPr>
      <w:r>
        <w:t xml:space="preserve">4. Why LLMs Cannot Access External or Private Knowledge</w:t>
      </w:r>
    </w:p>
    <w:p>
      <w:pPr>
        <w:spacing w:after="80" w:before="80"/>
      </w:pPr>
      <w:r>
        <w:rPr>
          <w:sz w:val="22"/>
          <w:szCs w:val="22"/>
        </w:rPr>
        <w:t xml:space="preserve">Weights encode only what was in training data. No live internet connection. No access to your database, internal wikis, customer records, or proprietary documents. At inference time the model has exactly two information sources: frozen weights, and whatever is in the prompt context window.</w:t>
      </w:r>
    </w:p>
    <w:p>
      <w:pPr>
        <w:spacing w:after="80" w:before="80"/>
      </w:pPr>
      <w:r>
        <w:rPr>
          <w:sz w:val="22"/>
          <w:szCs w:val="22"/>
        </w:rPr>
        <w:t xml:space="preserve">Example: A customer support bot asked "What is the status of my order #84729?" has no pathway to your order management system. The information does not exist in its weights.</w:t>
      </w:r>
    </w:p>
    <w:p>
      <w:pPr>
        <w:pStyle w:val="Heading2"/>
        <w:spacing w:after="150" w:before="300"/>
      </w:pPr>
      <w:r>
        <w:t xml:space="preserve">5. Why Training Data Alone Fails in Production</w:t>
      </w:r>
    </w:p>
    <w:p>
      <w:pPr>
        <w:pStyle w:val="ListParagraph"/>
        <w:numPr>
          <w:ilvl w:val="0"/>
          <w:numId w:val="1"/>
        </w:numPr>
        <w:spacing w:after="60" w:before="60"/>
      </w:pPr>
      <w:r>
        <w:rPr>
          <w:sz w:val="22"/>
          <w:szCs w:val="22"/>
        </w:rPr>
        <w:t xml:space="preserve">Recency — business operates in the present; model knowledge is frozen in the past</w:t>
      </w:r>
    </w:p>
    <w:p>
      <w:pPr>
        <w:pStyle w:val="ListParagraph"/>
        <w:numPr>
          <w:ilvl w:val="0"/>
          <w:numId w:val="1"/>
        </w:numPr>
        <w:spacing w:after="60" w:before="60"/>
      </w:pPr>
      <w:r>
        <w:rPr>
          <w:sz w:val="22"/>
          <w:szCs w:val="22"/>
        </w:rPr>
        <w:t xml:space="preserve">Specificity — users need answers about your products, policies, data — not generic world knowledge</w:t>
      </w:r>
    </w:p>
    <w:p>
      <w:pPr>
        <w:pStyle w:val="ListParagraph"/>
        <w:numPr>
          <w:ilvl w:val="0"/>
          <w:numId w:val="1"/>
        </w:numPr>
        <w:spacing w:after="60" w:before="60"/>
      </w:pPr>
      <w:r>
        <w:rPr>
          <w:sz w:val="22"/>
          <w:szCs w:val="22"/>
        </w:rPr>
        <w:t xml:space="preserve">Accuracy — hallucinated answers in healthcare, legal, or financial domains cause real harm</w:t>
      </w:r>
    </w:p>
    <w:p>
      <w:pPr>
        <w:pStyle w:val="ListParagraph"/>
        <w:numPr>
          <w:ilvl w:val="0"/>
          <w:numId w:val="1"/>
        </w:numPr>
        <w:spacing w:after="60" w:before="60"/>
      </w:pPr>
      <w:r>
        <w:rPr>
          <w:sz w:val="22"/>
          <w:szCs w:val="22"/>
        </w:rPr>
        <w:t xml:space="preserve">Auditability — enterprise systems require cited, traceable answers</w:t>
      </w:r>
    </w:p>
    <w:p>
      <w:pPr>
        <w:pStyle w:val="ListParagraph"/>
        <w:numPr>
          <w:ilvl w:val="0"/>
          <w:numId w:val="1"/>
        </w:numPr>
        <w:spacing w:after="60" w:before="60"/>
      </w:pPr>
      <w:r>
        <w:rPr>
          <w:sz w:val="22"/>
          <w:szCs w:val="22"/>
        </w:rPr>
        <w:t xml:space="preserve">Freshness — pricing, regulations, features, procedures change constantly</w:t>
      </w:r>
    </w:p>
    <w:p>
      <w:pPr>
        <w:pStyle w:val="Heading2"/>
        <w:spacing w:after="150" w:before="300"/>
      </w:pPr>
      <w:r>
        <w:t xml:space="preserve">The Core Insight That Created RAG</w:t>
      </w:r>
    </w:p>
    <w:p>
      <w:pPr>
        <w:spacing w:after="80" w:before="80"/>
      </w:pPr>
      <w:r>
        <w:rPr>
          <w:sz w:val="22"/>
          <w:szCs w:val="22"/>
        </w:rPr>
        <w:t xml:space="preserve">Every LLM limitation maps directly to a RAG solution:</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4057" w:val="clear"/>
          </w:tcPr>
          <w:p>
            <w:r>
              <w:rPr>
                <w:b/>
                <w:bCs/>
                <w:sz w:val="20"/>
                <w:szCs w:val="20"/>
              </w:rPr>
              <w:t xml:space="preserve">LLM Limitation</w:t>
            </w:r>
          </w:p>
        </w:tc>
        <w:tc>
          <w:tcPr>
            <w:tcW w:type="dxa" w:w="4500"/>
            <w:shd w:fill="2E4057" w:val="clear"/>
          </w:tcPr>
          <w:p>
            <w:r>
              <w:rPr>
                <w:b/>
                <w:bCs/>
                <w:sz w:val="20"/>
                <w:szCs w:val="20"/>
              </w:rPr>
              <w:t xml:space="preserve">RAG Solution</w:t>
            </w:r>
          </w:p>
        </w:tc>
      </w:tr>
      <w:tr>
        <w:tc>
          <w:tcPr>
            <w:tcW w:type="dxa" w:w="4500"/>
          </w:tcPr>
          <w:p>
            <w:r>
              <w:rPr>
                <w:sz w:val="20"/>
                <w:szCs w:val="20"/>
              </w:rPr>
              <w:t xml:space="preserve">Frozen training data</w:t>
            </w:r>
          </w:p>
        </w:tc>
        <w:tc>
          <w:tcPr>
            <w:tcW w:type="dxa" w:w="4500"/>
          </w:tcPr>
          <w:p>
            <w:r>
              <w:rPr>
                <w:sz w:val="20"/>
                <w:szCs w:val="20"/>
              </w:rPr>
              <w:t xml:space="preserve">Retrieve fresh documents at query time</w:t>
            </w:r>
          </w:p>
        </w:tc>
      </w:tr>
      <w:tr>
        <w:tc>
          <w:tcPr>
            <w:tcW w:type="dxa" w:w="4500"/>
          </w:tcPr>
          <w:p>
            <w:r>
              <w:rPr>
                <w:sz w:val="20"/>
                <w:szCs w:val="20"/>
              </w:rPr>
              <w:t xml:space="preserve">No private knowledge</w:t>
            </w:r>
          </w:p>
        </w:tc>
        <w:tc>
          <w:tcPr>
            <w:tcW w:type="dxa" w:w="4500"/>
          </w:tcPr>
          <w:p>
            <w:r>
              <w:rPr>
                <w:sz w:val="20"/>
                <w:szCs w:val="20"/>
              </w:rPr>
              <w:t xml:space="preserve">Index private corpus into a vector store</w:t>
            </w:r>
          </w:p>
        </w:tc>
      </w:tr>
      <w:tr>
        <w:tc>
          <w:tcPr>
            <w:tcW w:type="dxa" w:w="4500"/>
          </w:tcPr>
          <w:p>
            <w:r>
              <w:rPr>
                <w:sz w:val="20"/>
                <w:szCs w:val="20"/>
              </w:rPr>
              <w:t xml:space="preserve">Hallucinations</w:t>
            </w:r>
          </w:p>
        </w:tc>
        <w:tc>
          <w:tcPr>
            <w:tcW w:type="dxa" w:w="4500"/>
          </w:tcPr>
          <w:p>
            <w:r>
              <w:rPr>
                <w:sz w:val="20"/>
                <w:szCs w:val="20"/>
              </w:rPr>
              <w:t xml:space="preserve">Ground answers in retrieved source documents</w:t>
            </w:r>
          </w:p>
        </w:tc>
      </w:tr>
      <w:tr>
        <w:tc>
          <w:tcPr>
            <w:tcW w:type="dxa" w:w="4500"/>
          </w:tcPr>
          <w:p>
            <w:r>
              <w:rPr>
                <w:sz w:val="20"/>
                <w:szCs w:val="20"/>
              </w:rPr>
              <w:t xml:space="preserve">No auditability</w:t>
            </w:r>
          </w:p>
        </w:tc>
        <w:tc>
          <w:tcPr>
            <w:tcW w:type="dxa" w:w="4500"/>
          </w:tcPr>
          <w:p>
            <w:r>
              <w:rPr>
                <w:sz w:val="20"/>
                <w:szCs w:val="20"/>
              </w:rPr>
              <w:t xml:space="preserve">Cite exact chunks used to generate the answer</w:t>
            </w:r>
          </w:p>
        </w:tc>
      </w:tr>
      <w:tr>
        <w:tc>
          <w:tcPr>
            <w:tcW w:type="dxa" w:w="4500"/>
          </w:tcPr>
          <w:p>
            <w:r>
              <w:rPr>
                <w:sz w:val="20"/>
                <w:szCs w:val="20"/>
              </w:rPr>
              <w:t xml:space="preserve">Domain specificity</w:t>
            </w:r>
          </w:p>
        </w:tc>
        <w:tc>
          <w:tcPr>
            <w:tcW w:type="dxa" w:w="4500"/>
          </w:tcPr>
          <w:p>
            <w:r>
              <w:rPr>
                <w:sz w:val="20"/>
                <w:szCs w:val="20"/>
              </w:rPr>
              <w:t xml:space="preserve">Search scoped to your specific document collection</w:t>
            </w:r>
          </w:p>
        </w:tc>
      </w:tr>
    </w:tbl>
    <w:p>
      <w:pPr>
        <w:spacing w:after="100" w:before="200"/>
      </w:pPr>
    </w:p>
    <w:p>
      <w:pPr>
        <w:spacing w:after="80" w:before="80"/>
      </w:pPr>
      <w:r>
        <w:rPr>
          <w:sz w:val="22"/>
          <w:szCs w:val="22"/>
        </w:rPr>
        <w:t xml:space="preserve">The model's role shifts from "encyclopedia that knows everything" to "reasoning engine that reads provided documents and answers questions about them."</w:t>
      </w:r>
    </w:p>
    <w:p>
      <w:pPr>
        <w:pBdr>
          <w:bottom w:val="single" w:color="CCCCCC" w:sz="6"/>
        </w:pBdr>
        <w:spacing w:after="200" w:before="200"/>
      </w:pPr>
    </w:p>
    <w:p>
      <w:pPr>
        <w:pStyle w:val="Heading1"/>
        <w:spacing w:after="200" w:before="400"/>
      </w:pPr>
      <w:r>
        <w:t xml:space="preserve">Session 2: RAG Architecture</w:t>
      </w:r>
    </w:p>
    <w:p>
      <w:pPr>
        <w:pStyle w:val="Heading2"/>
        <w:spacing w:after="150" w:before="300"/>
      </w:pPr>
      <w:r>
        <w:t xml:space="preserve">The Big Picture</w:t>
      </w:r>
    </w:p>
    <w:p>
      <w:pPr>
        <w:spacing w:after="60" w:before="60"/>
        <w:ind w:left="720"/>
      </w:pPr>
      <w:r>
        <w:rPr>
          <w:rFonts w:ascii="Courier New" w:cs="Courier New" w:eastAsia="Courier New" w:hAnsi="Courier New"/>
          <w:color w:val="1F497D"/>
          <w:sz w:val="18"/>
          <w:szCs w:val="18"/>
        </w:rPr>
        <w:t xml:space="preserve">INDEXING (offline)</w:t>
      </w:r>
    </w:p>
    <w:p>
      <w:pPr>
        <w:spacing w:after="60" w:before="60"/>
        <w:ind w:left="720"/>
      </w:pPr>
      <w:r>
        <w:rPr>
          <w:rFonts w:ascii="Courier New" w:cs="Courier New" w:eastAsia="Courier New" w:hAnsi="Courier New"/>
          <w:color w:val="1F497D"/>
          <w:sz w:val="18"/>
          <w:szCs w:val="18"/>
        </w:rPr>
        <w:t xml:space="preserve">  Raw Documents → Chunker → Embedder → Vector Store</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RETRIEVAL (online, per query)</w:t>
      </w:r>
    </w:p>
    <w:p>
      <w:pPr>
        <w:spacing w:after="60" w:before="60"/>
        <w:ind w:left="720"/>
      </w:pPr>
      <w:r>
        <w:rPr>
          <w:rFonts w:ascii="Courier New" w:cs="Courier New" w:eastAsia="Courier New" w:hAnsi="Courier New"/>
          <w:color w:val="1F497D"/>
          <w:sz w:val="18"/>
          <w:szCs w:val="18"/>
        </w:rPr>
        <w:t xml:space="preserve">  User Query → Embedder → Vector Store Search → Top-K Chunks → LLM → Answer</w:t>
      </w:r>
    </w:p>
    <w:p>
      <w:pPr>
        <w:pStyle w:val="Heading2"/>
        <w:spacing w:after="150" w:before="300"/>
      </w:pPr>
      <w:r>
        <w:t xml:space="preserve">1. Embeddings</w:t>
      </w:r>
    </w:p>
    <w:p>
      <w:pPr>
        <w:spacing w:after="80" w:before="80"/>
      </w:pPr>
      <w:r>
        <w:rPr>
          <w:sz w:val="22"/>
          <w:szCs w:val="22"/>
        </w:rPr>
        <w:t xml:space="preserve">An embedding is a vector — an array of floating point numbers — representing the meaning of a piece of text. An embedding model encodes text into high-dimensional space where semantic similarity maps to geometric proximity. Similar meaning → vectors close together. Different meaning → vectors far apart.</w:t>
      </w:r>
    </w:p>
    <w:p>
      <w:pPr>
        <w:spacing w:after="80" w:before="80"/>
      </w:pPr>
      <w:r>
        <w:rPr>
          <w:sz w:val="22"/>
          <w:szCs w:val="22"/>
        </w:rPr>
        <w:t xml:space="preserve">Similarity is measured with cosine similarity — the angle between vectors rather than Euclidean distance — making it scale-invariant.</w:t>
      </w:r>
    </w:p>
    <w:p>
      <w:pPr>
        <w:spacing w:after="80" w:before="80"/>
      </w:pPr>
      <w:r>
        <w:rPr>
          <w:sz w:val="22"/>
          <w:szCs w:val="22"/>
        </w:rPr>
        <w:t xml:space="preserve">Analogy: A city map where every piece of text is a building. Buildings with similar purposes cluster together. When you search, you drop a pin at your query's location and find the nearest buildings.</w:t>
      </w:r>
    </w:p>
    <w:p>
      <w:pPr>
        <w:spacing w:after="80" w:before="80"/>
      </w:pPr>
      <w:r>
        <w:rPr>
          <w:sz w:val="22"/>
          <w:szCs w:val="22"/>
        </w:rPr>
        <w:t xml:space="preserve">Critical rule: You cannot mix embedding models. Every chunk and every query must use the same model. Switching models requires re-embedding the entire corpus.</w:t>
      </w:r>
    </w:p>
    <w:p>
      <w:pPr>
        <w:pStyle w:val="Heading2"/>
        <w:spacing w:after="150" w:before="300"/>
      </w:pPr>
      <w:r>
        <w:t xml:space="preserve">2. Chunking</w:t>
      </w:r>
    </w:p>
    <w:p>
      <w:pPr>
        <w:spacing w:after="80" w:before="80"/>
      </w:pPr>
      <w:r>
        <w:rPr>
          <w:sz w:val="22"/>
          <w:szCs w:val="22"/>
        </w:rPr>
        <w:t xml:space="preserve">Documents must be split into smaller pieces before embedding. Each chunk becomes one entry in the vector store with its own embedding. Chunk quality directly determines retrieval precision.</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Strategy</w:t>
            </w:r>
          </w:p>
        </w:tc>
        <w:tc>
          <w:tcPr>
            <w:tcW w:type="dxa" w:w="3000"/>
            <w:shd w:fill="2E4057" w:val="clear"/>
          </w:tcPr>
          <w:p>
            <w:r>
              <w:rPr>
                <w:b/>
                <w:bCs/>
                <w:sz w:val="20"/>
                <w:szCs w:val="20"/>
              </w:rPr>
              <w:t xml:space="preserve">Best For</w:t>
            </w:r>
          </w:p>
        </w:tc>
        <w:tc>
          <w:tcPr>
            <w:tcW w:type="dxa" w:w="3000"/>
            <w:shd w:fill="2E4057" w:val="clear"/>
          </w:tcPr>
          <w:p>
            <w:r>
              <w:rPr>
                <w:b/>
                <w:bCs/>
                <w:sz w:val="20"/>
                <w:szCs w:val="20"/>
              </w:rPr>
              <w:t xml:space="preserve">Risk</w:t>
            </w:r>
          </w:p>
        </w:tc>
      </w:tr>
      <w:tr>
        <w:tc>
          <w:tcPr>
            <w:tcW w:type="dxa" w:w="3000"/>
          </w:tcPr>
          <w:p>
            <w:r>
              <w:rPr>
                <w:sz w:val="20"/>
                <w:szCs w:val="20"/>
              </w:rPr>
              <w:t xml:space="preserve">Fixed-size (N tokens + overlap)</w:t>
            </w:r>
          </w:p>
        </w:tc>
        <w:tc>
          <w:tcPr>
            <w:tcW w:type="dxa" w:w="3000"/>
          </w:tcPr>
          <w:p>
            <w:r>
              <w:rPr>
                <w:sz w:val="20"/>
                <w:szCs w:val="20"/>
              </w:rPr>
              <w:t xml:space="preserve">Unstructured text, quick prototypes</w:t>
            </w:r>
          </w:p>
        </w:tc>
        <w:tc>
          <w:tcPr>
            <w:tcW w:type="dxa" w:w="3000"/>
          </w:tcPr>
          <w:p>
            <w:r>
              <w:rPr>
                <w:sz w:val="20"/>
                <w:szCs w:val="20"/>
              </w:rPr>
              <w:t xml:space="preserve">Splits mid-sentence</w:t>
            </w:r>
          </w:p>
        </w:tc>
      </w:tr>
      <w:tr>
        <w:tc>
          <w:tcPr>
            <w:tcW w:type="dxa" w:w="3000"/>
          </w:tcPr>
          <w:p>
            <w:r>
              <w:rPr>
                <w:sz w:val="20"/>
                <w:szCs w:val="20"/>
              </w:rPr>
              <w:t xml:space="preserve">Sentence-based</w:t>
            </w:r>
          </w:p>
        </w:tc>
        <w:tc>
          <w:tcPr>
            <w:tcW w:type="dxa" w:w="3000"/>
          </w:tcPr>
          <w:p>
            <w:r>
              <w:rPr>
                <w:sz w:val="20"/>
                <w:szCs w:val="20"/>
              </w:rPr>
              <w:t xml:space="preserve">Clean prose, articles, Q&amp;A</w:t>
            </w:r>
          </w:p>
        </w:tc>
        <w:tc>
          <w:tcPr>
            <w:tcW w:type="dxa" w:w="3000"/>
          </w:tcPr>
          <w:p>
            <w:r>
              <w:rPr>
                <w:sz w:val="20"/>
                <w:szCs w:val="20"/>
              </w:rPr>
              <w:t xml:space="preserve">Short sentences lose context</w:t>
            </w:r>
          </w:p>
        </w:tc>
      </w:tr>
      <w:tr>
        <w:tc>
          <w:tcPr>
            <w:tcW w:type="dxa" w:w="3000"/>
          </w:tcPr>
          <w:p>
            <w:r>
              <w:rPr>
                <w:sz w:val="20"/>
                <w:szCs w:val="20"/>
              </w:rPr>
              <w:t xml:space="preserve">Recursive character</w:t>
            </w:r>
          </w:p>
        </w:tc>
        <w:tc>
          <w:tcPr>
            <w:tcW w:type="dxa" w:w="3000"/>
          </w:tcPr>
          <w:p>
            <w:r>
              <w:rPr>
                <w:sz w:val="20"/>
                <w:szCs w:val="20"/>
              </w:rPr>
              <w:t xml:space="preserve">Mixed content (prose + code + lists)</w:t>
            </w:r>
          </w:p>
        </w:tc>
        <w:tc>
          <w:tcPr>
            <w:tcW w:type="dxa" w:w="3000"/>
          </w:tcPr>
          <w:p>
            <w:r>
              <w:rPr>
                <w:sz w:val="20"/>
                <w:szCs w:val="20"/>
              </w:rPr>
              <w:t xml:space="preserve">Somewhat arbitrary boundaries</w:t>
            </w:r>
          </w:p>
        </w:tc>
      </w:tr>
      <w:tr>
        <w:tc>
          <w:tcPr>
            <w:tcW w:type="dxa" w:w="3000"/>
          </w:tcPr>
          <w:p>
            <w:r>
              <w:rPr>
                <w:sz w:val="20"/>
                <w:szCs w:val="20"/>
              </w:rPr>
              <w:t xml:space="preserve">Semantic chunking</w:t>
            </w:r>
          </w:p>
        </w:tc>
        <w:tc>
          <w:tcPr>
            <w:tcW w:type="dxa" w:w="3000"/>
          </w:tcPr>
          <w:p>
            <w:r>
              <w:rPr>
                <w:sz w:val="20"/>
                <w:szCs w:val="20"/>
              </w:rPr>
              <w:t xml:space="preserve">Long-form docs with topic transitions</w:t>
            </w:r>
          </w:p>
        </w:tc>
        <w:tc>
          <w:tcPr>
            <w:tcW w:type="dxa" w:w="3000"/>
          </w:tcPr>
          <w:p>
            <w:r>
              <w:rPr>
                <w:sz w:val="20"/>
                <w:szCs w:val="20"/>
              </w:rPr>
              <w:t xml:space="preserve">Expensive — embeds every sentence</w:t>
            </w:r>
          </w:p>
        </w:tc>
      </w:tr>
      <w:tr>
        <w:tc>
          <w:tcPr>
            <w:tcW w:type="dxa" w:w="3000"/>
          </w:tcPr>
          <w:p>
            <w:r>
              <w:rPr>
                <w:sz w:val="20"/>
                <w:szCs w:val="20"/>
              </w:rPr>
              <w:t xml:space="preserve">Document-structure-aware</w:t>
            </w:r>
          </w:p>
        </w:tc>
        <w:tc>
          <w:tcPr>
            <w:tcW w:type="dxa" w:w="3000"/>
          </w:tcPr>
          <w:p>
            <w:r>
              <w:rPr>
                <w:sz w:val="20"/>
                <w:szCs w:val="20"/>
              </w:rPr>
              <w:t xml:space="preserve">Wikis, docs sites, PDFs with structure</w:t>
            </w:r>
          </w:p>
        </w:tc>
        <w:tc>
          <w:tcPr>
            <w:tcW w:type="dxa" w:w="3000"/>
          </w:tcPr>
          <w:p>
            <w:r>
              <w:rPr>
                <w:sz w:val="20"/>
                <w:szCs w:val="20"/>
              </w:rPr>
              <w:t xml:space="preserve">Requires format-specific parsers</w:t>
            </w:r>
          </w:p>
        </w:tc>
      </w:tr>
      <w:tr>
        <w:tc>
          <w:tcPr>
            <w:tcW w:type="dxa" w:w="3000"/>
          </w:tcPr>
          <w:p>
            <w:r>
              <w:rPr>
                <w:sz w:val="20"/>
                <w:szCs w:val="20"/>
              </w:rPr>
              <w:t xml:space="preserve">Hierarchical / Parent-document</w:t>
            </w:r>
          </w:p>
        </w:tc>
        <w:tc>
          <w:tcPr>
            <w:tcW w:type="dxa" w:w="3000"/>
          </w:tcPr>
          <w:p>
            <w:r>
              <w:rPr>
                <w:sz w:val="20"/>
                <w:szCs w:val="20"/>
              </w:rPr>
              <w:t xml:space="preserve">Production systems</w:t>
            </w:r>
          </w:p>
        </w:tc>
        <w:tc>
          <w:tcPr>
            <w:tcW w:type="dxa" w:w="3000"/>
          </w:tcPr>
          <w:p>
            <w:r>
              <w:rPr>
                <w:sz w:val="20"/>
                <w:szCs w:val="20"/>
              </w:rPr>
              <w:t xml:space="preserve">More complex indexing logic</w:t>
            </w:r>
          </w:p>
        </w:tc>
      </w:tr>
    </w:tbl>
    <w:p>
      <w:pPr>
        <w:spacing w:after="100" w:before="100"/>
      </w:pPr>
    </w:p>
    <w:p>
      <w:pPr>
        <w:spacing w:after="80" w:before="80"/>
      </w:pPr>
      <w:r>
        <w:rPr>
          <w:sz w:val="22"/>
          <w:szCs w:val="22"/>
        </w:rPr>
        <w:t xml:space="preserve">Production defaults: 512 tokens, 50-token overlap for general prose. Hierarchical chunking is the current industry best practice.</w:t>
      </w:r>
    </w:p>
    <w:p>
      <w:pPr>
        <w:pStyle w:val="Heading2"/>
        <w:spacing w:after="150" w:before="300"/>
      </w:pPr>
      <w:r>
        <w:t xml:space="preserve">3. Vector Databases</w:t>
      </w:r>
    </w:p>
    <w:p>
      <w:pPr>
        <w:spacing w:after="80" w:before="80"/>
      </w:pPr>
      <w:r>
        <w:rPr>
          <w:sz w:val="22"/>
          <w:szCs w:val="22"/>
        </w:rPr>
        <w:t xml:space="preserve">Stores embeddings alongside text chunks and provides fast Approximate Nearest Neighbor (ANN) search. ANN trades a small amount of accuracy for orders-of-magnitude speed improvement — necessary to return results in under 100ms across millions of vectors.</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Database</w:t>
            </w:r>
          </w:p>
        </w:tc>
        <w:tc>
          <w:tcPr>
            <w:tcW w:type="dxa" w:w="3000"/>
            <w:shd w:fill="2E4057" w:val="clear"/>
          </w:tcPr>
          <w:p>
            <w:r>
              <w:rPr>
                <w:b/>
                <w:bCs/>
                <w:sz w:val="20"/>
                <w:szCs w:val="20"/>
              </w:rPr>
              <w:t xml:space="preserve">Type</w:t>
            </w:r>
          </w:p>
        </w:tc>
        <w:tc>
          <w:tcPr>
            <w:tcW w:type="dxa" w:w="3000"/>
            <w:shd w:fill="2E4057" w:val="clear"/>
          </w:tcPr>
          <w:p>
            <w:r>
              <w:rPr>
                <w:b/>
                <w:bCs/>
                <w:sz w:val="20"/>
                <w:szCs w:val="20"/>
              </w:rPr>
              <w:t xml:space="preserve">Best For</w:t>
            </w:r>
          </w:p>
        </w:tc>
      </w:tr>
      <w:tr>
        <w:tc>
          <w:tcPr>
            <w:tcW w:type="dxa" w:w="3000"/>
          </w:tcPr>
          <w:p>
            <w:r>
              <w:rPr>
                <w:sz w:val="20"/>
                <w:szCs w:val="20"/>
              </w:rPr>
              <w:t xml:space="preserve">Pinecone</w:t>
            </w:r>
          </w:p>
        </w:tc>
        <w:tc>
          <w:tcPr>
            <w:tcW w:type="dxa" w:w="3000"/>
          </w:tcPr>
          <w:p>
            <w:r>
              <w:rPr>
                <w:sz w:val="20"/>
                <w:szCs w:val="20"/>
              </w:rPr>
              <w:t xml:space="preserve">Managed/serverless</w:t>
            </w:r>
          </w:p>
        </w:tc>
        <w:tc>
          <w:tcPr>
            <w:tcW w:type="dxa" w:w="3000"/>
          </w:tcPr>
          <w:p>
            <w:r>
              <w:rPr>
                <w:sz w:val="20"/>
                <w:szCs w:val="20"/>
              </w:rPr>
              <w:t xml:space="preserve">Teams wanting no infrastructure overhead</w:t>
            </w:r>
          </w:p>
        </w:tc>
      </w:tr>
      <w:tr>
        <w:tc>
          <w:tcPr>
            <w:tcW w:type="dxa" w:w="3000"/>
          </w:tcPr>
          <w:p>
            <w:r>
              <w:rPr>
                <w:sz w:val="20"/>
                <w:szCs w:val="20"/>
              </w:rPr>
              <w:t xml:space="preserve">Qdrant</w:t>
            </w:r>
          </w:p>
        </w:tc>
        <w:tc>
          <w:tcPr>
            <w:tcW w:type="dxa" w:w="3000"/>
          </w:tcPr>
          <w:p>
            <w:r>
              <w:rPr>
                <w:sz w:val="20"/>
                <w:szCs w:val="20"/>
              </w:rPr>
              <w:t xml:space="preserve">Open-source (Rust)</w:t>
            </w:r>
          </w:p>
        </w:tc>
        <w:tc>
          <w:tcPr>
            <w:tcW w:type="dxa" w:w="3000"/>
          </w:tcPr>
          <w:p>
            <w:r>
              <w:rPr>
                <w:sz w:val="20"/>
                <w:szCs w:val="20"/>
              </w:rPr>
              <w:t xml:space="preserve">Self-hosted production, excellent filtering</w:t>
            </w:r>
          </w:p>
        </w:tc>
      </w:tr>
      <w:tr>
        <w:tc>
          <w:tcPr>
            <w:tcW w:type="dxa" w:w="3000"/>
          </w:tcPr>
          <w:p>
            <w:r>
              <w:rPr>
                <w:sz w:val="20"/>
                <w:szCs w:val="20"/>
              </w:rPr>
              <w:t xml:space="preserve">Weaviate</w:t>
            </w:r>
          </w:p>
        </w:tc>
        <w:tc>
          <w:tcPr>
            <w:tcW w:type="dxa" w:w="3000"/>
          </w:tcPr>
          <w:p>
            <w:r>
              <w:rPr>
                <w:sz w:val="20"/>
                <w:szCs w:val="20"/>
              </w:rPr>
              <w:t xml:space="preserve">Open-source</w:t>
            </w:r>
          </w:p>
        </w:tc>
        <w:tc>
          <w:tcPr>
            <w:tcW w:type="dxa" w:w="3000"/>
          </w:tcPr>
          <w:p>
            <w:r>
              <w:rPr>
                <w:sz w:val="20"/>
                <w:szCs w:val="20"/>
              </w:rPr>
              <w:t xml:space="preserve">Built-in hybrid search (vector + BM25)</w:t>
            </w:r>
          </w:p>
        </w:tc>
      </w:tr>
      <w:tr>
        <w:tc>
          <w:tcPr>
            <w:tcW w:type="dxa" w:w="3000"/>
          </w:tcPr>
          <w:p>
            <w:r>
              <w:rPr>
                <w:sz w:val="20"/>
                <w:szCs w:val="20"/>
              </w:rPr>
              <w:t xml:space="preserve">pgvector</w:t>
            </w:r>
          </w:p>
        </w:tc>
        <w:tc>
          <w:tcPr>
            <w:tcW w:type="dxa" w:w="3000"/>
          </w:tcPr>
          <w:p>
            <w:r>
              <w:rPr>
                <w:sz w:val="20"/>
                <w:szCs w:val="20"/>
              </w:rPr>
              <w:t xml:space="preserve">Postgres extension</w:t>
            </w:r>
          </w:p>
        </w:tc>
        <w:tc>
          <w:tcPr>
            <w:tcW w:type="dxa" w:w="3000"/>
          </w:tcPr>
          <w:p>
            <w:r>
              <w:rPr>
                <w:sz w:val="20"/>
                <w:szCs w:val="20"/>
              </w:rPr>
              <w:t xml:space="preserve">Teams already on Postgres, moderate scale</w:t>
            </w:r>
          </w:p>
        </w:tc>
      </w:tr>
      <w:tr>
        <w:tc>
          <w:tcPr>
            <w:tcW w:type="dxa" w:w="3000"/>
          </w:tcPr>
          <w:p>
            <w:r>
              <w:rPr>
                <w:sz w:val="20"/>
                <w:szCs w:val="20"/>
              </w:rPr>
              <w:t xml:space="preserve">FAISS</w:t>
            </w:r>
          </w:p>
        </w:tc>
        <w:tc>
          <w:tcPr>
            <w:tcW w:type="dxa" w:w="3000"/>
          </w:tcPr>
          <w:p>
            <w:r>
              <w:rPr>
                <w:sz w:val="20"/>
                <w:szCs w:val="20"/>
              </w:rPr>
              <w:t xml:space="preserve">In-memory library</w:t>
            </w:r>
          </w:p>
        </w:tc>
        <w:tc>
          <w:tcPr>
            <w:tcW w:type="dxa" w:w="3000"/>
          </w:tcPr>
          <w:p>
            <w:r>
              <w:rPr>
                <w:sz w:val="20"/>
                <w:szCs w:val="20"/>
              </w:rPr>
              <w:t xml:space="preserve">Prototyping and offline batch only — NOT production</w:t>
            </w:r>
          </w:p>
        </w:tc>
      </w:tr>
    </w:tbl>
    <w:p>
      <w:pPr>
        <w:spacing w:after="100" w:before="100"/>
      </w:pPr>
    </w:p>
    <w:p>
      <w:pPr>
        <w:spacing w:after="80" w:before="80"/>
      </w:pPr>
      <w:r>
        <w:rPr>
          <w:sz w:val="22"/>
          <w:szCs w:val="22"/>
        </w:rPr>
        <w:t xml:space="preserve">Recommendation: Start with pgvector if on Postgres. Move to Qdrant or Pinecone at scale.</w:t>
      </w:r>
    </w:p>
    <w:p>
      <w:pPr>
        <w:pStyle w:val="Heading2"/>
        <w:spacing w:after="150" w:before="300"/>
      </w:pPr>
      <w:r>
        <w:t xml:space="preserve">4. Retrieval &amp; Ranking</w:t>
      </w:r>
    </w:p>
    <w:p>
      <w:pPr>
        <w:spacing w:after="80" w:before="80"/>
      </w:pPr>
      <w:r>
        <w:rPr>
          <w:sz w:val="22"/>
          <w:szCs w:val="22"/>
        </w:rPr>
        <w:t xml:space="preserve">Stage 1 — Dense Retrieval: Vector similarity search. Fast, semantic. Returns top-K candidates (typically 20–50).</w:t>
      </w:r>
    </w:p>
    <w:p>
      <w:pPr>
        <w:spacing w:after="80" w:before="80"/>
      </w:pPr>
      <w:r>
        <w:rPr>
          <w:sz w:val="22"/>
          <w:szCs w:val="22"/>
        </w:rPr>
        <w:t xml:space="preserve">Stage 2 — Reranking: A cross-encoder model takes each (query, chunk) pair and scores relevance precisely. Slower but significantly more accurate. Rerank top-K, take top-N (typically 3–5) for the LLM.</w:t>
      </w:r>
    </w:p>
    <w:p>
      <w:pPr>
        <w:spacing w:after="80" w:before="80"/>
      </w:pPr>
      <w:r>
        <w:rPr>
          <w:sz w:val="22"/>
          <w:szCs w:val="22"/>
        </w:rPr>
        <w:t xml:space="preserve">Hybrid Search: Combine dense vector search with BM25 keyword search. Scores fused via Reciprocal Rank Fusion (RRF). Catches exact keyword matches that semantic search misses — product codes, names, identifiers.</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
            </w:r>
          </w:p>
        </w:tc>
        <w:tc>
          <w:tcPr>
            <w:tcW w:type="dxa" w:w="3000"/>
            <w:shd w:fill="2E4057" w:val="clear"/>
          </w:tcPr>
          <w:p>
            <w:r>
              <w:rPr>
                <w:b/>
                <w:bCs/>
                <w:sz w:val="20"/>
                <w:szCs w:val="20"/>
              </w:rPr>
              <w:t xml:space="preserve">Bi-encoder (vector search)</w:t>
            </w:r>
          </w:p>
        </w:tc>
        <w:tc>
          <w:tcPr>
            <w:tcW w:type="dxa" w:w="3000"/>
            <w:shd w:fill="2E4057" w:val="clear"/>
          </w:tcPr>
          <w:p>
            <w:r>
              <w:rPr>
                <w:b/>
                <w:bCs/>
                <w:sz w:val="20"/>
                <w:szCs w:val="20"/>
              </w:rPr>
              <w:t xml:space="preserve">Cross-encoder (reranker)</w:t>
            </w:r>
          </w:p>
        </w:tc>
      </w:tr>
      <w:tr>
        <w:tc>
          <w:tcPr>
            <w:tcW w:type="dxa" w:w="3000"/>
          </w:tcPr>
          <w:p>
            <w:r>
              <w:rPr>
                <w:sz w:val="20"/>
                <w:szCs w:val="20"/>
              </w:rPr>
              <w:t xml:space="preserve">How it works</w:t>
            </w:r>
          </w:p>
        </w:tc>
        <w:tc>
          <w:tcPr>
            <w:tcW w:type="dxa" w:w="3000"/>
          </w:tcPr>
          <w:p>
            <w:r>
              <w:rPr>
                <w:sz w:val="20"/>
                <w:szCs w:val="20"/>
              </w:rPr>
              <w:t xml:space="preserve">Encode query and doc separately, compare vectors</w:t>
            </w:r>
          </w:p>
        </w:tc>
        <w:tc>
          <w:tcPr>
            <w:tcW w:type="dxa" w:w="3000"/>
          </w:tcPr>
          <w:p>
            <w:r>
              <w:rPr>
                <w:sz w:val="20"/>
                <w:szCs w:val="20"/>
              </w:rPr>
              <w:t xml:space="preserve">Encode query + doc together, joint attention</w:t>
            </w:r>
          </w:p>
        </w:tc>
      </w:tr>
      <w:tr>
        <w:tc>
          <w:tcPr>
            <w:tcW w:type="dxa" w:w="3000"/>
          </w:tcPr>
          <w:p>
            <w:r>
              <w:rPr>
                <w:sz w:val="20"/>
                <w:szCs w:val="20"/>
              </w:rPr>
              <w:t xml:space="preserve">Speed</w:t>
            </w:r>
          </w:p>
        </w:tc>
        <w:tc>
          <w:tcPr>
            <w:tcW w:type="dxa" w:w="3000"/>
          </w:tcPr>
          <w:p>
            <w:r>
              <w:rPr>
                <w:sz w:val="20"/>
                <w:szCs w:val="20"/>
              </w:rPr>
              <w:t xml:space="preserve">Very fast (ANN index)</w:t>
            </w:r>
          </w:p>
        </w:tc>
        <w:tc>
          <w:tcPr>
            <w:tcW w:type="dxa" w:w="3000"/>
          </w:tcPr>
          <w:p>
            <w:r>
              <w:rPr>
                <w:sz w:val="20"/>
                <w:szCs w:val="20"/>
              </w:rPr>
              <w:t xml:space="preserve">Slow (runs on each candidate)</w:t>
            </w:r>
          </w:p>
        </w:tc>
      </w:tr>
      <w:tr>
        <w:tc>
          <w:tcPr>
            <w:tcW w:type="dxa" w:w="3000"/>
          </w:tcPr>
          <w:p>
            <w:r>
              <w:rPr>
                <w:sz w:val="20"/>
                <w:szCs w:val="20"/>
              </w:rPr>
              <w:t xml:space="preserve">Accuracy</w:t>
            </w:r>
          </w:p>
        </w:tc>
        <w:tc>
          <w:tcPr>
            <w:tcW w:type="dxa" w:w="3000"/>
          </w:tcPr>
          <w:p>
            <w:r>
              <w:rPr>
                <w:sz w:val="20"/>
                <w:szCs w:val="20"/>
              </w:rPr>
              <w:t xml:space="preserve">Approximate</w:t>
            </w:r>
          </w:p>
        </w:tc>
        <w:tc>
          <w:tcPr>
            <w:tcW w:type="dxa" w:w="3000"/>
          </w:tcPr>
          <w:p>
            <w:r>
              <w:rPr>
                <w:sz w:val="20"/>
                <w:szCs w:val="20"/>
              </w:rPr>
              <w:t xml:space="preserve">Precise</w:t>
            </w:r>
          </w:p>
        </w:tc>
      </w:tr>
      <w:tr>
        <w:tc>
          <w:tcPr>
            <w:tcW w:type="dxa" w:w="3000"/>
          </w:tcPr>
          <w:p>
            <w:r>
              <w:rPr>
                <w:sz w:val="20"/>
                <w:szCs w:val="20"/>
              </w:rPr>
              <w:t xml:space="preserve">Use case</w:t>
            </w:r>
          </w:p>
        </w:tc>
        <w:tc>
          <w:tcPr>
            <w:tcW w:type="dxa" w:w="3000"/>
          </w:tcPr>
          <w:p>
            <w:r>
              <w:rPr>
                <w:sz w:val="20"/>
                <w:szCs w:val="20"/>
              </w:rPr>
              <w:t xml:space="preserve">Recall over millions of docs</w:t>
            </w:r>
          </w:p>
        </w:tc>
        <w:tc>
          <w:tcPr>
            <w:tcW w:type="dxa" w:w="3000"/>
          </w:tcPr>
          <w:p>
            <w:r>
              <w:rPr>
                <w:sz w:val="20"/>
                <w:szCs w:val="20"/>
              </w:rPr>
              <w:t xml:space="preserve">Precision over top-50 candidates</w:t>
            </w:r>
          </w:p>
        </w:tc>
      </w:tr>
    </w:tbl>
    <w:p>
      <w:pPr>
        <w:spacing w:after="100" w:before="100"/>
      </w:pPr>
    </w:p>
    <w:p>
      <w:pPr>
        <w:pStyle w:val="Heading2"/>
        <w:spacing w:after="150" w:before="300"/>
      </w:pPr>
      <w:r>
        <w:t xml:space="preserve">5. Prompt Construction</w:t>
      </w:r>
    </w:p>
    <w:p>
      <w:pPr>
        <w:spacing w:after="60" w:before="60"/>
        <w:ind w:left="720"/>
      </w:pPr>
      <w:r>
        <w:rPr>
          <w:rFonts w:ascii="Courier New" w:cs="Courier New" w:eastAsia="Courier New" w:hAnsi="Courier New"/>
          <w:color w:val="1F497D"/>
          <w:sz w:val="18"/>
          <w:szCs w:val="18"/>
        </w:rPr>
        <w:t xml:space="preserve">System Prompt:</w:t>
      </w:r>
    </w:p>
    <w:p>
      <w:pPr>
        <w:spacing w:after="60" w:before="60"/>
        <w:ind w:left="720"/>
      </w:pPr>
      <w:r>
        <w:rPr>
          <w:rFonts w:ascii="Courier New" w:cs="Courier New" w:eastAsia="Courier New" w:hAnsi="Courier New"/>
          <w:color w:val="1F497D"/>
          <w:sz w:val="18"/>
          <w:szCs w:val="18"/>
        </w:rPr>
        <w:t xml:space="preserve">  You are a helpful assistant. Answer using ONLY the provided context.</w:t>
      </w:r>
    </w:p>
    <w:p>
      <w:pPr>
        <w:spacing w:after="60" w:before="60"/>
        <w:ind w:left="720"/>
      </w:pPr>
      <w:r>
        <w:rPr>
          <w:rFonts w:ascii="Courier New" w:cs="Courier New" w:eastAsia="Courier New" w:hAnsi="Courier New"/>
          <w:color w:val="1F497D"/>
          <w:sz w:val="18"/>
          <w:szCs w:val="18"/>
        </w:rPr>
        <w:t xml:space="preserve">  If the context does not contain the answer, say so explicitly.</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Retrieved Context:</w:t>
      </w:r>
    </w:p>
    <w:p>
      <w:pPr>
        <w:spacing w:after="60" w:before="60"/>
        <w:ind w:left="720"/>
      </w:pPr>
      <w:r>
        <w:rPr>
          <w:rFonts w:ascii="Courier New" w:cs="Courier New" w:eastAsia="Courier New" w:hAnsi="Courier New"/>
          <w:color w:val="1F497D"/>
          <w:sz w:val="18"/>
          <w:szCs w:val="18"/>
        </w:rPr>
        <w:t xml:space="preserve">  [SOURCE 1 - chunk text]</w:t>
      </w:r>
    </w:p>
    <w:p>
      <w:pPr>
        <w:spacing w:after="60" w:before="60"/>
        <w:ind w:left="720"/>
      </w:pPr>
      <w:r>
        <w:rPr>
          <w:rFonts w:ascii="Courier New" w:cs="Courier New" w:eastAsia="Courier New" w:hAnsi="Courier New"/>
          <w:color w:val="1F497D"/>
          <w:sz w:val="18"/>
          <w:szCs w:val="18"/>
        </w:rPr>
        <w:t xml:space="preserve">  [SOURCE 2 - chunk text]</w:t>
      </w:r>
    </w:p>
    <w:p>
      <w:pPr>
        <w:spacing w:after="60" w:before="60"/>
        <w:ind w:left="720"/>
      </w:pPr>
      <w:r>
        <w:rPr>
          <w:rFonts w:ascii="Courier New" w:cs="Courier New" w:eastAsia="Courier New" w:hAnsi="Courier New"/>
          <w:color w:val="1F497D"/>
          <w:sz w:val="18"/>
          <w:szCs w:val="18"/>
        </w:rPr>
        <w:t xml:space="preserve">  [SOURCE 3 - chunk text]</w:t>
      </w:r>
    </w:p>
    <w:p>
      <w:pPr>
        <w:spacing w:after="60" w:before="60"/>
        <w:ind w:left="720"/>
      </w:pPr>
      <w:r>
        <w:rPr>
          <w:rFonts w:ascii="Courier New" w:cs="Courier New" w:eastAsia="Courier New" w:hAnsi="Courier New"/>
          <w:color w:val="1F497D"/>
          <w:sz w:val="18"/>
          <w:szCs w:val="18"/>
        </w:rPr>
        <w:t xml:space="preserve"/>
      </w:r>
    </w:p>
    <w:p>
      <w:pPr>
        <w:spacing w:after="60" w:before="60"/>
        <w:ind w:left="720"/>
      </w:pPr>
      <w:r>
        <w:rPr>
          <w:rFonts w:ascii="Courier New" w:cs="Courier New" w:eastAsia="Courier New" w:hAnsi="Courier New"/>
          <w:color w:val="1F497D"/>
          <w:sz w:val="18"/>
          <w:szCs w:val="18"/>
        </w:rPr>
        <w:t xml:space="preserve">User Query:</w:t>
      </w:r>
    </w:p>
    <w:p>
      <w:pPr>
        <w:spacing w:after="60" w:before="60"/>
        <w:ind w:left="720"/>
      </w:pPr>
      <w:r>
        <w:rPr>
          <w:rFonts w:ascii="Courier New" w:cs="Courier New" w:eastAsia="Courier New" w:hAnsi="Courier New"/>
          <w:color w:val="1F497D"/>
          <w:sz w:val="18"/>
          <w:szCs w:val="18"/>
        </w:rPr>
        <w:t xml:space="preserve">  {user's question}</w:t>
      </w:r>
    </w:p>
    <w:p>
      <w:pPr>
        <w:spacing w:after="80" w:before="80"/>
      </w:pPr>
      <w:r>
        <w:rPr>
          <w:sz w:val="22"/>
          <w:szCs w:val="22"/>
        </w:rPr>
        <w:t xml:space="preserve">Key insight: "Lost in the middle" — models perform worse on information in the middle of long contexts. Put highest-ranked chunks first. Always instruct the model to admit when it doesn't know, or it will hallucinate from training data when retrieval comes up empty.</w:t>
      </w:r>
    </w:p>
    <w:p>
      <w:pPr>
        <w:pBdr>
          <w:bottom w:val="single" w:color="CCCCCC" w:sz="6"/>
        </w:pBdr>
        <w:spacing w:after="200" w:before="200"/>
      </w:pPr>
    </w:p>
    <w:p>
      <w:pPr>
        <w:pStyle w:val="Heading1"/>
        <w:spacing w:after="200" w:before="400"/>
      </w:pPr>
      <w:r>
        <w:t xml:space="preserve">Session 3: Deep Dives — Similarity Metrics &amp; Embedding Models</w:t>
      </w:r>
    </w:p>
    <w:p>
      <w:pPr>
        <w:pStyle w:val="Heading2"/>
        <w:spacing w:after="150" w:before="300"/>
      </w:pPr>
      <w:r>
        <w:t xml:space="preserve">Euclidean Distance</w:t>
      </w:r>
    </w:p>
    <w:p>
      <w:pPr>
        <w:spacing w:after="60" w:before="60"/>
        <w:ind w:left="720"/>
      </w:pPr>
      <w:r>
        <w:rPr>
          <w:rFonts w:ascii="Courier New" w:cs="Courier New" w:eastAsia="Courier New" w:hAnsi="Courier New"/>
          <w:color w:val="1F497D"/>
          <w:sz w:val="18"/>
          <w:szCs w:val="18"/>
        </w:rPr>
        <w:t xml:space="preserve">d(A, B) = √( Σ (Aᵢ - Bᵢ)² )</w:t>
      </w:r>
    </w:p>
    <w:p>
      <w:pPr>
        <w:spacing w:after="60" w:before="60"/>
        <w:ind w:left="720"/>
      </w:pPr>
      <w:r>
        <w:rPr>
          <w:rFonts w:ascii="Courier New" w:cs="Courier New" w:eastAsia="Courier New" w:hAnsi="Courier New"/>
          <w:color w:val="1F497D"/>
          <w:sz w:val="18"/>
          <w:szCs w:val="18"/>
        </w:rPr>
        <w:t xml:space="preserve">Example: A=[1,2,3], B=[4,6,3]</w:t>
      </w:r>
    </w:p>
    <w:p>
      <w:pPr>
        <w:spacing w:after="60" w:before="60"/>
        <w:ind w:left="720"/>
      </w:pPr>
      <w:r>
        <w:rPr>
          <w:rFonts w:ascii="Courier New" w:cs="Courier New" w:eastAsia="Courier New" w:hAnsi="Courier New"/>
          <w:color w:val="1F497D"/>
          <w:sz w:val="18"/>
          <w:szCs w:val="18"/>
        </w:rPr>
        <w:t xml:space="preserve">= √((4-1)² + (6-2)² + (3-3)²) = √(9+16+0) = 5</w:t>
      </w:r>
    </w:p>
    <w:p>
      <w:pPr>
        <w:spacing w:after="80" w:before="80"/>
      </w:pPr>
      <w:r>
        <w:rPr>
          <w:sz w:val="22"/>
          <w:szCs w:val="22"/>
        </w:rPr>
        <w:t xml:space="preserve">Measures straight-line distance between points. Conflates magnitude and direction — a long document and short document about the same topic score as far apart even if semantically identical.</w:t>
      </w:r>
    </w:p>
    <w:p>
      <w:pPr>
        <w:pStyle w:val="Heading2"/>
        <w:spacing w:after="150" w:before="300"/>
      </w:pPr>
      <w:r>
        <w:t xml:space="preserve">Cosine Similarity</w:t>
      </w:r>
    </w:p>
    <w:p>
      <w:pPr>
        <w:spacing w:after="60" w:before="60"/>
        <w:ind w:left="720"/>
      </w:pPr>
      <w:r>
        <w:rPr>
          <w:rFonts w:ascii="Courier New" w:cs="Courier New" w:eastAsia="Courier New" w:hAnsi="Courier New"/>
          <w:color w:val="1F497D"/>
          <w:sz w:val="18"/>
          <w:szCs w:val="18"/>
        </w:rPr>
        <w:t xml:space="preserve">cos_sim(A, B) = (A · B) / (||A|| × ||B||)</w:t>
      </w:r>
    </w:p>
    <w:p>
      <w:pPr>
        <w:spacing w:after="60" w:before="60"/>
        <w:ind w:left="720"/>
      </w:pPr>
      <w:r>
        <w:rPr>
          <w:rFonts w:ascii="Courier New" w:cs="Courier New" w:eastAsia="Courier New" w:hAnsi="Courier New"/>
          <w:color w:val="1F497D"/>
          <w:sz w:val="18"/>
          <w:szCs w:val="18"/>
        </w:rPr>
        <w:t xml:space="preserve">Range: -1 (opposite) to 1 (identical direction)</w:t>
      </w:r>
    </w:p>
    <w:p>
      <w:pPr>
        <w:spacing w:after="80" w:before="80"/>
      </w:pPr>
      <w:r>
        <w:rPr>
          <w:sz w:val="22"/>
          <w:szCs w:val="22"/>
        </w:rPr>
        <w:t xml:space="preserve">Measures the angle between vectors, ignoring magnitude. Scale-invariant — a short query and a long document about the same topic score as similar. This is the correct metric for RAG.</w:t>
      </w:r>
    </w:p>
    <w:p>
      <w:pPr>
        <w:pStyle w:val="Heading2"/>
        <w:spacing w:after="150" w:before="300"/>
      </w:pPr>
      <w:r>
        <w:t xml:space="preserve">Cosine Distance</w:t>
      </w:r>
    </w:p>
    <w:p>
      <w:pPr>
        <w:spacing w:after="60" w:before="60"/>
        <w:ind w:left="720"/>
      </w:pPr>
      <w:r>
        <w:rPr>
          <w:rFonts w:ascii="Courier New" w:cs="Courier New" w:eastAsia="Courier New" w:hAnsi="Courier New"/>
          <w:color w:val="1F497D"/>
          <w:sz w:val="18"/>
          <w:szCs w:val="18"/>
        </w:rPr>
        <w:t xml:space="preserve">cosine_distance = 1 - cosine_similarity   (Range: 0 to 2)</w:t>
      </w:r>
    </w:p>
    <w:p>
      <w:pPr>
        <w:spacing w:after="80" w:before="80"/>
      </w:pPr>
      <w:r>
        <w:rPr>
          <w:sz w:val="22"/>
          <w:szCs w:val="22"/>
        </w:rPr>
        <w:t xml:space="preserve">Used internally by vector databases for index construction. You think in similarity (higher = more relevant). The DB handles the inversion internally.</w:t>
      </w:r>
    </w:p>
    <w:p>
      <w:pPr>
        <w:pStyle w:val="Heading2"/>
        <w:spacing w:after="150" w:before="300"/>
      </w:pPr>
      <w:r>
        <w:t xml:space="preserve">Dot Product / MIP</w:t>
      </w:r>
    </w:p>
    <w:p>
      <w:pPr>
        <w:spacing w:after="60" w:before="60"/>
        <w:ind w:left="720"/>
      </w:pPr>
      <w:r>
        <w:rPr>
          <w:rFonts w:ascii="Courier New" w:cs="Courier New" w:eastAsia="Courier New" w:hAnsi="Courier New"/>
          <w:color w:val="1F497D"/>
          <w:sz w:val="18"/>
          <w:szCs w:val="18"/>
        </w:rPr>
        <w:t xml:space="preserve">dot_product(A, B) = Σ(Aᵢ × Bᵢ)</w:t>
      </w:r>
    </w:p>
    <w:p>
      <w:pPr>
        <w:spacing w:after="80" w:before="80"/>
      </w:pPr>
      <w:r>
        <w:rPr>
          <w:sz w:val="22"/>
          <w:szCs w:val="22"/>
        </w:rPr>
        <w:t xml:space="preserve">Cosine similarity without magnitude normalization. Equivalent to cosine similarity when vectors are pre-normalized (unit vectors). Most modern embedding models output pre-normalized vectors — check the model card. MIP indexes are faster than cosine indexes, so normalizing before inserting gives speed + accuracy.</w:t>
      </w:r>
    </w:p>
    <w:p>
      <w:pPr>
        <w:pStyle w:val="Heading2"/>
        <w:spacing w:after="150" w:before="300"/>
      </w:pPr>
      <w:r>
        <w:t xml:space="preserve">Embedding Normalization</w:t>
      </w:r>
    </w:p>
    <w:p>
      <w:pPr>
        <w:spacing w:after="60" w:before="60"/>
        <w:ind w:left="720"/>
      </w:pPr>
      <w:r>
        <w:rPr>
          <w:rFonts w:ascii="Courier New" w:cs="Courier New" w:eastAsia="Courier New" w:hAnsi="Courier New"/>
          <w:color w:val="1F497D"/>
          <w:sz w:val="18"/>
          <w:szCs w:val="18"/>
        </w:rPr>
        <w:t xml:space="preserve">v = [3, 4]</w:t>
      </w:r>
    </w:p>
    <w:p>
      <w:pPr>
        <w:spacing w:after="60" w:before="60"/>
        <w:ind w:left="720"/>
      </w:pPr>
      <w:r>
        <w:rPr>
          <w:rFonts w:ascii="Courier New" w:cs="Courier New" w:eastAsia="Courier New" w:hAnsi="Courier New"/>
          <w:color w:val="1F497D"/>
          <w:sz w:val="18"/>
          <w:szCs w:val="18"/>
        </w:rPr>
        <w:t xml:space="preserve">||v|| = √(3² + 4²) = 5</w:t>
      </w:r>
    </w:p>
    <w:p>
      <w:pPr>
        <w:spacing w:after="60" w:before="60"/>
        <w:ind w:left="720"/>
      </w:pPr>
      <w:r>
        <w:rPr>
          <w:rFonts w:ascii="Courier New" w:cs="Courier New" w:eastAsia="Courier New" w:hAnsi="Courier New"/>
          <w:color w:val="1F497D"/>
          <w:sz w:val="18"/>
          <w:szCs w:val="18"/>
        </w:rPr>
        <w:t xml:space="preserve">normalized = [3/5, 4/5] = [0.6, 0.8]</w:t>
      </w:r>
    </w:p>
    <w:p>
      <w:pPr>
        <w:spacing w:after="60" w:before="60"/>
        <w:ind w:left="720"/>
      </w:pPr>
      <w:r>
        <w:rPr>
          <w:rFonts w:ascii="Courier New" w:cs="Courier New" w:eastAsia="Courier New" w:hAnsi="Courier New"/>
          <w:color w:val="1F497D"/>
          <w:sz w:val="18"/>
          <w:szCs w:val="18"/>
        </w:rPr>
        <w:t xml:space="preserve">Verify: √(0.6² + 0.8²) = √1 = 1 ✓</w:t>
      </w:r>
    </w:p>
    <w:p>
      <w:pPr>
        <w:spacing w:after="80" w:before="80"/>
      </w:pPr>
      <w:r>
        <w:rPr>
          <w:sz w:val="22"/>
          <w:szCs w:val="22"/>
        </w:rPr>
        <w:t xml:space="preserve">Dividing a vector by its L2 norm produces a unit vector (length = 1). Once normalized, dot product = cosine similarity.</w:t>
      </w:r>
    </w:p>
    <w:p>
      <w:pPr>
        <w:pStyle w:val="Heading2"/>
        <w:spacing w:after="150" w:before="300"/>
      </w:pPr>
      <w:r>
        <w:t xml:space="preserve">Decision Table</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4057" w:val="clear"/>
          </w:tcPr>
          <w:p>
            <w:r>
              <w:rPr>
                <w:b/>
                <w:bCs/>
                <w:sz w:val="20"/>
                <w:szCs w:val="20"/>
              </w:rPr>
              <w:t xml:space="preserve">Metric</w:t>
            </w:r>
          </w:p>
        </w:tc>
        <w:tc>
          <w:tcPr>
            <w:tcW w:type="dxa" w:w="4500"/>
            <w:shd w:fill="2E4057" w:val="clear"/>
          </w:tcPr>
          <w:p>
            <w:r>
              <w:rPr>
                <w:b/>
                <w:bCs/>
                <w:sz w:val="20"/>
                <w:szCs w:val="20"/>
              </w:rPr>
              <w:t xml:space="preserve">Use When</w:t>
            </w:r>
          </w:p>
        </w:tc>
      </w:tr>
      <w:tr>
        <w:tc>
          <w:tcPr>
            <w:tcW w:type="dxa" w:w="4500"/>
          </w:tcPr>
          <w:p>
            <w:r>
              <w:rPr>
                <w:sz w:val="20"/>
                <w:szCs w:val="20"/>
              </w:rPr>
              <w:t xml:space="preserve">Cosine similarity</w:t>
            </w:r>
          </w:p>
        </w:tc>
        <w:tc>
          <w:tcPr>
            <w:tcW w:type="dxa" w:w="4500"/>
          </w:tcPr>
          <w:p>
            <w:r>
              <w:rPr>
                <w:sz w:val="20"/>
                <w:szCs w:val="20"/>
              </w:rPr>
              <w:t xml:space="preserve">Default for RAG, vectors not normalized</w:t>
            </w:r>
          </w:p>
        </w:tc>
      </w:tr>
      <w:tr>
        <w:tc>
          <w:tcPr>
            <w:tcW w:type="dxa" w:w="4500"/>
          </w:tcPr>
          <w:p>
            <w:r>
              <w:rPr>
                <w:sz w:val="20"/>
                <w:szCs w:val="20"/>
              </w:rPr>
              <w:t xml:space="preserve">Dot product / MIP</w:t>
            </w:r>
          </w:p>
        </w:tc>
        <w:tc>
          <w:tcPr>
            <w:tcW w:type="dxa" w:w="4500"/>
          </w:tcPr>
          <w:p>
            <w:r>
              <w:rPr>
                <w:sz w:val="20"/>
                <w:szCs w:val="20"/>
              </w:rPr>
              <w:t xml:space="preserve">Vectors are pre-normalized (most modern models)</w:t>
            </w:r>
          </w:p>
        </w:tc>
      </w:tr>
      <w:tr>
        <w:tc>
          <w:tcPr>
            <w:tcW w:type="dxa" w:w="4500"/>
          </w:tcPr>
          <w:p>
            <w:r>
              <w:rPr>
                <w:sz w:val="20"/>
                <w:szCs w:val="20"/>
              </w:rPr>
              <w:t xml:space="preserve">Euclidean distance</w:t>
            </w:r>
          </w:p>
        </w:tc>
        <w:tc>
          <w:tcPr>
            <w:tcW w:type="dxa" w:w="4500"/>
          </w:tcPr>
          <w:p>
            <w:r>
              <w:rPr>
                <w:sz w:val="20"/>
                <w:szCs w:val="20"/>
              </w:rPr>
              <w:t xml:space="preserve">Computer vision, clustering — rarely in RAG</w:t>
            </w:r>
          </w:p>
        </w:tc>
      </w:tr>
      <w:tr>
        <w:tc>
          <w:tcPr>
            <w:tcW w:type="dxa" w:w="4500"/>
          </w:tcPr>
          <w:p>
            <w:r>
              <w:rPr>
                <w:sz w:val="20"/>
                <w:szCs w:val="20"/>
              </w:rPr>
              <w:t xml:space="preserve">Cosine distance</w:t>
            </w:r>
          </w:p>
        </w:tc>
        <w:tc>
          <w:tcPr>
            <w:tcW w:type="dxa" w:w="4500"/>
          </w:tcPr>
          <w:p>
            <w:r>
              <w:rPr>
                <w:sz w:val="20"/>
                <w:szCs w:val="20"/>
              </w:rPr>
              <w:t xml:space="preserve">Internal to vector DB indexing — not your concern</w:t>
            </w:r>
          </w:p>
        </w:tc>
      </w:tr>
    </w:tbl>
    <w:p>
      <w:pPr>
        <w:spacing w:after="100" w:before="200"/>
      </w:pPr>
    </w:p>
    <w:p>
      <w:pPr>
        <w:pStyle w:val="Heading2"/>
        <w:spacing w:after="150" w:before="300"/>
      </w:pPr>
      <w:r>
        <w:t xml:space="preserve">Embedding Models Reference</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4057" w:val="clear"/>
          </w:tcPr>
          <w:p>
            <w:r>
              <w:rPr>
                <w:b/>
                <w:bCs/>
                <w:sz w:val="20"/>
                <w:szCs w:val="20"/>
              </w:rPr>
              <w:t xml:space="preserve">Model</w:t>
            </w:r>
          </w:p>
        </w:tc>
        <w:tc>
          <w:tcPr>
            <w:tcW w:type="dxa" w:w="1800"/>
            <w:shd w:fill="2E4057" w:val="clear"/>
          </w:tcPr>
          <w:p>
            <w:r>
              <w:rPr>
                <w:b/>
                <w:bCs/>
                <w:sz w:val="20"/>
                <w:szCs w:val="20"/>
              </w:rPr>
              <w:t xml:space="preserve">Provider</w:t>
            </w:r>
          </w:p>
        </w:tc>
        <w:tc>
          <w:tcPr>
            <w:tcW w:type="dxa" w:w="1800"/>
            <w:shd w:fill="2E4057" w:val="clear"/>
          </w:tcPr>
          <w:p>
            <w:r>
              <w:rPr>
                <w:b/>
                <w:bCs/>
                <w:sz w:val="20"/>
                <w:szCs w:val="20"/>
              </w:rPr>
              <w:t xml:space="preserve">Dims</w:t>
            </w:r>
          </w:p>
        </w:tc>
        <w:tc>
          <w:tcPr>
            <w:tcW w:type="dxa" w:w="1800"/>
            <w:shd w:fill="2E4057" w:val="clear"/>
          </w:tcPr>
          <w:p>
            <w:r>
              <w:rPr>
                <w:b/>
                <w:bCs/>
                <w:sz w:val="20"/>
                <w:szCs w:val="20"/>
              </w:rPr>
              <w:t xml:space="preserve">Max Tokens</w:t>
            </w:r>
          </w:p>
        </w:tc>
        <w:tc>
          <w:tcPr>
            <w:tcW w:type="dxa" w:w="1800"/>
            <w:shd w:fill="2E4057" w:val="clear"/>
          </w:tcPr>
          <w:p>
            <w:r>
              <w:rPr>
                <w:b/>
                <w:bCs/>
                <w:sz w:val="20"/>
                <w:szCs w:val="20"/>
              </w:rPr>
              <w:t xml:space="preserve">Notes</w:t>
            </w:r>
          </w:p>
        </w:tc>
      </w:tr>
      <w:tr>
        <w:tc>
          <w:tcPr>
            <w:tcW w:type="dxa" w:w="1800"/>
          </w:tcPr>
          <w:p>
            <w:r>
              <w:rPr>
                <w:sz w:val="20"/>
                <w:szCs w:val="20"/>
              </w:rPr>
              <w:t xml:space="preserve">text-embedding-3-small</w:t>
            </w:r>
          </w:p>
        </w:tc>
        <w:tc>
          <w:tcPr>
            <w:tcW w:type="dxa" w:w="1800"/>
          </w:tcPr>
          <w:p>
            <w:r>
              <w:rPr>
                <w:sz w:val="20"/>
                <w:szCs w:val="20"/>
              </w:rPr>
              <w:t xml:space="preserve">OpenAI</w:t>
            </w:r>
          </w:p>
        </w:tc>
        <w:tc>
          <w:tcPr>
            <w:tcW w:type="dxa" w:w="1800"/>
          </w:tcPr>
          <w:p>
            <w:r>
              <w:rPr>
                <w:sz w:val="20"/>
                <w:szCs w:val="20"/>
              </w:rPr>
              <w:t xml:space="preserve">1536</w:t>
            </w:r>
          </w:p>
        </w:tc>
        <w:tc>
          <w:tcPr>
            <w:tcW w:type="dxa" w:w="1800"/>
          </w:tcPr>
          <w:p>
            <w:r>
              <w:rPr>
                <w:sz w:val="20"/>
                <w:szCs w:val="20"/>
              </w:rPr>
              <w:t xml:space="preserve">8191</w:t>
            </w:r>
          </w:p>
        </w:tc>
        <w:tc>
          <w:tcPr>
            <w:tcW w:type="dxa" w:w="1800"/>
          </w:tcPr>
          <w:p>
            <w:r>
              <w:rPr>
                <w:sz w:val="20"/>
                <w:szCs w:val="20"/>
              </w:rPr>
              <w:t xml:space="preserve">Best price/perf</w:t>
            </w:r>
          </w:p>
        </w:tc>
      </w:tr>
      <w:tr>
        <w:tc>
          <w:tcPr>
            <w:tcW w:type="dxa" w:w="1800"/>
          </w:tcPr>
          <w:p>
            <w:r>
              <w:rPr>
                <w:sz w:val="20"/>
                <w:szCs w:val="20"/>
              </w:rPr>
              <w:t xml:space="preserve">text-embedding-3-large</w:t>
            </w:r>
          </w:p>
        </w:tc>
        <w:tc>
          <w:tcPr>
            <w:tcW w:type="dxa" w:w="1800"/>
          </w:tcPr>
          <w:p>
            <w:r>
              <w:rPr>
                <w:sz w:val="20"/>
                <w:szCs w:val="20"/>
              </w:rPr>
              <w:t xml:space="preserve">OpenAI</w:t>
            </w:r>
          </w:p>
        </w:tc>
        <w:tc>
          <w:tcPr>
            <w:tcW w:type="dxa" w:w="1800"/>
          </w:tcPr>
          <w:p>
            <w:r>
              <w:rPr>
                <w:sz w:val="20"/>
                <w:szCs w:val="20"/>
              </w:rPr>
              <w:t xml:space="preserve">3072</w:t>
            </w:r>
          </w:p>
        </w:tc>
        <w:tc>
          <w:tcPr>
            <w:tcW w:type="dxa" w:w="1800"/>
          </w:tcPr>
          <w:p>
            <w:r>
              <w:rPr>
                <w:sz w:val="20"/>
                <w:szCs w:val="20"/>
              </w:rPr>
              <w:t xml:space="preserve">8191</w:t>
            </w:r>
          </w:p>
        </w:tc>
        <w:tc>
          <w:tcPr>
            <w:tcW w:type="dxa" w:w="1800"/>
          </w:tcPr>
          <w:p>
            <w:r>
              <w:rPr>
                <w:sz w:val="20"/>
                <w:szCs w:val="20"/>
              </w:rPr>
              <w:t xml:space="preserve">Higher accuracy</w:t>
            </w:r>
          </w:p>
        </w:tc>
      </w:tr>
      <w:tr>
        <w:tc>
          <w:tcPr>
            <w:tcW w:type="dxa" w:w="1800"/>
          </w:tcPr>
          <w:p>
            <w:r>
              <w:rPr>
                <w:sz w:val="20"/>
                <w:szCs w:val="20"/>
              </w:rPr>
              <w:t xml:space="preserve">text-embedding-ada-002</w:t>
            </w:r>
          </w:p>
        </w:tc>
        <w:tc>
          <w:tcPr>
            <w:tcW w:type="dxa" w:w="1800"/>
          </w:tcPr>
          <w:p>
            <w:r>
              <w:rPr>
                <w:sz w:val="20"/>
                <w:szCs w:val="20"/>
              </w:rPr>
              <w:t xml:space="preserve">OpenAI</w:t>
            </w:r>
          </w:p>
        </w:tc>
        <w:tc>
          <w:tcPr>
            <w:tcW w:type="dxa" w:w="1800"/>
          </w:tcPr>
          <w:p>
            <w:r>
              <w:rPr>
                <w:sz w:val="20"/>
                <w:szCs w:val="20"/>
              </w:rPr>
              <w:t xml:space="preserve">1536</w:t>
            </w:r>
          </w:p>
        </w:tc>
        <w:tc>
          <w:tcPr>
            <w:tcW w:type="dxa" w:w="1800"/>
          </w:tcPr>
          <w:p>
            <w:r>
              <w:rPr>
                <w:sz w:val="20"/>
                <w:szCs w:val="20"/>
              </w:rPr>
              <w:t xml:space="preserve">8191</w:t>
            </w:r>
          </w:p>
        </w:tc>
        <w:tc>
          <w:tcPr>
            <w:tcW w:type="dxa" w:w="1800"/>
          </w:tcPr>
          <w:p>
            <w:r>
              <w:rPr>
                <w:sz w:val="20"/>
                <w:szCs w:val="20"/>
              </w:rPr>
              <w:t xml:space="preserve">Legacy, still common</w:t>
            </w:r>
          </w:p>
        </w:tc>
      </w:tr>
      <w:tr>
        <w:tc>
          <w:tcPr>
            <w:tcW w:type="dxa" w:w="1800"/>
          </w:tcPr>
          <w:p>
            <w:r>
              <w:rPr>
                <w:sz w:val="20"/>
                <w:szCs w:val="20"/>
              </w:rPr>
              <w:t xml:space="preserve">embed-v3-english</w:t>
            </w:r>
          </w:p>
        </w:tc>
        <w:tc>
          <w:tcPr>
            <w:tcW w:type="dxa" w:w="1800"/>
          </w:tcPr>
          <w:p>
            <w:r>
              <w:rPr>
                <w:sz w:val="20"/>
                <w:szCs w:val="20"/>
              </w:rPr>
              <w:t xml:space="preserve">Cohere</w:t>
            </w:r>
          </w:p>
        </w:tc>
        <w:tc>
          <w:tcPr>
            <w:tcW w:type="dxa" w:w="1800"/>
          </w:tcPr>
          <w:p>
            <w:r>
              <w:rPr>
                <w:sz w:val="20"/>
                <w:szCs w:val="20"/>
              </w:rPr>
              <w:t xml:space="preserve">1024</w:t>
            </w:r>
          </w:p>
        </w:tc>
        <w:tc>
          <w:tcPr>
            <w:tcW w:type="dxa" w:w="1800"/>
          </w:tcPr>
          <w:p>
            <w:r>
              <w:rPr>
                <w:sz w:val="20"/>
                <w:szCs w:val="20"/>
              </w:rPr>
              <w:t xml:space="preserve">512</w:t>
            </w:r>
          </w:p>
        </w:tc>
        <w:tc>
          <w:tcPr>
            <w:tcW w:type="dxa" w:w="1800"/>
          </w:tcPr>
          <w:p>
            <w:r>
              <w:rPr>
                <w:sz w:val="20"/>
                <w:szCs w:val="20"/>
              </w:rPr>
              <w:t xml:space="preserve">int8 quantization support</w:t>
            </w:r>
          </w:p>
        </w:tc>
      </w:tr>
      <w:tr>
        <w:tc>
          <w:tcPr>
            <w:tcW w:type="dxa" w:w="1800"/>
          </w:tcPr>
          <w:p>
            <w:r>
              <w:rPr>
                <w:sz w:val="20"/>
                <w:szCs w:val="20"/>
              </w:rPr>
              <w:t xml:space="preserve">embed-v3-multilingual</w:t>
            </w:r>
          </w:p>
        </w:tc>
        <w:tc>
          <w:tcPr>
            <w:tcW w:type="dxa" w:w="1800"/>
          </w:tcPr>
          <w:p>
            <w:r>
              <w:rPr>
                <w:sz w:val="20"/>
                <w:szCs w:val="20"/>
              </w:rPr>
              <w:t xml:space="preserve">Cohere</w:t>
            </w:r>
          </w:p>
        </w:tc>
        <w:tc>
          <w:tcPr>
            <w:tcW w:type="dxa" w:w="1800"/>
          </w:tcPr>
          <w:p>
            <w:r>
              <w:rPr>
                <w:sz w:val="20"/>
                <w:szCs w:val="20"/>
              </w:rPr>
              <w:t xml:space="preserve">1024</w:t>
            </w:r>
          </w:p>
        </w:tc>
        <w:tc>
          <w:tcPr>
            <w:tcW w:type="dxa" w:w="1800"/>
          </w:tcPr>
          <w:p>
            <w:r>
              <w:rPr>
                <w:sz w:val="20"/>
                <w:szCs w:val="20"/>
              </w:rPr>
              <w:t xml:space="preserve">512</w:t>
            </w:r>
          </w:p>
        </w:tc>
        <w:tc>
          <w:tcPr>
            <w:tcW w:type="dxa" w:w="1800"/>
          </w:tcPr>
          <w:p>
            <w:r>
              <w:rPr>
                <w:sz w:val="20"/>
                <w:szCs w:val="20"/>
              </w:rPr>
              <w:t xml:space="preserve">Best non-English</w:t>
            </w:r>
          </w:p>
        </w:tc>
      </w:tr>
      <w:tr>
        <w:tc>
          <w:tcPr>
            <w:tcW w:type="dxa" w:w="1800"/>
          </w:tcPr>
          <w:p>
            <w:r>
              <w:rPr>
                <w:sz w:val="20"/>
                <w:szCs w:val="20"/>
              </w:rPr>
              <w:t xml:space="preserve">voyage-3-large</w:t>
            </w:r>
          </w:p>
        </w:tc>
        <w:tc>
          <w:tcPr>
            <w:tcW w:type="dxa" w:w="1800"/>
          </w:tcPr>
          <w:p>
            <w:r>
              <w:rPr>
                <w:sz w:val="20"/>
                <w:szCs w:val="20"/>
              </w:rPr>
              <w:t xml:space="preserve">Voyage AI</w:t>
            </w:r>
          </w:p>
        </w:tc>
        <w:tc>
          <w:tcPr>
            <w:tcW w:type="dxa" w:w="1800"/>
          </w:tcPr>
          <w:p>
            <w:r>
              <w:rPr>
                <w:sz w:val="20"/>
                <w:szCs w:val="20"/>
              </w:rPr>
              <w:t xml:space="preserve">1024</w:t>
            </w:r>
          </w:p>
        </w:tc>
        <w:tc>
          <w:tcPr>
            <w:tcW w:type="dxa" w:w="1800"/>
          </w:tcPr>
          <w:p>
            <w:r>
              <w:rPr>
                <w:sz w:val="20"/>
                <w:szCs w:val="20"/>
              </w:rPr>
              <w:t xml:space="preserve">32000</w:t>
            </w:r>
          </w:p>
        </w:tc>
        <w:tc>
          <w:tcPr>
            <w:tcW w:type="dxa" w:w="1800"/>
          </w:tcPr>
          <w:p>
            <w:r>
              <w:rPr>
                <w:sz w:val="20"/>
                <w:szCs w:val="20"/>
              </w:rPr>
              <w:t xml:space="preserve">Production scale</w:t>
            </w:r>
          </w:p>
        </w:tc>
      </w:tr>
      <w:tr>
        <w:tc>
          <w:tcPr>
            <w:tcW w:type="dxa" w:w="1800"/>
          </w:tcPr>
          <w:p>
            <w:r>
              <w:rPr>
                <w:sz w:val="20"/>
                <w:szCs w:val="20"/>
              </w:rPr>
              <w:t xml:space="preserve">Gemini Embedding 2</w:t>
            </w:r>
          </w:p>
        </w:tc>
        <w:tc>
          <w:tcPr>
            <w:tcW w:type="dxa" w:w="1800"/>
          </w:tcPr>
          <w:p>
            <w:r>
              <w:rPr>
                <w:sz w:val="20"/>
                <w:szCs w:val="20"/>
              </w:rPr>
              <w:t xml:space="preserve">Google</w:t>
            </w:r>
          </w:p>
        </w:tc>
        <w:tc>
          <w:tcPr>
            <w:tcW w:type="dxa" w:w="1800"/>
          </w:tcPr>
          <w:p>
            <w:r>
              <w:rPr>
                <w:sz w:val="20"/>
                <w:szCs w:val="20"/>
              </w:rPr>
              <w:t xml:space="preserve">3072</w:t>
            </w:r>
          </w:p>
        </w:tc>
        <w:tc>
          <w:tcPr>
            <w:tcW w:type="dxa" w:w="1800"/>
          </w:tcPr>
          <w:p>
            <w:r>
              <w:rPr>
                <w:sz w:val="20"/>
                <w:szCs w:val="20"/>
              </w:rPr>
              <w:t xml:space="preserve">32000</w:t>
            </w:r>
          </w:p>
        </w:tc>
        <w:tc>
          <w:tcPr>
            <w:tcW w:type="dxa" w:w="1800"/>
          </w:tcPr>
          <w:p>
            <w:r>
              <w:rPr>
                <w:sz w:val="20"/>
                <w:szCs w:val="20"/>
              </w:rPr>
              <w:t xml:space="preserve">Multimodal</w:t>
            </w:r>
          </w:p>
        </w:tc>
      </w:tr>
      <w:tr>
        <w:tc>
          <w:tcPr>
            <w:tcW w:type="dxa" w:w="1800"/>
          </w:tcPr>
          <w:p>
            <w:r>
              <w:rPr>
                <w:sz w:val="20"/>
                <w:szCs w:val="20"/>
              </w:rPr>
              <w:t xml:space="preserve">bge-m3</w:t>
            </w:r>
          </w:p>
        </w:tc>
        <w:tc>
          <w:tcPr>
            <w:tcW w:type="dxa" w:w="1800"/>
          </w:tcPr>
          <w:p>
            <w:r>
              <w:rPr>
                <w:sz w:val="20"/>
                <w:szCs w:val="20"/>
              </w:rPr>
              <w:t xml:space="preserve">BAAI (OSS)</w:t>
            </w:r>
          </w:p>
        </w:tc>
        <w:tc>
          <w:tcPr>
            <w:tcW w:type="dxa" w:w="1800"/>
          </w:tcPr>
          <w:p>
            <w:r>
              <w:rPr>
                <w:sz w:val="20"/>
                <w:szCs w:val="20"/>
              </w:rPr>
              <w:t xml:space="preserve">1024</w:t>
            </w:r>
          </w:p>
        </w:tc>
        <w:tc>
          <w:tcPr>
            <w:tcW w:type="dxa" w:w="1800"/>
          </w:tcPr>
          <w:p>
            <w:r>
              <w:rPr>
                <w:sz w:val="20"/>
                <w:szCs w:val="20"/>
              </w:rPr>
              <w:t xml:space="preserve">8192</w:t>
            </w:r>
          </w:p>
        </w:tc>
        <w:tc>
          <w:tcPr>
            <w:tcW w:type="dxa" w:w="1800"/>
          </w:tcPr>
          <w:p>
            <w:r>
              <w:rPr>
                <w:sz w:val="20"/>
                <w:szCs w:val="20"/>
              </w:rPr>
              <w:t xml:space="preserve">Best OSS for hybrid search</w:t>
            </w:r>
          </w:p>
        </w:tc>
      </w:tr>
      <w:tr>
        <w:tc>
          <w:tcPr>
            <w:tcW w:type="dxa" w:w="1800"/>
          </w:tcPr>
          <w:p>
            <w:r>
              <w:rPr>
                <w:sz w:val="20"/>
                <w:szCs w:val="20"/>
              </w:rPr>
              <w:t xml:space="preserve">bge-large-en-v1.5</w:t>
            </w:r>
          </w:p>
        </w:tc>
        <w:tc>
          <w:tcPr>
            <w:tcW w:type="dxa" w:w="1800"/>
          </w:tcPr>
          <w:p>
            <w:r>
              <w:rPr>
                <w:sz w:val="20"/>
                <w:szCs w:val="20"/>
              </w:rPr>
              <w:t xml:space="preserve">BAAI (OSS)</w:t>
            </w:r>
          </w:p>
        </w:tc>
        <w:tc>
          <w:tcPr>
            <w:tcW w:type="dxa" w:w="1800"/>
          </w:tcPr>
          <w:p>
            <w:r>
              <w:rPr>
                <w:sz w:val="20"/>
                <w:szCs w:val="20"/>
              </w:rPr>
              <w:t xml:space="preserve">1024</w:t>
            </w:r>
          </w:p>
        </w:tc>
        <w:tc>
          <w:tcPr>
            <w:tcW w:type="dxa" w:w="1800"/>
          </w:tcPr>
          <w:p>
            <w:r>
              <w:rPr>
                <w:sz w:val="20"/>
                <w:szCs w:val="20"/>
              </w:rPr>
              <w:t xml:space="preserve">512</w:t>
            </w:r>
          </w:p>
        </w:tc>
        <w:tc>
          <w:tcPr>
            <w:tcW w:type="dxa" w:w="1800"/>
          </w:tcPr>
          <w:p>
            <w:r>
              <w:rPr>
                <w:sz w:val="20"/>
                <w:szCs w:val="20"/>
              </w:rPr>
              <w:t xml:space="preserve">English only</w:t>
            </w:r>
          </w:p>
        </w:tc>
      </w:tr>
      <w:tr>
        <w:tc>
          <w:tcPr>
            <w:tcW w:type="dxa" w:w="1800"/>
          </w:tcPr>
          <w:p>
            <w:r>
              <w:rPr>
                <w:sz w:val="20"/>
                <w:szCs w:val="20"/>
              </w:rPr>
              <w:t xml:space="preserve">nomic-embed-text</w:t>
            </w:r>
          </w:p>
        </w:tc>
        <w:tc>
          <w:tcPr>
            <w:tcW w:type="dxa" w:w="1800"/>
          </w:tcPr>
          <w:p>
            <w:r>
              <w:rPr>
                <w:sz w:val="20"/>
                <w:szCs w:val="20"/>
              </w:rPr>
              <w:t xml:space="preserve">Nomic (OSS)</w:t>
            </w:r>
          </w:p>
        </w:tc>
        <w:tc>
          <w:tcPr>
            <w:tcW w:type="dxa" w:w="1800"/>
          </w:tcPr>
          <w:p>
            <w:r>
              <w:rPr>
                <w:sz w:val="20"/>
                <w:szCs w:val="20"/>
              </w:rPr>
              <w:t xml:space="preserve">768</w:t>
            </w:r>
          </w:p>
        </w:tc>
        <w:tc>
          <w:tcPr>
            <w:tcW w:type="dxa" w:w="1800"/>
          </w:tcPr>
          <w:p>
            <w:r>
              <w:rPr>
                <w:sz w:val="20"/>
                <w:szCs w:val="20"/>
              </w:rPr>
              <w:t xml:space="preserve">8192</w:t>
            </w:r>
          </w:p>
        </w:tc>
        <w:tc>
          <w:tcPr>
            <w:tcW w:type="dxa" w:w="1800"/>
          </w:tcPr>
          <w:p>
            <w:r>
              <w:rPr>
                <w:sz w:val="20"/>
                <w:szCs w:val="20"/>
              </w:rPr>
              <w:t xml:space="preserve">Open weights, local</w:t>
            </w:r>
          </w:p>
        </w:tc>
      </w:tr>
      <w:tr>
        <w:tc>
          <w:tcPr>
            <w:tcW w:type="dxa" w:w="1800"/>
          </w:tcPr>
          <w:p>
            <w:r>
              <w:rPr>
                <w:sz w:val="20"/>
                <w:szCs w:val="20"/>
              </w:rPr>
              <w:t xml:space="preserve">Qwen3-Embedding-8B</w:t>
            </w:r>
          </w:p>
        </w:tc>
        <w:tc>
          <w:tcPr>
            <w:tcW w:type="dxa" w:w="1800"/>
          </w:tcPr>
          <w:p>
            <w:r>
              <w:rPr>
                <w:sz w:val="20"/>
                <w:szCs w:val="20"/>
              </w:rPr>
              <w:t xml:space="preserve">Alibaba (OSS)</w:t>
            </w:r>
          </w:p>
        </w:tc>
        <w:tc>
          <w:tcPr>
            <w:tcW w:type="dxa" w:w="1800"/>
          </w:tcPr>
          <w:p>
            <w:r>
              <w:rPr>
                <w:sz w:val="20"/>
                <w:szCs w:val="20"/>
              </w:rPr>
              <w:t xml:space="preserve">Adj.</w:t>
            </w:r>
          </w:p>
        </w:tc>
        <w:tc>
          <w:tcPr>
            <w:tcW w:type="dxa" w:w="1800"/>
          </w:tcPr>
          <w:p>
            <w:r>
              <w:rPr>
                <w:sz w:val="20"/>
                <w:szCs w:val="20"/>
              </w:rPr>
              <w:t xml:space="preserve">32000</w:t>
            </w:r>
          </w:p>
        </w:tc>
        <w:tc>
          <w:tcPr>
            <w:tcW w:type="dxa" w:w="1800"/>
          </w:tcPr>
          <w:p>
            <w:r>
              <w:rPr>
                <w:sz w:val="20"/>
                <w:szCs w:val="20"/>
              </w:rPr>
              <w:t xml:space="preserve">Strong multilingual</w:t>
            </w:r>
          </w:p>
        </w:tc>
      </w:tr>
      <w:tr>
        <w:tc>
          <w:tcPr>
            <w:tcW w:type="dxa" w:w="1800"/>
          </w:tcPr>
          <w:p>
            <w:r>
              <w:rPr>
                <w:sz w:val="20"/>
                <w:szCs w:val="20"/>
              </w:rPr>
              <w:t xml:space="preserve">gte-large</w:t>
            </w:r>
          </w:p>
        </w:tc>
        <w:tc>
          <w:tcPr>
            <w:tcW w:type="dxa" w:w="1800"/>
          </w:tcPr>
          <w:p>
            <w:r>
              <w:rPr>
                <w:sz w:val="20"/>
                <w:szCs w:val="20"/>
              </w:rPr>
              <w:t xml:space="preserve">Alibaba (OSS)</w:t>
            </w:r>
          </w:p>
        </w:tc>
        <w:tc>
          <w:tcPr>
            <w:tcW w:type="dxa" w:w="1800"/>
          </w:tcPr>
          <w:p>
            <w:r>
              <w:rPr>
                <w:sz w:val="20"/>
                <w:szCs w:val="20"/>
              </w:rPr>
              <w:t xml:space="preserve">1024</w:t>
            </w:r>
          </w:p>
        </w:tc>
        <w:tc>
          <w:tcPr>
            <w:tcW w:type="dxa" w:w="1800"/>
          </w:tcPr>
          <w:p>
            <w:r>
              <w:rPr>
                <w:sz w:val="20"/>
                <w:szCs w:val="20"/>
              </w:rPr>
              <w:t xml:space="preserve">512</w:t>
            </w:r>
          </w:p>
        </w:tc>
        <w:tc>
          <w:tcPr>
            <w:tcW w:type="dxa" w:w="1800"/>
          </w:tcPr>
          <w:p>
            <w:r>
              <w:rPr>
                <w:sz w:val="20"/>
                <w:szCs w:val="20"/>
              </w:rPr>
              <w:t xml:space="preserve">Good for code</w:t>
            </w:r>
          </w:p>
        </w:tc>
      </w:tr>
    </w:tbl>
    <w:p>
      <w:pPr>
        <w:spacing w:after="100" w:before="200"/>
      </w:pPr>
    </w:p>
    <w:p>
      <w:pPr>
        <w:pBdr>
          <w:bottom w:val="single" w:color="CCCCCC" w:sz="6"/>
        </w:pBdr>
        <w:spacing w:after="200" w:before="200"/>
      </w:pPr>
    </w:p>
    <w:p>
      <w:pPr>
        <w:pStyle w:val="Heading1"/>
        <w:spacing w:after="200" w:before="400"/>
      </w:pPr>
      <w:r>
        <w:t xml:space="preserve">Session 4: Advanced RAG</w:t>
      </w:r>
    </w:p>
    <w:p>
      <w:pPr>
        <w:pStyle w:val="Heading2"/>
        <w:spacing w:after="150" w:before="300"/>
      </w:pPr>
      <w:r>
        <w:t xml:space="preserve">Why Naive RAG Fails</w:t>
      </w:r>
    </w:p>
    <w:p>
      <w:pPr>
        <w:spacing w:after="80" w:before="80"/>
      </w:pPr>
      <w:r>
        <w:rPr>
          <w:sz w:val="22"/>
          <w:szCs w:val="22"/>
        </w:rPr>
        <w:t xml:space="preserve">Naive RAG assumes the user's raw query is a good search query. It almost never is. User queries are short, vague, and conversational. Indexed documents are long, specific, and declarative. This mismatch causes most retrieval failures.</w:t>
      </w:r>
    </w:p>
    <w:p>
      <w:pPr>
        <w:spacing w:after="80" w:before="80"/>
      </w:pPr>
      <w:r>
        <w:rPr>
          <w:sz w:val="22"/>
          <w:szCs w:val="22"/>
        </w:rPr>
        <w:t xml:space="preserve">Example failure: "What did we decide about pricing last quarter?" — "we" has no org context, "last quarter" is a relative time reference, "decide" may appear as "agreed" or "finalized" in documents.</w:t>
      </w:r>
    </w:p>
    <w:p>
      <w:pPr>
        <w:pStyle w:val="Heading2"/>
        <w:spacing w:after="150" w:before="300"/>
      </w:pPr>
      <w:r>
        <w:t xml:space="preserve">Technique 1: Query Rewriting</w:t>
      </w:r>
    </w:p>
    <w:p>
      <w:pPr>
        <w:spacing w:after="80" w:before="80"/>
      </w:pPr>
      <w:r>
        <w:rPr>
          <w:sz w:val="22"/>
          <w:szCs w:val="22"/>
        </w:rPr>
        <w:t xml:space="preserve">Before hitting the vector store, pass the user query through an LLM and rewrite it into a keyword-rich, document-shaped search query. Highest ROI single technique in Advanced RAG — requires no infrastructure changes, just one extra LLM call.</w:t>
      </w:r>
    </w:p>
    <w:p>
      <w:pPr>
        <w:spacing w:after="60" w:before="60"/>
        <w:ind w:left="720"/>
      </w:pPr>
      <w:r>
        <w:rPr>
          <w:rFonts w:ascii="Courier New" w:cs="Courier New" w:eastAsia="Courier New" w:hAnsi="Courier New"/>
          <w:color w:val="1F497D"/>
          <w:sz w:val="18"/>
          <w:szCs w:val="18"/>
        </w:rPr>
        <w:t xml:space="preserve">Original:  "What did we decide about pricing last quarter?"</w:t>
      </w:r>
    </w:p>
    <w:p>
      <w:pPr>
        <w:spacing w:after="60" w:before="60"/>
        <w:ind w:left="720"/>
      </w:pPr>
      <w:r>
        <w:rPr>
          <w:rFonts w:ascii="Courier New" w:cs="Courier New" w:eastAsia="Courier New" w:hAnsi="Courier New"/>
          <w:color w:val="1F497D"/>
          <w:sz w:val="18"/>
          <w:szCs w:val="18"/>
        </w:rPr>
        <w:t xml:space="preserve">Rewritten: "enterprise pricing decisions Q3 2024 policy changes"</w:t>
      </w:r>
    </w:p>
    <w:p>
      <w:pPr>
        <w:spacing w:after="80" w:before="80"/>
      </w:pPr>
      <w:r>
        <w:rPr>
          <w:sz w:val="22"/>
          <w:szCs w:val="22"/>
        </w:rPr>
        <w:t xml:space="preserve">Retrieval recall improvements of 20–40% are common.</w:t>
      </w:r>
    </w:p>
    <w:p>
      <w:pPr>
        <w:pStyle w:val="Heading2"/>
        <w:spacing w:after="150" w:before="300"/>
      </w:pPr>
      <w:r>
        <w:t xml:space="preserve">Technique 2: Multi-Query Retrieval</w:t>
      </w:r>
    </w:p>
    <w:p>
      <w:pPr>
        <w:spacing w:after="80" w:before="80"/>
      </w:pPr>
      <w:r>
        <w:rPr>
          <w:sz w:val="22"/>
          <w:szCs w:val="22"/>
        </w:rPr>
        <w:t xml:space="preserve">Generate N different reformulations of the query, run retrieval for each, deduplicate results, then rerank the merged pool. Different phrasings activate different regions of embedding space — triangulating from multiple directions fills blind spots.</w:t>
      </w:r>
    </w:p>
    <w:p>
      <w:pPr>
        <w:spacing w:after="80" w:before="80"/>
      </w:pPr>
      <w:r>
        <w:rPr>
          <w:sz w:val="22"/>
          <w:szCs w:val="22"/>
        </w:rPr>
        <w:t xml:space="preserve">Tradeoff: N queries means N embedding calls and N vector searches (can be parallelized). Use when queries are ambiguous or corpus uses inconsistent terminology.</w:t>
      </w:r>
    </w:p>
    <w:p>
      <w:pPr>
        <w:pStyle w:val="Heading2"/>
        <w:spacing w:after="150" w:before="300"/>
      </w:pPr>
      <w:r>
        <w:t xml:space="preserve">Technique 3: HyDE — Hypothetical Document Embeddings</w:t>
      </w:r>
    </w:p>
    <w:p>
      <w:pPr>
        <w:spacing w:after="80" w:before="80"/>
      </w:pPr>
      <w:r>
        <w:rPr>
          <w:sz w:val="22"/>
          <w:szCs w:val="22"/>
        </w:rPr>
        <w:t xml:space="preserve">Ask the LLM to generate a hypothetical answer to the question, then embed that hypothetical answer and search for similar chunks. A hypothetical answer is document-shaped — it lives in the same semantic neighborhood as indexed documents, closing the query-document semantic gap.</w:t>
      </w:r>
    </w:p>
    <w:p>
      <w:pPr>
        <w:spacing w:after="60" w:before="60"/>
        <w:ind w:left="720"/>
      </w:pPr>
      <w:r>
        <w:rPr>
          <w:rFonts w:ascii="Courier New" w:cs="Courier New" w:eastAsia="Courier New" w:hAnsi="Courier New"/>
          <w:color w:val="1F497D"/>
          <w:sz w:val="18"/>
          <w:szCs w:val="18"/>
        </w:rPr>
        <w:t xml:space="preserve">Step 1: LLM generates hypothetical answer to the query</w:t>
      </w:r>
    </w:p>
    <w:p>
      <w:pPr>
        <w:spacing w:after="60" w:before="60"/>
        <w:ind w:left="720"/>
      </w:pPr>
      <w:r>
        <w:rPr>
          <w:rFonts w:ascii="Courier New" w:cs="Courier New" w:eastAsia="Courier New" w:hAnsi="Courier New"/>
          <w:color w:val="1F497D"/>
          <w:sz w:val="18"/>
          <w:szCs w:val="18"/>
        </w:rPr>
        <w:t xml:space="preserve">Step 2: Embed the hypothetical answer (not the query)</w:t>
      </w:r>
    </w:p>
    <w:p>
      <w:pPr>
        <w:spacing w:after="60" w:before="60"/>
        <w:ind w:left="720"/>
      </w:pPr>
      <w:r>
        <w:rPr>
          <w:rFonts w:ascii="Courier New" w:cs="Courier New" w:eastAsia="Courier New" w:hAnsi="Courier New"/>
          <w:color w:val="1F497D"/>
          <w:sz w:val="18"/>
          <w:szCs w:val="18"/>
        </w:rPr>
        <w:t xml:space="preserve">Step 3: Vector search finds chunks similar to the hypothetical answer</w:t>
      </w:r>
    </w:p>
    <w:p>
      <w:pPr>
        <w:spacing w:after="80" w:before="80"/>
      </w:pPr>
      <w:r>
        <w:rPr>
          <w:sz w:val="22"/>
          <w:szCs w:val="22"/>
        </w:rPr>
        <w:t xml:space="preserve">Works best in technical/factual domains. Fails if LLM lacks domain knowledge to generate a plausible hypothetical.</w:t>
      </w:r>
    </w:p>
    <w:p>
      <w:pPr>
        <w:pStyle w:val="Heading2"/>
        <w:spacing w:after="150" w:before="300"/>
      </w:pPr>
      <w:r>
        <w:t xml:space="preserve">Technique 4: Multi-Hop Retrieval</w:t>
      </w:r>
    </w:p>
    <w:p>
      <w:pPr>
        <w:spacing w:after="80" w:before="80"/>
      </w:pPr>
      <w:r>
        <w:rPr>
          <w:sz w:val="22"/>
          <w:szCs w:val="22"/>
        </w:rPr>
        <w:t xml:space="preserve">For questions requiring multiple facts, chain retrievals iteratively where each retrieval is conditioned on the previous results.</w:t>
      </w:r>
    </w:p>
    <w:p>
      <w:pPr>
        <w:spacing w:after="60" w:before="60"/>
        <w:ind w:left="720"/>
      </w:pPr>
      <w:r>
        <w:rPr>
          <w:rFonts w:ascii="Courier New" w:cs="Courier New" w:eastAsia="Courier New" w:hAnsi="Courier New"/>
          <w:color w:val="1F497D"/>
          <w:sz w:val="18"/>
          <w:szCs w:val="18"/>
        </w:rPr>
        <w:t xml:space="preserve">Query: "What is the cancellation policy for the plan recommended for startups?"</w:t>
      </w:r>
    </w:p>
    <w:p>
      <w:pPr>
        <w:spacing w:after="60" w:before="60"/>
        <w:ind w:left="720"/>
      </w:pPr>
      <w:r>
        <w:rPr>
          <w:rFonts w:ascii="Courier New" w:cs="Courier New" w:eastAsia="Courier New" w:hAnsi="Courier New"/>
          <w:color w:val="1F497D"/>
          <w:sz w:val="18"/>
          <w:szCs w:val="18"/>
        </w:rPr>
        <w:t xml:space="preserve">Hop 1: "which plan is recommended for startups?" → "Growth plan"</w:t>
      </w:r>
    </w:p>
    <w:p>
      <w:pPr>
        <w:spacing w:after="60" w:before="60"/>
        <w:ind w:left="720"/>
      </w:pPr>
      <w:r>
        <w:rPr>
          <w:rFonts w:ascii="Courier New" w:cs="Courier New" w:eastAsia="Courier New" w:hAnsi="Courier New"/>
          <w:color w:val="1F497D"/>
          <w:sz w:val="18"/>
          <w:szCs w:val="18"/>
        </w:rPr>
        <w:t xml:space="preserve">Hop 2: "cancellation policy for Growth plan?" → "30 days written notice"</w:t>
      </w:r>
    </w:p>
    <w:p>
      <w:pPr>
        <w:spacing w:after="80" w:before="80"/>
      </w:pPr>
      <w:r>
        <w:rPr>
          <w:sz w:val="22"/>
          <w:szCs w:val="22"/>
        </w:rPr>
        <w:t xml:space="preserve">Expensive — each hop is a full retrieval cycle. Use when your domain has heavily interconnected documents or relational structures.</w:t>
      </w:r>
    </w:p>
    <w:p>
      <w:pPr>
        <w:pStyle w:val="Heading2"/>
        <w:spacing w:after="150" w:before="300"/>
      </w:pPr>
      <w:r>
        <w:t xml:space="preserve">Progression: Naive → Advanced → Agentic RAG</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Level</w:t>
            </w:r>
          </w:p>
        </w:tc>
        <w:tc>
          <w:tcPr>
            <w:tcW w:type="dxa" w:w="3000"/>
            <w:shd w:fill="2E4057" w:val="clear"/>
          </w:tcPr>
          <w:p>
            <w:r>
              <w:rPr>
                <w:b/>
                <w:bCs/>
                <w:sz w:val="20"/>
                <w:szCs w:val="20"/>
              </w:rPr>
              <w:t xml:space="preserve">Pipeline</w:t>
            </w:r>
          </w:p>
        </w:tc>
        <w:tc>
          <w:tcPr>
            <w:tcW w:type="dxa" w:w="3000"/>
            <w:shd w:fill="2E4057" w:val="clear"/>
          </w:tcPr>
          <w:p>
            <w:r>
              <w:rPr>
                <w:b/>
                <w:bCs/>
                <w:sz w:val="20"/>
                <w:szCs w:val="20"/>
              </w:rPr>
              <w:t xml:space="preserve">Characteristic</w:t>
            </w:r>
          </w:p>
        </w:tc>
      </w:tr>
      <w:tr>
        <w:tc>
          <w:tcPr>
            <w:tcW w:type="dxa" w:w="3000"/>
          </w:tcPr>
          <w:p>
            <w:r>
              <w:rPr>
                <w:sz w:val="20"/>
                <w:szCs w:val="20"/>
              </w:rPr>
              <w:t xml:space="preserve">Naive RAG</w:t>
            </w:r>
          </w:p>
        </w:tc>
        <w:tc>
          <w:tcPr>
            <w:tcW w:type="dxa" w:w="3000"/>
          </w:tcPr>
          <w:p>
            <w:r>
              <w:rPr>
                <w:sz w:val="20"/>
                <w:szCs w:val="20"/>
              </w:rPr>
              <w:t xml:space="preserve">query → retrieve → generate</w:t>
            </w:r>
          </w:p>
        </w:tc>
        <w:tc>
          <w:tcPr>
            <w:tcW w:type="dxa" w:w="3000"/>
          </w:tcPr>
          <w:p>
            <w:r>
              <w:rPr>
                <w:sz w:val="20"/>
                <w:szCs w:val="20"/>
              </w:rPr>
              <w:t xml:space="preserve">Fixed, one-shot, no adaptation</w:t>
            </w:r>
          </w:p>
        </w:tc>
      </w:tr>
      <w:tr>
        <w:tc>
          <w:tcPr>
            <w:tcW w:type="dxa" w:w="3000"/>
          </w:tcPr>
          <w:p>
            <w:r>
              <w:rPr>
                <w:sz w:val="20"/>
                <w:szCs w:val="20"/>
              </w:rPr>
              <w:t xml:space="preserve">Advanced RAG</w:t>
            </w:r>
          </w:p>
        </w:tc>
        <w:tc>
          <w:tcPr>
            <w:tcW w:type="dxa" w:w="3000"/>
          </w:tcPr>
          <w:p>
            <w:r>
              <w:rPr>
                <w:sz w:val="20"/>
                <w:szCs w:val="20"/>
              </w:rPr>
              <w:t xml:space="preserve">query → [rewrite/HyDE] → retrieve → [rerank] → generate</w:t>
            </w:r>
          </w:p>
        </w:tc>
        <w:tc>
          <w:tcPr>
            <w:tcW w:type="dxa" w:w="3000"/>
          </w:tcPr>
          <w:p>
            <w:r>
              <w:rPr>
                <w:sz w:val="20"/>
                <w:szCs w:val="20"/>
              </w:rPr>
              <w:t xml:space="preserve">Smarter query handling, same fixed pipeline</w:t>
            </w:r>
          </w:p>
        </w:tc>
      </w:tr>
      <w:tr>
        <w:tc>
          <w:tcPr>
            <w:tcW w:type="dxa" w:w="3000"/>
          </w:tcPr>
          <w:p>
            <w:r>
              <w:rPr>
                <w:sz w:val="20"/>
                <w:szCs w:val="20"/>
              </w:rPr>
              <w:t xml:space="preserve">Agentic RAG</w:t>
            </w:r>
          </w:p>
        </w:tc>
        <w:tc>
          <w:tcPr>
            <w:tcW w:type="dxa" w:w="3000"/>
          </w:tcPr>
          <w:p>
            <w:r>
              <w:rPr>
                <w:sz w:val="20"/>
                <w:szCs w:val="20"/>
              </w:rPr>
              <w:t xml:space="preserve">query → agent → tools → agent → ... → answer</w:t>
            </w:r>
          </w:p>
        </w:tc>
        <w:tc>
          <w:tcPr>
            <w:tcW w:type="dxa" w:w="3000"/>
          </w:tcPr>
          <w:p>
            <w:r>
              <w:rPr>
                <w:sz w:val="20"/>
                <w:szCs w:val="20"/>
              </w:rPr>
              <w:t xml:space="preserve">Dynamic, iterative, self-directing</w:t>
            </w:r>
          </w:p>
        </w:tc>
      </w:tr>
    </w:tbl>
    <w:p>
      <w:pPr>
        <w:spacing w:after="100" w:before="200"/>
      </w:pPr>
    </w:p>
    <w:p>
      <w:pPr>
        <w:pStyle w:val="Heading2"/>
        <w:spacing w:after="150" w:before="300"/>
      </w:pPr>
      <w:r>
        <w:t xml:space="preserve">Agentic RAG</w:t>
      </w:r>
    </w:p>
    <w:p>
      <w:pPr>
        <w:spacing w:after="80" w:before="80"/>
      </w:pPr>
      <w:r>
        <w:rPr>
          <w:sz w:val="22"/>
          <w:szCs w:val="22"/>
        </w:rPr>
        <w:t xml:space="preserve">The retriever becomes a tool that an LLM agent can call dynamically. The agent decides whether retrieval is needed, what to search for, whether to search again, and when it has enough context to answer. The agent constructs its own plan per query — dynamic topology rather than fixed pipeline.</w:t>
      </w:r>
    </w:p>
    <w:p>
      <w:pPr>
        <w:spacing w:after="80" w:before="80"/>
      </w:pPr>
      <w:r>
        <w:rPr>
          <w:sz w:val="22"/>
          <w:szCs w:val="22"/>
        </w:rPr>
        <w:t xml:space="preserve">Unlocks questions requiring multiple document sources, self-correction, tool use beyond retrieval, and iterative refinement.</w:t>
      </w:r>
    </w:p>
    <w:p>
      <w:pPr>
        <w:spacing w:after="80" w:before="80"/>
      </w:pPr>
      <w:r>
        <w:rPr>
          <w:sz w:val="22"/>
          <w:szCs w:val="22"/>
        </w:rPr>
        <w:t xml:space="preserve">Frameworks: LangGraph (most production-ready), LlamaIndex Agents, AutoGen for multi-agent.</w:t>
      </w:r>
    </w:p>
    <w:p>
      <w:pPr>
        <w:pStyle w:val="Heading2"/>
        <w:spacing w:after="150" w:before="300"/>
      </w:pPr>
      <w:r>
        <w:t xml:space="preserve">Technique Selection Guide</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4057" w:val="clear"/>
          </w:tcPr>
          <w:p>
            <w:r>
              <w:rPr>
                <w:b/>
                <w:bCs/>
                <w:sz w:val="20"/>
                <w:szCs w:val="20"/>
              </w:rPr>
              <w:t xml:space="preserve">Problem</w:t>
            </w:r>
          </w:p>
        </w:tc>
        <w:tc>
          <w:tcPr>
            <w:tcW w:type="dxa" w:w="4500"/>
            <w:shd w:fill="2E4057" w:val="clear"/>
          </w:tcPr>
          <w:p>
            <w:r>
              <w:rPr>
                <w:b/>
                <w:bCs/>
                <w:sz w:val="20"/>
                <w:szCs w:val="20"/>
              </w:rPr>
              <w:t xml:space="preserve">Technique</w:t>
            </w:r>
          </w:p>
        </w:tc>
      </w:tr>
      <w:tr>
        <w:tc>
          <w:tcPr>
            <w:tcW w:type="dxa" w:w="4500"/>
          </w:tcPr>
          <w:p>
            <w:r>
              <w:rPr>
                <w:sz w:val="20"/>
                <w:szCs w:val="20"/>
              </w:rPr>
              <w:t xml:space="preserve">User queries are vague or conversational</w:t>
            </w:r>
          </w:p>
        </w:tc>
        <w:tc>
          <w:tcPr>
            <w:tcW w:type="dxa" w:w="4500"/>
          </w:tcPr>
          <w:p>
            <w:r>
              <w:rPr>
                <w:sz w:val="20"/>
                <w:szCs w:val="20"/>
              </w:rPr>
              <w:t xml:space="preserve">Query rewriting</w:t>
            </w:r>
          </w:p>
        </w:tc>
      </w:tr>
      <w:tr>
        <w:tc>
          <w:tcPr>
            <w:tcW w:type="dxa" w:w="4500"/>
          </w:tcPr>
          <w:p>
            <w:r>
              <w:rPr>
                <w:sz w:val="20"/>
                <w:szCs w:val="20"/>
              </w:rPr>
              <w:t xml:space="preserve">Domain has inconsistent terminology</w:t>
            </w:r>
          </w:p>
        </w:tc>
        <w:tc>
          <w:tcPr>
            <w:tcW w:type="dxa" w:w="4500"/>
          </w:tcPr>
          <w:p>
            <w:r>
              <w:rPr>
                <w:sz w:val="20"/>
                <w:szCs w:val="20"/>
              </w:rPr>
              <w:t xml:space="preserve">Multi-query retrieval</w:t>
            </w:r>
          </w:p>
        </w:tc>
      </w:tr>
      <w:tr>
        <w:tc>
          <w:tcPr>
            <w:tcW w:type="dxa" w:w="4500"/>
          </w:tcPr>
          <w:p>
            <w:r>
              <w:rPr>
                <w:sz w:val="20"/>
                <w:szCs w:val="20"/>
              </w:rPr>
              <w:t xml:space="preserve">Answer-shaped docs retrieve poorly from question-shaped queries</w:t>
            </w:r>
          </w:p>
        </w:tc>
        <w:tc>
          <w:tcPr>
            <w:tcW w:type="dxa" w:w="4500"/>
          </w:tcPr>
          <w:p>
            <w:r>
              <w:rPr>
                <w:sz w:val="20"/>
                <w:szCs w:val="20"/>
              </w:rPr>
              <w:t xml:space="preserve">HyDE</w:t>
            </w:r>
          </w:p>
        </w:tc>
      </w:tr>
      <w:tr>
        <w:tc>
          <w:tcPr>
            <w:tcW w:type="dxa" w:w="4500"/>
          </w:tcPr>
          <w:p>
            <w:r>
              <w:rPr>
                <w:sz w:val="20"/>
                <w:szCs w:val="20"/>
              </w:rPr>
              <w:t xml:space="preserve">Questions require connecting multiple facts</w:t>
            </w:r>
          </w:p>
        </w:tc>
        <w:tc>
          <w:tcPr>
            <w:tcW w:type="dxa" w:w="4500"/>
          </w:tcPr>
          <w:p>
            <w:r>
              <w:rPr>
                <w:sz w:val="20"/>
                <w:szCs w:val="20"/>
              </w:rPr>
              <w:t xml:space="preserve">Multi-hop retrieval</w:t>
            </w:r>
          </w:p>
        </w:tc>
      </w:tr>
      <w:tr>
        <w:tc>
          <w:tcPr>
            <w:tcW w:type="dxa" w:w="4500"/>
          </w:tcPr>
          <w:p>
            <w:r>
              <w:rPr>
                <w:sz w:val="20"/>
                <w:szCs w:val="20"/>
              </w:rPr>
              <w:t xml:space="preserve">Questions are unpredictable, complex, or multi-part</w:t>
            </w:r>
          </w:p>
        </w:tc>
        <w:tc>
          <w:tcPr>
            <w:tcW w:type="dxa" w:w="4500"/>
          </w:tcPr>
          <w:p>
            <w:r>
              <w:rPr>
                <w:sz w:val="20"/>
                <w:szCs w:val="20"/>
              </w:rPr>
              <w:t xml:space="preserve">Agentic RAG</w:t>
            </w:r>
          </w:p>
        </w:tc>
      </w:tr>
      <w:tr>
        <w:tc>
          <w:tcPr>
            <w:tcW w:type="dxa" w:w="4500"/>
          </w:tcPr>
          <w:p>
            <w:r>
              <w:rPr>
                <w:sz w:val="20"/>
                <w:szCs w:val="20"/>
              </w:rPr>
              <w:t xml:space="preserve">Need to combine retrieval with APIs, SQL, code</w:t>
            </w:r>
          </w:p>
        </w:tc>
        <w:tc>
          <w:tcPr>
            <w:tcW w:type="dxa" w:w="4500"/>
          </w:tcPr>
          <w:p>
            <w:r>
              <w:rPr>
                <w:sz w:val="20"/>
                <w:szCs w:val="20"/>
              </w:rPr>
              <w:t xml:space="preserve">Agentic RAG</w:t>
            </w:r>
          </w:p>
        </w:tc>
      </w:tr>
    </w:tbl>
    <w:p>
      <w:pPr>
        <w:spacing w:after="100" w:before="200"/>
      </w:pPr>
    </w:p>
    <w:p>
      <w:pPr>
        <w:pBdr>
          <w:bottom w:val="single" w:color="CCCCCC" w:sz="6"/>
        </w:pBdr>
        <w:spacing w:after="200" w:before="200"/>
      </w:pPr>
    </w:p>
    <w:p>
      <w:pPr>
        <w:pStyle w:val="Heading1"/>
        <w:spacing w:after="200" w:before="400"/>
      </w:pPr>
      <w:r>
        <w:t xml:space="preserve">Next Steps: Project Plan</w:t>
      </w:r>
    </w:p>
    <w:p>
      <w:pPr>
        <w:pStyle w:val="Heading2"/>
        <w:spacing w:after="150" w:before="300"/>
      </w:pPr>
      <w:r>
        <w:t xml:space="preserve">Project: Personal Knowledge Base RAG System</w:t>
      </w:r>
    </w:p>
    <w:p>
      <w:pPr>
        <w:spacing w:after="80" w:before="80"/>
      </w:pPr>
      <w:r>
        <w:rPr>
          <w:sz w:val="22"/>
          <w:szCs w:val="22"/>
        </w:rPr>
        <w:t xml:space="preserve">A system that lets you query your own documents — PDFs, markdown notes, articles — using natural language and get grounded, cited answers. Architecture is identical to production enterprise RAG at larger scale.</w:t>
      </w:r>
    </w:p>
    <w:p>
      <w:pPr>
        <w:pStyle w:val="Heading2"/>
        <w:spacing w:after="150" w:before="300"/>
      </w:pPr>
      <w:r>
        <w:t xml:space="preserve">Stack</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Pr>
          <w:p>
            <w:r>
              <w:rPr>
                <w:b/>
                <w:bCs/>
                <w:sz w:val="20"/>
                <w:szCs w:val="20"/>
              </w:rPr>
              <w:t xml:space="preserve">Component</w:t>
            </w:r>
          </w:p>
        </w:tc>
        <w:tc>
          <w:tcPr>
            <w:tcW w:type="dxa" w:w="3000"/>
            <w:shd w:fill="2E4057" w:val="clear"/>
          </w:tcPr>
          <w:p>
            <w:r>
              <w:rPr>
                <w:b/>
                <w:bCs/>
                <w:sz w:val="20"/>
                <w:szCs w:val="20"/>
              </w:rPr>
              <w:t xml:space="preserve">Choice</w:t>
            </w:r>
          </w:p>
        </w:tc>
        <w:tc>
          <w:tcPr>
            <w:tcW w:type="dxa" w:w="3000"/>
            <w:shd w:fill="2E4057" w:val="clear"/>
          </w:tcPr>
          <w:p>
            <w:r>
              <w:rPr>
                <w:b/>
                <w:bCs/>
                <w:sz w:val="20"/>
                <w:szCs w:val="20"/>
              </w:rPr>
              <w:t xml:space="preserve">Reason</w:t>
            </w:r>
          </w:p>
        </w:tc>
      </w:tr>
      <w:tr>
        <w:tc>
          <w:tcPr>
            <w:tcW w:type="dxa" w:w="3000"/>
          </w:tcPr>
          <w:p>
            <w:r>
              <w:rPr>
                <w:sz w:val="20"/>
                <w:szCs w:val="20"/>
              </w:rPr>
              <w:t xml:space="preserve">Embedding model</w:t>
            </w:r>
          </w:p>
        </w:tc>
        <w:tc>
          <w:tcPr>
            <w:tcW w:type="dxa" w:w="3000"/>
          </w:tcPr>
          <w:p>
            <w:r>
              <w:rPr>
                <w:sz w:val="20"/>
                <w:szCs w:val="20"/>
              </w:rPr>
              <w:t xml:space="preserve">text-embedding-3-small</w:t>
            </w:r>
          </w:p>
        </w:tc>
        <w:tc>
          <w:tcPr>
            <w:tcW w:type="dxa" w:w="3000"/>
          </w:tcPr>
          <w:p>
            <w:r>
              <w:rPr>
                <w:sz w:val="20"/>
                <w:szCs w:val="20"/>
              </w:rPr>
              <w:t xml:space="preserve">Best price/perf, no infra</w:t>
            </w:r>
          </w:p>
        </w:tc>
      </w:tr>
      <w:tr>
        <w:tc>
          <w:tcPr>
            <w:tcW w:type="dxa" w:w="3000"/>
          </w:tcPr>
          <w:p>
            <w:r>
              <w:rPr>
                <w:sz w:val="20"/>
                <w:szCs w:val="20"/>
              </w:rPr>
              <w:t xml:space="preserve">Vector store</w:t>
            </w:r>
          </w:p>
        </w:tc>
        <w:tc>
          <w:tcPr>
            <w:tcW w:type="dxa" w:w="3000"/>
          </w:tcPr>
          <w:p>
            <w:r>
              <w:rPr>
                <w:sz w:val="20"/>
                <w:szCs w:val="20"/>
              </w:rPr>
              <w:t xml:space="preserve">Qdrant (local Docker)</w:t>
            </w:r>
          </w:p>
        </w:tc>
        <w:tc>
          <w:tcPr>
            <w:tcW w:type="dxa" w:w="3000"/>
          </w:tcPr>
          <w:p>
            <w:r>
              <w:rPr>
                <w:sz w:val="20"/>
                <w:szCs w:val="20"/>
              </w:rPr>
              <w:t xml:space="preserve">No account needed to start</w:t>
            </w:r>
          </w:p>
        </w:tc>
      </w:tr>
      <w:tr>
        <w:tc>
          <w:tcPr>
            <w:tcW w:type="dxa" w:w="3000"/>
          </w:tcPr>
          <w:p>
            <w:r>
              <w:rPr>
                <w:sz w:val="20"/>
                <w:szCs w:val="20"/>
              </w:rPr>
              <w:t xml:space="preserve">Chunking</w:t>
            </w:r>
          </w:p>
        </w:tc>
        <w:tc>
          <w:tcPr>
            <w:tcW w:type="dxa" w:w="3000"/>
          </w:tcPr>
          <w:p>
            <w:r>
              <w:rPr>
                <w:sz w:val="20"/>
                <w:szCs w:val="20"/>
              </w:rPr>
              <w:t xml:space="preserve">LangChain RecursiveCharacterTextSplitter</w:t>
            </w:r>
          </w:p>
        </w:tc>
        <w:tc>
          <w:tcPr>
            <w:tcW w:type="dxa" w:w="3000"/>
          </w:tcPr>
          <w:p>
            <w:r>
              <w:rPr>
                <w:sz w:val="20"/>
                <w:szCs w:val="20"/>
              </w:rPr>
              <w:t xml:space="preserve">Best general-purpose default</w:t>
            </w:r>
          </w:p>
        </w:tc>
      </w:tr>
      <w:tr>
        <w:tc>
          <w:tcPr>
            <w:tcW w:type="dxa" w:w="3000"/>
          </w:tcPr>
          <w:p>
            <w:r>
              <w:rPr>
                <w:sz w:val="20"/>
                <w:szCs w:val="20"/>
              </w:rPr>
              <w:t xml:space="preserve">Reranker</w:t>
            </w:r>
          </w:p>
        </w:tc>
        <w:tc>
          <w:tcPr>
            <w:tcW w:type="dxa" w:w="3000"/>
          </w:tcPr>
          <w:p>
            <w:r>
              <w:rPr>
                <w:sz w:val="20"/>
                <w:szCs w:val="20"/>
              </w:rPr>
              <w:t xml:space="preserve">bge-reranker-v2-m3 (local) or Cohere Rerank</w:t>
            </w:r>
          </w:p>
        </w:tc>
        <w:tc>
          <w:tcPr>
            <w:tcW w:type="dxa" w:w="3000"/>
          </w:tcPr>
          <w:p>
            <w:r>
              <w:rPr>
                <w:sz w:val="20"/>
                <w:szCs w:val="20"/>
              </w:rPr>
              <w:t xml:space="preserve">Free to start</w:t>
            </w:r>
          </w:p>
        </w:tc>
      </w:tr>
      <w:tr>
        <w:tc>
          <w:tcPr>
            <w:tcW w:type="dxa" w:w="3000"/>
          </w:tcPr>
          <w:p>
            <w:r>
              <w:rPr>
                <w:sz w:val="20"/>
                <w:szCs w:val="20"/>
              </w:rPr>
              <w:t xml:space="preserve">LLM</w:t>
            </w:r>
          </w:p>
        </w:tc>
        <w:tc>
          <w:tcPr>
            <w:tcW w:type="dxa" w:w="3000"/>
          </w:tcPr>
          <w:p>
            <w:r>
              <w:rPr>
                <w:sz w:val="20"/>
                <w:szCs w:val="20"/>
              </w:rPr>
              <w:t xml:space="preserve">gpt-4o-mini</w:t>
            </w:r>
          </w:p>
        </w:tc>
        <w:tc>
          <w:tcPr>
            <w:tcW w:type="dxa" w:w="3000"/>
          </w:tcPr>
          <w:p>
            <w:r>
              <w:rPr>
                <w:sz w:val="20"/>
                <w:szCs w:val="20"/>
              </w:rPr>
              <w:t xml:space="preserve">Cost-effective</w:t>
            </w:r>
          </w:p>
        </w:tc>
      </w:tr>
      <w:tr>
        <w:tc>
          <w:tcPr>
            <w:tcW w:type="dxa" w:w="3000"/>
          </w:tcPr>
          <w:p>
            <w:r>
              <w:rPr>
                <w:sz w:val="20"/>
                <w:szCs w:val="20"/>
              </w:rPr>
              <w:t xml:space="preserve">Orchestration</w:t>
            </w:r>
          </w:p>
        </w:tc>
        <w:tc>
          <w:tcPr>
            <w:tcW w:type="dxa" w:w="3000"/>
          </w:tcPr>
          <w:p>
            <w:r>
              <w:rPr>
                <w:sz w:val="20"/>
                <w:szCs w:val="20"/>
              </w:rPr>
              <w:t xml:space="preserve">LangChain → LangGraph (Phase 4)</w:t>
            </w:r>
          </w:p>
        </w:tc>
        <w:tc>
          <w:tcPr>
            <w:tcW w:type="dxa" w:w="3000"/>
          </w:tcPr>
          <w:p>
            <w:r>
              <w:rPr>
                <w:sz w:val="20"/>
                <w:szCs w:val="20"/>
              </w:rPr>
              <w:t xml:space="preserve">Industry standard</w:t>
            </w:r>
          </w:p>
        </w:tc>
      </w:tr>
      <w:tr>
        <w:tc>
          <w:tcPr>
            <w:tcW w:type="dxa" w:w="3000"/>
          </w:tcPr>
          <w:p>
            <w:r>
              <w:rPr>
                <w:sz w:val="20"/>
                <w:szCs w:val="20"/>
              </w:rPr>
              <w:t xml:space="preserve">Evaluation</w:t>
            </w:r>
          </w:p>
        </w:tc>
        <w:tc>
          <w:tcPr>
            <w:tcW w:type="dxa" w:w="3000"/>
          </w:tcPr>
          <w:p>
            <w:r>
              <w:rPr>
                <w:sz w:val="20"/>
                <w:szCs w:val="20"/>
              </w:rPr>
              <w:t xml:space="preserve">RAGAS</w:t>
            </w:r>
          </w:p>
        </w:tc>
        <w:tc>
          <w:tcPr>
            <w:tcW w:type="dxa" w:w="3000"/>
          </w:tcPr>
          <w:p>
            <w:r>
              <w:rPr>
                <w:sz w:val="20"/>
                <w:szCs w:val="20"/>
              </w:rPr>
              <w:t xml:space="preserve">Purpose-built RAG evaluation framework</w:t>
            </w:r>
          </w:p>
        </w:tc>
      </w:tr>
      <w:tr>
        <w:tc>
          <w:tcPr>
            <w:tcW w:type="dxa" w:w="3000"/>
          </w:tcPr>
          <w:p>
            <w:r>
              <w:rPr>
                <w:sz w:val="20"/>
                <w:szCs w:val="20"/>
              </w:rPr>
              <w:t xml:space="preserve">Language</w:t>
            </w:r>
          </w:p>
        </w:tc>
        <w:tc>
          <w:tcPr>
            <w:tcW w:type="dxa" w:w="3000"/>
          </w:tcPr>
          <w:p>
            <w:r>
              <w:rPr>
                <w:sz w:val="20"/>
                <w:szCs w:val="20"/>
              </w:rPr>
              <w:t xml:space="preserve">Python</w:t>
            </w:r>
          </w:p>
        </w:tc>
        <w:tc>
          <w:tcPr>
            <w:tcW w:type="dxa" w:w="3000"/>
          </w:tcPr>
          <w:p>
            <w:r>
              <w:rPr>
                <w:sz w:val="20"/>
                <w:szCs w:val="20"/>
              </w:rPr>
              <w:t xml:space="preserve">Entire ecosystem is Python-first</w:t>
            </w:r>
          </w:p>
        </w:tc>
      </w:tr>
    </w:tbl>
    <w:p>
      <w:pPr>
        <w:spacing w:after="100" w:before="200"/>
      </w:pPr>
    </w:p>
    <w:p>
      <w:pPr>
        <w:pStyle w:val="Heading2"/>
        <w:spacing w:after="150" w:before="300"/>
      </w:pPr>
      <w:r>
        <w:t xml:space="preserve">Build Phases</w:t>
      </w:r>
    </w:p>
    <w:p>
      <w:pPr>
        <w:pStyle w:val="Heading3"/>
        <w:spacing w:after="100" w:before="200"/>
      </w:pPr>
      <w:r>
        <w:t xml:space="preserve">Phase 1 — Naive RAG</w:t>
      </w:r>
    </w:p>
    <w:p>
      <w:pPr>
        <w:pStyle w:val="ListParagraph"/>
        <w:numPr>
          <w:ilvl w:val="0"/>
          <w:numId w:val="1"/>
        </w:numPr>
        <w:spacing w:after="60" w:before="60"/>
      </w:pPr>
      <w:r>
        <w:rPr>
          <w:sz w:val="22"/>
          <w:szCs w:val="22"/>
        </w:rPr>
        <w:t xml:space="preserve">Document ingestion pipeline</w:t>
      </w:r>
    </w:p>
    <w:p>
      <w:pPr>
        <w:pStyle w:val="ListParagraph"/>
        <w:numPr>
          <w:ilvl w:val="0"/>
          <w:numId w:val="1"/>
        </w:numPr>
        <w:spacing w:after="60" w:before="60"/>
      </w:pPr>
      <w:r>
        <w:rPr>
          <w:sz w:val="22"/>
          <w:szCs w:val="22"/>
        </w:rPr>
        <w:t xml:space="preserve">Chunking + embedding</w:t>
      </w:r>
    </w:p>
    <w:p>
      <w:pPr>
        <w:pStyle w:val="ListParagraph"/>
        <w:numPr>
          <w:ilvl w:val="0"/>
          <w:numId w:val="1"/>
        </w:numPr>
        <w:spacing w:after="60" w:before="60"/>
      </w:pPr>
      <w:r>
        <w:rPr>
          <w:sz w:val="22"/>
          <w:szCs w:val="22"/>
        </w:rPr>
        <w:t xml:space="preserve">Vector store setup</w:t>
      </w:r>
    </w:p>
    <w:p>
      <w:pPr>
        <w:pStyle w:val="ListParagraph"/>
        <w:numPr>
          <w:ilvl w:val="0"/>
          <w:numId w:val="1"/>
        </w:numPr>
        <w:spacing w:after="60" w:before="60"/>
      </w:pPr>
      <w:r>
        <w:rPr>
          <w:sz w:val="22"/>
          <w:szCs w:val="22"/>
        </w:rPr>
        <w:t xml:space="preserve">Basic retrieval + prompt + LLM response</w:t>
      </w:r>
    </w:p>
    <w:p>
      <w:pPr>
        <w:pStyle w:val="ListParagraph"/>
        <w:numPr>
          <w:ilvl w:val="0"/>
          <w:numId w:val="1"/>
        </w:numPr>
        <w:spacing w:after="60" w:before="60"/>
      </w:pPr>
      <w:r>
        <w:rPr>
          <w:sz w:val="22"/>
          <w:szCs w:val="22"/>
        </w:rPr>
        <w:t xml:space="preserve">Observe where it breaks</w:t>
      </w:r>
    </w:p>
    <w:p>
      <w:pPr>
        <w:pStyle w:val="Heading3"/>
        <w:spacing w:after="100" w:before="200"/>
      </w:pPr>
      <w:r>
        <w:t xml:space="preserve">Phase 2 — Advanced RAG</w:t>
      </w:r>
    </w:p>
    <w:p>
      <w:pPr>
        <w:pStyle w:val="ListParagraph"/>
        <w:numPr>
          <w:ilvl w:val="0"/>
          <w:numId w:val="1"/>
        </w:numPr>
        <w:spacing w:after="60" w:before="60"/>
      </w:pPr>
      <w:r>
        <w:rPr>
          <w:sz w:val="22"/>
          <w:szCs w:val="22"/>
        </w:rPr>
        <w:t xml:space="preserve">Add query rewriting</w:t>
      </w:r>
    </w:p>
    <w:p>
      <w:pPr>
        <w:pStyle w:val="ListParagraph"/>
        <w:numPr>
          <w:ilvl w:val="0"/>
          <w:numId w:val="1"/>
        </w:numPr>
        <w:spacing w:after="60" w:before="60"/>
      </w:pPr>
      <w:r>
        <w:rPr>
          <w:sz w:val="22"/>
          <w:szCs w:val="22"/>
        </w:rPr>
        <w:t xml:space="preserve">Add hybrid search (BM25 + dense)</w:t>
      </w:r>
    </w:p>
    <w:p>
      <w:pPr>
        <w:pStyle w:val="ListParagraph"/>
        <w:numPr>
          <w:ilvl w:val="0"/>
          <w:numId w:val="1"/>
        </w:numPr>
        <w:spacing w:after="60" w:before="60"/>
      </w:pPr>
      <w:r>
        <w:rPr>
          <w:sz w:val="22"/>
          <w:szCs w:val="22"/>
        </w:rPr>
        <w:t xml:space="preserve">Add reranking</w:t>
      </w:r>
    </w:p>
    <w:p>
      <w:pPr>
        <w:pStyle w:val="ListParagraph"/>
        <w:numPr>
          <w:ilvl w:val="0"/>
          <w:numId w:val="1"/>
        </w:numPr>
        <w:spacing w:after="60" w:before="60"/>
      </w:pPr>
      <w:r>
        <w:rPr>
          <w:sz w:val="22"/>
          <w:szCs w:val="22"/>
        </w:rPr>
        <w:t xml:space="preserve">Compare measurably against Phase 1</w:t>
      </w:r>
    </w:p>
    <w:p>
      <w:pPr>
        <w:pStyle w:val="Heading3"/>
        <w:spacing w:after="100" w:before="200"/>
      </w:pPr>
      <w:r>
        <w:t xml:space="preserve">Phase 3 — Evaluation</w:t>
      </w:r>
    </w:p>
    <w:p>
      <w:pPr>
        <w:pStyle w:val="ListParagraph"/>
        <w:numPr>
          <w:ilvl w:val="0"/>
          <w:numId w:val="1"/>
        </w:numPr>
        <w:spacing w:after="60" w:before="60"/>
      </w:pPr>
      <w:r>
        <w:rPr>
          <w:sz w:val="22"/>
          <w:szCs w:val="22"/>
        </w:rPr>
        <w:t xml:space="preserve">RAGAS eval pipeline</w:t>
      </w:r>
    </w:p>
    <w:p>
      <w:pPr>
        <w:pStyle w:val="ListParagraph"/>
        <w:numPr>
          <w:ilvl w:val="0"/>
          <w:numId w:val="1"/>
        </w:numPr>
        <w:spacing w:after="60" w:before="60"/>
      </w:pPr>
      <w:r>
        <w:rPr>
          <w:sz w:val="22"/>
          <w:szCs w:val="22"/>
        </w:rPr>
        <w:t xml:space="preserve">Measure retrieval recall, answer faithfulness, answer relevance</w:t>
      </w:r>
    </w:p>
    <w:p>
      <w:pPr>
        <w:pStyle w:val="ListParagraph"/>
        <w:numPr>
          <w:ilvl w:val="0"/>
          <w:numId w:val="1"/>
        </w:numPr>
        <w:spacing w:after="60" w:before="60"/>
      </w:pPr>
      <w:r>
        <w:rPr>
          <w:sz w:val="22"/>
          <w:szCs w:val="22"/>
        </w:rPr>
        <w:t xml:space="preserve">Most skipped, most regretted step in production RAG</w:t>
      </w:r>
    </w:p>
    <w:p>
      <w:pPr>
        <w:pStyle w:val="Heading3"/>
        <w:spacing w:after="100" w:before="200"/>
      </w:pPr>
      <w:r>
        <w:t xml:space="preserve">Phase 4 — Agentic RAG</w:t>
      </w:r>
    </w:p>
    <w:p>
      <w:pPr>
        <w:pStyle w:val="ListParagraph"/>
        <w:numPr>
          <w:ilvl w:val="0"/>
          <w:numId w:val="1"/>
        </w:numPr>
        <w:spacing w:after="60" w:before="60"/>
      </w:pPr>
      <w:r>
        <w:rPr>
          <w:sz w:val="22"/>
          <w:szCs w:val="22"/>
        </w:rPr>
        <w:t xml:space="preserve">Convert retriever into a LangGraph tool</w:t>
      </w:r>
    </w:p>
    <w:p>
      <w:pPr>
        <w:pStyle w:val="ListParagraph"/>
        <w:numPr>
          <w:ilvl w:val="0"/>
          <w:numId w:val="1"/>
        </w:numPr>
        <w:spacing w:after="60" w:before="60"/>
      </w:pPr>
      <w:r>
        <w:rPr>
          <w:sz w:val="22"/>
          <w:szCs w:val="22"/>
        </w:rPr>
        <w:t xml:space="preserve">Wrap with LangGraph agent</w:t>
      </w:r>
    </w:p>
    <w:p>
      <w:pPr>
        <w:pStyle w:val="ListParagraph"/>
        <w:numPr>
          <w:ilvl w:val="0"/>
          <w:numId w:val="1"/>
        </w:numPr>
        <w:spacing w:after="60" w:before="60"/>
      </w:pPr>
      <w:r>
        <w:rPr>
          <w:sz w:val="22"/>
          <w:szCs w:val="22"/>
        </w:rPr>
        <w:t xml:space="preserve">Handle multi-hop questions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E4057"/>
      <w:sz w:val="32"/>
      <w:szCs w:val="32"/>
    </w:rPr>
  </w:style>
  <w:style w:type="paragraph" w:styleId="Heading2">
    <w:name w:val="Heading 2"/>
    <w:basedOn w:val="Normal"/>
    <w:next w:val="Normal"/>
    <w:qFormat/>
    <w:rPr>
      <w:rFonts w:ascii="Calibri" w:cs="Calibri" w:eastAsia="Calibri" w:hAnsi="Calibri"/>
      <w:b/>
      <w:bCs/>
      <w:color w:val="048A81"/>
      <w:sz w:val="26"/>
      <w:szCs w:val="26"/>
    </w:rPr>
  </w:style>
  <w:style w:type="paragraph" w:styleId="Heading3">
    <w:name w:val="Heading 3"/>
    <w:basedOn w:val="Normal"/>
    <w:next w:val="Normal"/>
    <w:qFormat/>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2026-08-01T05:15:12.242Z</dcterms:created>
  <dcterms:modified xsi:type="dcterms:W3CDTF">2026-08-01T05:15:12.255Z</dcterms:modified>
</cp:coreProperties>
</file>

<file path=docProps/custom.xml><?xml version="1.0" encoding="utf-8"?>
<Properties xmlns="http://schemas.openxmlformats.org/officeDocument/2006/custom-properties" xmlns:vt="http://schemas.openxmlformats.org/officeDocument/2006/docPropsVTypes"/>
</file>