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Calibri" w:cs="Calibri" w:eastAsia="Calibri" w:hAnsi="Calibri"/>
          <w:b/>
          <w:bCs/>
          <w:color w:val="2E4057"/>
          <w:sz w:val="48"/>
          <w:szCs w:val="48"/>
        </w:rPr>
        <w:t xml:space="preserve">RAG Engineering — Learning Journal</w:t>
      </w:r>
    </w:p>
    <w:p>
      <w:pPr>
        <w:spacing w:after="600" w:before="0"/>
        <w:jc w:val="center"/>
      </w:pPr>
      <w:r>
        <w:rPr>
          <w:rFonts w:ascii="Calibri" w:cs="Calibri" w:eastAsia="Calibri" w:hAnsi="Calibri"/>
          <w:color w:val="666666"/>
          <w:sz w:val="26"/>
          <w:szCs w:val="26"/>
        </w:rPr>
        <w:t xml:space="preserve">From LLM Fundamentals to Agentic RAG</w:t>
      </w:r>
    </w:p>
    <w:p>
      <w:pPr>
        <w:pBdr>
          <w:bottom w:val="single" w:color="CCCCCC" w:sz="6"/>
        </w:pBdr>
        <w:spacing w:after="200" w:before="200"/>
      </w:pPr>
    </w:p>
    <w:p>
      <w:pPr>
        <w:pStyle w:val="Heading1"/>
        <w:spacing w:after="200" w:before="400"/>
      </w:pPr>
      <w:r>
        <w:t xml:space="preserve">Session 1: LLM Fundamentals</w:t>
      </w:r>
    </w:p>
    <w:p>
      <w:pPr>
        <w:pStyle w:val="Heading2"/>
        <w:spacing w:after="150" w:before="300"/>
      </w:pPr>
      <w:r>
        <w:t xml:space="preserve">1. How LLMs Generate Answers</w:t>
      </w:r>
    </w:p>
    <w:p>
      <w:pPr>
        <w:spacing w:after="80" w:before="80"/>
      </w:pPr>
      <w:r>
        <w:rPr>
          <w:sz w:val="22"/>
          <w:szCs w:val="22"/>
        </w:rPr>
        <w:t xml:space="preserve">An LLM is a next-token prediction machine. It does not retrieve stored answers — it constructs responses by predicting the most statistically likely next token, one at a time. During training, the model compressed patterns from billions of text sequences into numerical weights (parameters). At inference, those weights are frozen and the model samples from probability distributions over its vocabulary.</w:t>
      </w:r>
    </w:p>
    <w:p>
      <w:pPr>
        <w:spacing w:after="80" w:before="80"/>
      </w:pPr>
      <w:r>
        <w:rPr>
          <w:sz w:val="22"/>
          <w:szCs w:val="22"/>
        </w:rPr>
        <w:t xml:space="preserve">Analogy: A master chef who cooks from 30 years of internalized patterns — not from a recipe. Sometimes brilliant, sometimes confidently wrong.</w:t>
      </w:r>
    </w:p>
    <w:p>
      <w:pPr>
        <w:pStyle w:val="Heading2"/>
        <w:spacing w:after="150" w:before="300"/>
      </w:pPr>
      <w:r>
        <w:t xml:space="preserve">2. What Training Data Actually Means</w:t>
      </w:r>
    </w:p>
    <w:p>
      <w:pPr>
        <w:spacing w:after="80" w:before="80"/>
      </w:pPr>
      <w:r>
        <w:rPr>
          <w:sz w:val="22"/>
          <w:szCs w:val="22"/>
        </w:rPr>
        <w:t xml:space="preserve">Training data is the corpus the model was exposed to before deployment — web pages, books, Wikipedia, code, papers, forums. The model minimized prediction error across this corpus, internalizing grammar, facts, reasoning, and style. Training has a cutoff date. After that date, weights are frozen. The model has no awareness of anything that happened afterward.</w:t>
      </w:r>
    </w:p>
    <w:p>
      <w:pPr>
        <w:spacing w:after="80" w:before="80"/>
      </w:pPr>
      <w:r>
        <w:rPr>
          <w:sz w:val="22"/>
          <w:szCs w:val="22"/>
        </w:rPr>
        <w:t xml:space="preserve">Analogy: A scholar who spent 20 years reading everything, then entered a sealed room with no outside communication. Knows an enormous amount — but only up to the day they entered.</w:t>
      </w:r>
    </w:p>
    <w:p>
      <w:pPr>
        <w:pStyle w:val="Heading2"/>
        <w:spacing w:after="150" w:before="300"/>
      </w:pPr>
      <w:r>
        <w:t xml:space="preserve">3. Why Hallucinations Happen</w:t>
      </w:r>
    </w:p>
    <w:p>
      <w:pPr>
        <w:spacing w:after="80" w:before="80"/>
      </w:pPr>
      <w:r>
        <w:rPr>
          <w:sz w:val="22"/>
          <w:szCs w:val="22"/>
        </w:rPr>
        <w:t xml:space="preserve">The model's training objective was to produce plausible text, not accurate text. When asked about something with weak or no training signal, it extrapolates from adjacent patterns and generates statistically reasonable content that may be factually wrong. Three root causes:</w:t>
      </w:r>
    </w:p>
    <w:p>
      <w:pPr>
        <w:pStyle w:val="ListParagraph"/>
        <w:numPr>
          <w:ilvl w:val="0"/>
          <w:numId w:val="1"/>
        </w:numPr>
        <w:spacing w:after="60" w:before="60"/>
      </w:pPr>
      <w:r>
        <w:rPr>
          <w:sz w:val="22"/>
          <w:szCs w:val="22"/>
        </w:rPr>
        <w:t xml:space="preserve">Sparse training signal — topic appeared rarely, model generalizes poorly</w:t>
      </w:r>
    </w:p>
    <w:p>
      <w:pPr>
        <w:pStyle w:val="ListParagraph"/>
        <w:numPr>
          <w:ilvl w:val="0"/>
          <w:numId w:val="1"/>
        </w:numPr>
        <w:spacing w:after="60" w:before="60"/>
      </w:pPr>
      <w:r>
        <w:rPr>
          <w:sz w:val="22"/>
          <w:szCs w:val="22"/>
        </w:rPr>
        <w:t xml:space="preserve">Conflicting information — contradictory sources in training data blended incoherently</w:t>
      </w:r>
    </w:p>
    <w:p>
      <w:pPr>
        <w:pStyle w:val="ListParagraph"/>
        <w:numPr>
          <w:ilvl w:val="0"/>
          <w:numId w:val="1"/>
        </w:numPr>
        <w:spacing w:after="60" w:before="60"/>
      </w:pPr>
      <w:r>
        <w:rPr>
          <w:sz w:val="22"/>
          <w:szCs w:val="22"/>
        </w:rPr>
        <w:t xml:space="preserve">Out-of-distribution queries — question is outside what the model trained on</w:t>
      </w:r>
    </w:p>
    <w:p>
      <w:pPr>
        <w:pStyle w:val="Heading2"/>
        <w:spacing w:after="150" w:before="300"/>
      </w:pPr>
      <w:r>
        <w:t xml:space="preserve">4. Why LLMs Cannot Access External or Private Knowledge</w:t>
      </w:r>
    </w:p>
    <w:p>
      <w:pPr>
        <w:spacing w:after="80" w:before="80"/>
      </w:pPr>
      <w:r>
        <w:rPr>
          <w:sz w:val="22"/>
          <w:szCs w:val="22"/>
        </w:rPr>
        <w:t xml:space="preserve">Weights encode only what was in training data. No live internet connection. No access to your database, internal wikis, customer records, or proprietary documents. At inference time the model has exactly two information sources: frozen weights, and whatever is in the prompt context window.</w:t>
      </w:r>
    </w:p>
    <w:p>
      <w:pPr>
        <w:pStyle w:val="Heading2"/>
        <w:spacing w:after="150" w:before="300"/>
      </w:pPr>
      <w:r>
        <w:t xml:space="preserve">5. Why Training Data Alone Fails in Production</w:t>
      </w:r>
    </w:p>
    <w:p>
      <w:pPr>
        <w:pStyle w:val="ListParagraph"/>
        <w:numPr>
          <w:ilvl w:val="0"/>
          <w:numId w:val="1"/>
        </w:numPr>
        <w:spacing w:after="60" w:before="60"/>
      </w:pPr>
      <w:r>
        <w:rPr>
          <w:sz w:val="22"/>
          <w:szCs w:val="22"/>
        </w:rPr>
        <w:t xml:space="preserve">Recency — business operates in the present; model knowledge is frozen in the past</w:t>
      </w:r>
    </w:p>
    <w:p>
      <w:pPr>
        <w:pStyle w:val="ListParagraph"/>
        <w:numPr>
          <w:ilvl w:val="0"/>
          <w:numId w:val="1"/>
        </w:numPr>
        <w:spacing w:after="60" w:before="60"/>
      </w:pPr>
      <w:r>
        <w:rPr>
          <w:sz w:val="22"/>
          <w:szCs w:val="22"/>
        </w:rPr>
        <w:t xml:space="preserve">Specificity — users need answers about your products, policies, data — not generic world knowledge</w:t>
      </w:r>
    </w:p>
    <w:p>
      <w:pPr>
        <w:pStyle w:val="ListParagraph"/>
        <w:numPr>
          <w:ilvl w:val="0"/>
          <w:numId w:val="1"/>
        </w:numPr>
        <w:spacing w:after="60" w:before="60"/>
      </w:pPr>
      <w:r>
        <w:rPr>
          <w:sz w:val="22"/>
          <w:szCs w:val="22"/>
        </w:rPr>
        <w:t xml:space="preserve">Accuracy — hallucinated answers in healthcare, legal, or financial domains cause real harm</w:t>
      </w:r>
    </w:p>
    <w:p>
      <w:pPr>
        <w:pStyle w:val="ListParagraph"/>
        <w:numPr>
          <w:ilvl w:val="0"/>
          <w:numId w:val="1"/>
        </w:numPr>
        <w:spacing w:after="60" w:before="60"/>
      </w:pPr>
      <w:r>
        <w:rPr>
          <w:sz w:val="22"/>
          <w:szCs w:val="22"/>
        </w:rPr>
        <w:t xml:space="preserve">Auditability — enterprise systems require cited, traceable answers</w:t>
      </w:r>
    </w:p>
    <w:p>
      <w:pPr>
        <w:pStyle w:val="ListParagraph"/>
        <w:numPr>
          <w:ilvl w:val="0"/>
          <w:numId w:val="1"/>
        </w:numPr>
        <w:spacing w:after="60" w:before="60"/>
      </w:pPr>
      <w:r>
        <w:rPr>
          <w:sz w:val="22"/>
          <w:szCs w:val="22"/>
        </w:rPr>
        <w:t xml:space="preserve">Freshness — pricing, regulations, features, procedures change constantly</w:t>
      </w:r>
    </w:p>
    <w:p>
      <w:pPr>
        <w:pStyle w:val="Heading2"/>
        <w:spacing w:after="150" w:before="300"/>
      </w:pPr>
      <w:r>
        <w:t xml:space="preserve">The Core Insight That Created RAG</w:t>
      </w:r>
    </w:p>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E4057" w:val="clear"/>
          </w:tcPr>
          <w:p>
            <w:r>
              <w:rPr>
                <w:b/>
                <w:bCs/>
                <w:sz w:val="20"/>
                <w:szCs w:val="20"/>
              </w:rPr>
              <w:t xml:space="preserve">LLM Limitation</w:t>
            </w:r>
          </w:p>
        </w:tc>
        <w:tc>
          <w:tcPr>
            <w:tcW w:type="dxa" w:w="4500"/>
            <w:shd w:fill="2E4057" w:val="clear"/>
          </w:tcPr>
          <w:p>
            <w:r>
              <w:rPr>
                <w:b/>
                <w:bCs/>
                <w:sz w:val="20"/>
                <w:szCs w:val="20"/>
              </w:rPr>
              <w:t xml:space="preserve">RAG Solution</w:t>
            </w:r>
          </w:p>
        </w:tc>
      </w:tr>
      <w:tr>
        <w:tc>
          <w:tcPr>
            <w:tcW w:type="dxa" w:w="4500"/>
          </w:tcPr>
          <w:p>
            <w:r>
              <w:rPr>
                <w:sz w:val="20"/>
                <w:szCs w:val="20"/>
              </w:rPr>
              <w:t xml:space="preserve">Frozen training data</w:t>
            </w:r>
          </w:p>
        </w:tc>
        <w:tc>
          <w:tcPr>
            <w:tcW w:type="dxa" w:w="4500"/>
          </w:tcPr>
          <w:p>
            <w:r>
              <w:rPr>
                <w:sz w:val="20"/>
                <w:szCs w:val="20"/>
              </w:rPr>
              <w:t xml:space="preserve">Retrieve fresh documents at query time</w:t>
            </w:r>
          </w:p>
        </w:tc>
      </w:tr>
      <w:tr>
        <w:tc>
          <w:tcPr>
            <w:tcW w:type="dxa" w:w="4500"/>
          </w:tcPr>
          <w:p>
            <w:r>
              <w:rPr>
                <w:sz w:val="20"/>
                <w:szCs w:val="20"/>
              </w:rPr>
              <w:t xml:space="preserve">No private knowledge</w:t>
            </w:r>
          </w:p>
        </w:tc>
        <w:tc>
          <w:tcPr>
            <w:tcW w:type="dxa" w:w="4500"/>
          </w:tcPr>
          <w:p>
            <w:r>
              <w:rPr>
                <w:sz w:val="20"/>
                <w:szCs w:val="20"/>
              </w:rPr>
              <w:t xml:space="preserve">Index private corpus into a vector store</w:t>
            </w:r>
          </w:p>
        </w:tc>
      </w:tr>
      <w:tr>
        <w:tc>
          <w:tcPr>
            <w:tcW w:type="dxa" w:w="4500"/>
          </w:tcPr>
          <w:p>
            <w:r>
              <w:rPr>
                <w:sz w:val="20"/>
                <w:szCs w:val="20"/>
              </w:rPr>
              <w:t xml:space="preserve">Hallucinations</w:t>
            </w:r>
          </w:p>
        </w:tc>
        <w:tc>
          <w:tcPr>
            <w:tcW w:type="dxa" w:w="4500"/>
          </w:tcPr>
          <w:p>
            <w:r>
              <w:rPr>
                <w:sz w:val="20"/>
                <w:szCs w:val="20"/>
              </w:rPr>
              <w:t xml:space="preserve">Ground answers in retrieved source documents</w:t>
            </w:r>
          </w:p>
        </w:tc>
      </w:tr>
      <w:tr>
        <w:tc>
          <w:tcPr>
            <w:tcW w:type="dxa" w:w="4500"/>
          </w:tcPr>
          <w:p>
            <w:r>
              <w:rPr>
                <w:sz w:val="20"/>
                <w:szCs w:val="20"/>
              </w:rPr>
              <w:t xml:space="preserve">No auditability</w:t>
            </w:r>
          </w:p>
        </w:tc>
        <w:tc>
          <w:tcPr>
            <w:tcW w:type="dxa" w:w="4500"/>
          </w:tcPr>
          <w:p>
            <w:r>
              <w:rPr>
                <w:sz w:val="20"/>
                <w:szCs w:val="20"/>
              </w:rPr>
              <w:t xml:space="preserve">Cite exact chunks used to generate the answer</w:t>
            </w:r>
          </w:p>
        </w:tc>
      </w:tr>
      <w:tr>
        <w:tc>
          <w:tcPr>
            <w:tcW w:type="dxa" w:w="4500"/>
          </w:tcPr>
          <w:p>
            <w:r>
              <w:rPr>
                <w:sz w:val="20"/>
                <w:szCs w:val="20"/>
              </w:rPr>
              <w:t xml:space="preserve">Domain specificity</w:t>
            </w:r>
          </w:p>
        </w:tc>
        <w:tc>
          <w:tcPr>
            <w:tcW w:type="dxa" w:w="4500"/>
          </w:tcPr>
          <w:p>
            <w:r>
              <w:rPr>
                <w:sz w:val="20"/>
                <w:szCs w:val="20"/>
              </w:rPr>
              <w:t xml:space="preserve">Search scoped to your specific document collection</w:t>
            </w:r>
          </w:p>
        </w:tc>
      </w:tr>
    </w:tbl>
    <w:p>
      <w:pPr>
        <w:spacing w:after="100" w:before="200"/>
      </w:pPr>
    </w:p>
    <w:p>
      <w:pPr>
        <w:pBdr>
          <w:bottom w:val="single" w:color="CCCCCC" w:sz="6"/>
        </w:pBdr>
        <w:spacing w:after="200" w:before="200"/>
      </w:pPr>
    </w:p>
    <w:p>
      <w:pPr>
        <w:pStyle w:val="Heading1"/>
        <w:spacing w:after="200" w:before="400"/>
      </w:pPr>
      <w:r>
        <w:t xml:space="preserve">Session 2: RAG Architecture</w:t>
      </w:r>
    </w:p>
    <w:p>
      <w:pPr>
        <w:pStyle w:val="Heading2"/>
        <w:spacing w:after="150" w:before="300"/>
      </w:pPr>
      <w:r>
        <w:t xml:space="preserve">The Big Picture</w:t>
      </w:r>
    </w:p>
    <w:p>
      <w:pPr>
        <w:spacing w:after="60" w:before="60"/>
        <w:ind w:left="720"/>
      </w:pPr>
      <w:r>
        <w:rPr>
          <w:rFonts w:ascii="Courier New" w:cs="Courier New" w:eastAsia="Courier New" w:hAnsi="Courier New"/>
          <w:color w:val="1F497D"/>
          <w:sz w:val="18"/>
          <w:szCs w:val="18"/>
        </w:rPr>
        <w:t xml:space="preserve">INDEXING (offline)</w:t>
      </w:r>
    </w:p>
    <w:p>
      <w:pPr>
        <w:spacing w:after="60" w:before="60"/>
        <w:ind w:left="720"/>
      </w:pPr>
      <w:r>
        <w:rPr>
          <w:rFonts w:ascii="Courier New" w:cs="Courier New" w:eastAsia="Courier New" w:hAnsi="Courier New"/>
          <w:color w:val="1F497D"/>
          <w:sz w:val="18"/>
          <w:szCs w:val="18"/>
        </w:rPr>
        <w:t xml:space="preserve">  Raw Documents → Chunker → Embedder → Vector Store</w:t>
      </w:r>
    </w:p>
    <w:p>
      <w:pPr>
        <w:spacing w:after="60" w:before="60"/>
        <w:ind w:left="720"/>
      </w:pPr>
      <w:r>
        <w:rPr>
          <w:rFonts w:ascii="Courier New" w:cs="Courier New" w:eastAsia="Courier New" w:hAnsi="Courier New"/>
          <w:color w:val="1F497D"/>
          <w:sz w:val="18"/>
          <w:szCs w:val="18"/>
        </w:rPr>
        <w:t xml:space="preserve"/>
      </w:r>
    </w:p>
    <w:p>
      <w:pPr>
        <w:spacing w:after="60" w:before="60"/>
        <w:ind w:left="720"/>
      </w:pPr>
      <w:r>
        <w:rPr>
          <w:rFonts w:ascii="Courier New" w:cs="Courier New" w:eastAsia="Courier New" w:hAnsi="Courier New"/>
          <w:color w:val="1F497D"/>
          <w:sz w:val="18"/>
          <w:szCs w:val="18"/>
        </w:rPr>
        <w:t xml:space="preserve">RETRIEVAL (online, per query)</w:t>
      </w:r>
    </w:p>
    <w:p>
      <w:pPr>
        <w:spacing w:after="60" w:before="60"/>
        <w:ind w:left="720"/>
      </w:pPr>
      <w:r>
        <w:rPr>
          <w:rFonts w:ascii="Courier New" w:cs="Courier New" w:eastAsia="Courier New" w:hAnsi="Courier New"/>
          <w:color w:val="1F497D"/>
          <w:sz w:val="18"/>
          <w:szCs w:val="18"/>
        </w:rPr>
        <w:t xml:space="preserve">  User Query → Embedder → Vector Store Search → Top-K Chunks → LLM → Answer</w:t>
      </w:r>
    </w:p>
    <w:p>
      <w:pPr>
        <w:pStyle w:val="Heading2"/>
        <w:spacing w:after="150" w:before="300"/>
      </w:pPr>
      <w:r>
        <w:t xml:space="preserve">1. Embeddings</w:t>
      </w:r>
    </w:p>
    <w:p>
      <w:pPr>
        <w:spacing w:after="80" w:before="80"/>
      </w:pPr>
      <w:r>
        <w:rPr>
          <w:sz w:val="22"/>
          <w:szCs w:val="22"/>
        </w:rPr>
        <w:t xml:space="preserve">An embedding is a vector representing the meaning of a piece of text. An embedding model encodes text into high-dimensional space where semantic similarity maps to geometric proximity. Similarity is measured with cosine similarity — the angle between vectors — making it scale-invariant.</w:t>
      </w:r>
    </w:p>
    <w:p>
      <w:pPr>
        <w:spacing w:after="80" w:before="80"/>
      </w:pPr>
      <w:r>
        <w:rPr>
          <w:sz w:val="22"/>
          <w:szCs w:val="22"/>
        </w:rPr>
        <w:t xml:space="preserve">Analogy: A city map where every piece of text is a building. Buildings with similar purposes cluster together. When you search, you drop a pin at your query's location and find the nearest buildings.</w:t>
      </w:r>
    </w:p>
    <w:p>
      <w:pPr>
        <w:spacing w:after="80" w:before="80"/>
      </w:pPr>
      <w:r>
        <w:rPr>
          <w:sz w:val="22"/>
          <w:szCs w:val="22"/>
        </w:rPr>
        <w:t xml:space="preserve">Critical rule: You cannot mix embedding models. Every chunk and every query must use the same model. Switching models requires re-embedding the entire corpus.</w:t>
      </w:r>
    </w:p>
    <w:p>
      <w:pPr>
        <w:pStyle w:val="Heading2"/>
        <w:spacing w:after="150" w:before="300"/>
      </w:pPr>
      <w:r>
        <w:t xml:space="preserve">2. Chunking</w:t>
      </w:r>
    </w:p>
    <w:p>
      <w:pPr>
        <w:spacing w:after="80" w:before="80"/>
      </w:pPr>
      <w:r>
        <w:rPr>
          <w:sz w:val="22"/>
          <w:szCs w:val="22"/>
        </w:rPr>
        <w:t xml:space="preserve">Documents must be split into smaller pieces before embedding. Each chunk becomes one entry in the vector store with its own embedding. Chunk quality directly determines retrieval precision.</w:t>
      </w:r>
    </w:p>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4057" w:val="clear"/>
          </w:tcPr>
          <w:p>
            <w:r>
              <w:rPr>
                <w:b/>
                <w:bCs/>
                <w:sz w:val="20"/>
                <w:szCs w:val="20"/>
              </w:rPr>
              <w:t xml:space="preserve">Strategy</w:t>
            </w:r>
          </w:p>
        </w:tc>
        <w:tc>
          <w:tcPr>
            <w:tcW w:type="dxa" w:w="3000"/>
            <w:shd w:fill="2E4057" w:val="clear"/>
          </w:tcPr>
          <w:p>
            <w:r>
              <w:rPr>
                <w:b/>
                <w:bCs/>
                <w:sz w:val="20"/>
                <w:szCs w:val="20"/>
              </w:rPr>
              <w:t xml:space="preserve">Best For</w:t>
            </w:r>
          </w:p>
        </w:tc>
        <w:tc>
          <w:tcPr>
            <w:tcW w:type="dxa" w:w="3000"/>
            <w:shd w:fill="2E4057" w:val="clear"/>
          </w:tcPr>
          <w:p>
            <w:r>
              <w:rPr>
                <w:b/>
                <w:bCs/>
                <w:sz w:val="20"/>
                <w:szCs w:val="20"/>
              </w:rPr>
              <w:t xml:space="preserve">Risk</w:t>
            </w:r>
          </w:p>
        </w:tc>
      </w:tr>
      <w:tr>
        <w:tc>
          <w:tcPr>
            <w:tcW w:type="dxa" w:w="3000"/>
          </w:tcPr>
          <w:p>
            <w:r>
              <w:rPr>
                <w:sz w:val="20"/>
                <w:szCs w:val="20"/>
              </w:rPr>
              <w:t xml:space="preserve">Fixed-size (N tokens + overlap)</w:t>
            </w:r>
          </w:p>
        </w:tc>
        <w:tc>
          <w:tcPr>
            <w:tcW w:type="dxa" w:w="3000"/>
          </w:tcPr>
          <w:p>
            <w:r>
              <w:rPr>
                <w:sz w:val="20"/>
                <w:szCs w:val="20"/>
              </w:rPr>
              <w:t xml:space="preserve">Unstructured text, quick prototypes</w:t>
            </w:r>
          </w:p>
        </w:tc>
        <w:tc>
          <w:tcPr>
            <w:tcW w:type="dxa" w:w="3000"/>
          </w:tcPr>
          <w:p>
            <w:r>
              <w:rPr>
                <w:sz w:val="20"/>
                <w:szCs w:val="20"/>
              </w:rPr>
              <w:t xml:space="preserve">Splits mid-sentence</w:t>
            </w:r>
          </w:p>
        </w:tc>
      </w:tr>
      <w:tr>
        <w:tc>
          <w:tcPr>
            <w:tcW w:type="dxa" w:w="3000"/>
          </w:tcPr>
          <w:p>
            <w:r>
              <w:rPr>
                <w:sz w:val="20"/>
                <w:szCs w:val="20"/>
              </w:rPr>
              <w:t xml:space="preserve">Sentence-based</w:t>
            </w:r>
          </w:p>
        </w:tc>
        <w:tc>
          <w:tcPr>
            <w:tcW w:type="dxa" w:w="3000"/>
          </w:tcPr>
          <w:p>
            <w:r>
              <w:rPr>
                <w:sz w:val="20"/>
                <w:szCs w:val="20"/>
              </w:rPr>
              <w:t xml:space="preserve">Clean prose, articles, Q&amp;A</w:t>
            </w:r>
          </w:p>
        </w:tc>
        <w:tc>
          <w:tcPr>
            <w:tcW w:type="dxa" w:w="3000"/>
          </w:tcPr>
          <w:p>
            <w:r>
              <w:rPr>
                <w:sz w:val="20"/>
                <w:szCs w:val="20"/>
              </w:rPr>
              <w:t xml:space="preserve">Short sentences lose context</w:t>
            </w:r>
          </w:p>
        </w:tc>
      </w:tr>
      <w:tr>
        <w:tc>
          <w:tcPr>
            <w:tcW w:type="dxa" w:w="3000"/>
          </w:tcPr>
          <w:p>
            <w:r>
              <w:rPr>
                <w:sz w:val="20"/>
                <w:szCs w:val="20"/>
              </w:rPr>
              <w:t xml:space="preserve">Recursive character</w:t>
            </w:r>
          </w:p>
        </w:tc>
        <w:tc>
          <w:tcPr>
            <w:tcW w:type="dxa" w:w="3000"/>
          </w:tcPr>
          <w:p>
            <w:r>
              <w:rPr>
                <w:sz w:val="20"/>
                <w:szCs w:val="20"/>
              </w:rPr>
              <w:t xml:space="preserve">Mixed content (prose + code + lists)</w:t>
            </w:r>
          </w:p>
        </w:tc>
        <w:tc>
          <w:tcPr>
            <w:tcW w:type="dxa" w:w="3000"/>
          </w:tcPr>
          <w:p>
            <w:r>
              <w:rPr>
                <w:sz w:val="20"/>
                <w:szCs w:val="20"/>
              </w:rPr>
              <w:t xml:space="preserve">Somewhat arbitrary boundaries</w:t>
            </w:r>
          </w:p>
        </w:tc>
      </w:tr>
      <w:tr>
        <w:tc>
          <w:tcPr>
            <w:tcW w:type="dxa" w:w="3000"/>
          </w:tcPr>
          <w:p>
            <w:r>
              <w:rPr>
                <w:sz w:val="20"/>
                <w:szCs w:val="20"/>
              </w:rPr>
              <w:t xml:space="preserve">Semantic chunking</w:t>
            </w:r>
          </w:p>
        </w:tc>
        <w:tc>
          <w:tcPr>
            <w:tcW w:type="dxa" w:w="3000"/>
          </w:tcPr>
          <w:p>
            <w:r>
              <w:rPr>
                <w:sz w:val="20"/>
                <w:szCs w:val="20"/>
              </w:rPr>
              <w:t xml:space="preserve">Long-form docs with topic transitions</w:t>
            </w:r>
          </w:p>
        </w:tc>
        <w:tc>
          <w:tcPr>
            <w:tcW w:type="dxa" w:w="3000"/>
          </w:tcPr>
          <w:p>
            <w:r>
              <w:rPr>
                <w:sz w:val="20"/>
                <w:szCs w:val="20"/>
              </w:rPr>
              <w:t xml:space="preserve">Expensive — embeds every sentence</w:t>
            </w:r>
          </w:p>
        </w:tc>
      </w:tr>
      <w:tr>
        <w:tc>
          <w:tcPr>
            <w:tcW w:type="dxa" w:w="3000"/>
          </w:tcPr>
          <w:p>
            <w:r>
              <w:rPr>
                <w:sz w:val="20"/>
                <w:szCs w:val="20"/>
              </w:rPr>
              <w:t xml:space="preserve">Document-structure-aware</w:t>
            </w:r>
          </w:p>
        </w:tc>
        <w:tc>
          <w:tcPr>
            <w:tcW w:type="dxa" w:w="3000"/>
          </w:tcPr>
          <w:p>
            <w:r>
              <w:rPr>
                <w:sz w:val="20"/>
                <w:szCs w:val="20"/>
              </w:rPr>
              <w:t xml:space="preserve">Wikis, docs sites, PDFs with structure</w:t>
            </w:r>
          </w:p>
        </w:tc>
        <w:tc>
          <w:tcPr>
            <w:tcW w:type="dxa" w:w="3000"/>
          </w:tcPr>
          <w:p>
            <w:r>
              <w:rPr>
                <w:sz w:val="20"/>
                <w:szCs w:val="20"/>
              </w:rPr>
              <w:t xml:space="preserve">Requires format-specific parsers</w:t>
            </w:r>
          </w:p>
        </w:tc>
      </w:tr>
      <w:tr>
        <w:tc>
          <w:tcPr>
            <w:tcW w:type="dxa" w:w="3000"/>
          </w:tcPr>
          <w:p>
            <w:r>
              <w:rPr>
                <w:sz w:val="20"/>
                <w:szCs w:val="20"/>
              </w:rPr>
              <w:t xml:space="preserve">Hierarchical / Parent-document</w:t>
            </w:r>
          </w:p>
        </w:tc>
        <w:tc>
          <w:tcPr>
            <w:tcW w:type="dxa" w:w="3000"/>
          </w:tcPr>
          <w:p>
            <w:r>
              <w:rPr>
                <w:sz w:val="20"/>
                <w:szCs w:val="20"/>
              </w:rPr>
              <w:t xml:space="preserve">Production systems</w:t>
            </w:r>
          </w:p>
        </w:tc>
        <w:tc>
          <w:tcPr>
            <w:tcW w:type="dxa" w:w="3000"/>
          </w:tcPr>
          <w:p>
            <w:r>
              <w:rPr>
                <w:sz w:val="20"/>
                <w:szCs w:val="20"/>
              </w:rPr>
              <w:t xml:space="preserve">More complex indexing logic</w:t>
            </w:r>
          </w:p>
        </w:tc>
      </w:tr>
    </w:tbl>
    <w:p>
      <w:pPr>
        <w:spacing w:after="100" w:before="100"/>
      </w:pPr>
    </w:p>
    <w:p>
      <w:pPr>
        <w:spacing w:after="80" w:before="80"/>
      </w:pPr>
      <w:r>
        <w:rPr>
          <w:sz w:val="22"/>
          <w:szCs w:val="22"/>
        </w:rPr>
        <w:t xml:space="preserve">Production defaults: 512 tokens, 50-token overlap for general prose. Hierarchical chunking is the current industry best practice.</w:t>
      </w:r>
    </w:p>
    <w:p>
      <w:pPr>
        <w:pStyle w:val="Heading2"/>
        <w:spacing w:after="150" w:before="300"/>
      </w:pPr>
      <w:r>
        <w:t xml:space="preserve">3. Vector Databases</w:t>
      </w:r>
    </w:p>
    <w:p>
      <w:pPr>
        <w:spacing w:after="80" w:before="80"/>
      </w:pPr>
      <w:r>
        <w:rPr>
          <w:sz w:val="22"/>
          <w:szCs w:val="22"/>
        </w:rPr>
        <w:t xml:space="preserve">Stores embeddings alongside text chunks and provides fast Approximate Nearest Neighbor (ANN) search. ANN trades a small amount of accuracy for orders-of-magnitude speed improvement — necessary for sub-100ms results.</w:t>
      </w:r>
    </w:p>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4057" w:val="clear"/>
          </w:tcPr>
          <w:p>
            <w:r>
              <w:rPr>
                <w:b/>
                <w:bCs/>
                <w:sz w:val="20"/>
                <w:szCs w:val="20"/>
              </w:rPr>
              <w:t xml:space="preserve">Database</w:t>
            </w:r>
          </w:p>
        </w:tc>
        <w:tc>
          <w:tcPr>
            <w:tcW w:type="dxa" w:w="3000"/>
            <w:shd w:fill="2E4057" w:val="clear"/>
          </w:tcPr>
          <w:p>
            <w:r>
              <w:rPr>
                <w:b/>
                <w:bCs/>
                <w:sz w:val="20"/>
                <w:szCs w:val="20"/>
              </w:rPr>
              <w:t xml:space="preserve">Type</w:t>
            </w:r>
          </w:p>
        </w:tc>
        <w:tc>
          <w:tcPr>
            <w:tcW w:type="dxa" w:w="3000"/>
            <w:shd w:fill="2E4057" w:val="clear"/>
          </w:tcPr>
          <w:p>
            <w:r>
              <w:rPr>
                <w:b/>
                <w:bCs/>
                <w:sz w:val="20"/>
                <w:szCs w:val="20"/>
              </w:rPr>
              <w:t xml:space="preserve">Best For</w:t>
            </w:r>
          </w:p>
        </w:tc>
      </w:tr>
      <w:tr>
        <w:tc>
          <w:tcPr>
            <w:tcW w:type="dxa" w:w="3000"/>
          </w:tcPr>
          <w:p>
            <w:r>
              <w:rPr>
                <w:sz w:val="20"/>
                <w:szCs w:val="20"/>
              </w:rPr>
              <w:t xml:space="preserve">Pinecone</w:t>
            </w:r>
          </w:p>
        </w:tc>
        <w:tc>
          <w:tcPr>
            <w:tcW w:type="dxa" w:w="3000"/>
          </w:tcPr>
          <w:p>
            <w:r>
              <w:rPr>
                <w:sz w:val="20"/>
                <w:szCs w:val="20"/>
              </w:rPr>
              <w:t xml:space="preserve">Managed/serverless</w:t>
            </w:r>
          </w:p>
        </w:tc>
        <w:tc>
          <w:tcPr>
            <w:tcW w:type="dxa" w:w="3000"/>
          </w:tcPr>
          <w:p>
            <w:r>
              <w:rPr>
                <w:sz w:val="20"/>
                <w:szCs w:val="20"/>
              </w:rPr>
              <w:t xml:space="preserve">Teams wanting no infrastructure overhead</w:t>
            </w:r>
          </w:p>
        </w:tc>
      </w:tr>
      <w:tr>
        <w:tc>
          <w:tcPr>
            <w:tcW w:type="dxa" w:w="3000"/>
          </w:tcPr>
          <w:p>
            <w:r>
              <w:rPr>
                <w:sz w:val="20"/>
                <w:szCs w:val="20"/>
              </w:rPr>
              <w:t xml:space="preserve">Qdrant</w:t>
            </w:r>
          </w:p>
        </w:tc>
        <w:tc>
          <w:tcPr>
            <w:tcW w:type="dxa" w:w="3000"/>
          </w:tcPr>
          <w:p>
            <w:r>
              <w:rPr>
                <w:sz w:val="20"/>
                <w:szCs w:val="20"/>
              </w:rPr>
              <w:t xml:space="preserve">Open-source (Rust)</w:t>
            </w:r>
          </w:p>
        </w:tc>
        <w:tc>
          <w:tcPr>
            <w:tcW w:type="dxa" w:w="3000"/>
          </w:tcPr>
          <w:p>
            <w:r>
              <w:rPr>
                <w:sz w:val="20"/>
                <w:szCs w:val="20"/>
              </w:rPr>
              <w:t xml:space="preserve">Self-hosted production, excellent filtering</w:t>
            </w:r>
          </w:p>
        </w:tc>
      </w:tr>
      <w:tr>
        <w:tc>
          <w:tcPr>
            <w:tcW w:type="dxa" w:w="3000"/>
          </w:tcPr>
          <w:p>
            <w:r>
              <w:rPr>
                <w:sz w:val="20"/>
                <w:szCs w:val="20"/>
              </w:rPr>
              <w:t xml:space="preserve">Weaviate</w:t>
            </w:r>
          </w:p>
        </w:tc>
        <w:tc>
          <w:tcPr>
            <w:tcW w:type="dxa" w:w="3000"/>
          </w:tcPr>
          <w:p>
            <w:r>
              <w:rPr>
                <w:sz w:val="20"/>
                <w:szCs w:val="20"/>
              </w:rPr>
              <w:t xml:space="preserve">Open-source</w:t>
            </w:r>
          </w:p>
        </w:tc>
        <w:tc>
          <w:tcPr>
            <w:tcW w:type="dxa" w:w="3000"/>
          </w:tcPr>
          <w:p>
            <w:r>
              <w:rPr>
                <w:sz w:val="20"/>
                <w:szCs w:val="20"/>
              </w:rPr>
              <w:t xml:space="preserve">Built-in hybrid search (vector + BM25)</w:t>
            </w:r>
          </w:p>
        </w:tc>
      </w:tr>
      <w:tr>
        <w:tc>
          <w:tcPr>
            <w:tcW w:type="dxa" w:w="3000"/>
          </w:tcPr>
          <w:p>
            <w:r>
              <w:rPr>
                <w:sz w:val="20"/>
                <w:szCs w:val="20"/>
              </w:rPr>
              <w:t xml:space="preserve">pgvector</w:t>
            </w:r>
          </w:p>
        </w:tc>
        <w:tc>
          <w:tcPr>
            <w:tcW w:type="dxa" w:w="3000"/>
          </w:tcPr>
          <w:p>
            <w:r>
              <w:rPr>
                <w:sz w:val="20"/>
                <w:szCs w:val="20"/>
              </w:rPr>
              <w:t xml:space="preserve">Postgres extension</w:t>
            </w:r>
          </w:p>
        </w:tc>
        <w:tc>
          <w:tcPr>
            <w:tcW w:type="dxa" w:w="3000"/>
          </w:tcPr>
          <w:p>
            <w:r>
              <w:rPr>
                <w:sz w:val="20"/>
                <w:szCs w:val="20"/>
              </w:rPr>
              <w:t xml:space="preserve">Teams already on Postgres, moderate scale</w:t>
            </w:r>
          </w:p>
        </w:tc>
      </w:tr>
      <w:tr>
        <w:tc>
          <w:tcPr>
            <w:tcW w:type="dxa" w:w="3000"/>
          </w:tcPr>
          <w:p>
            <w:r>
              <w:rPr>
                <w:sz w:val="20"/>
                <w:szCs w:val="20"/>
              </w:rPr>
              <w:t xml:space="preserve">Chroma</w:t>
            </w:r>
          </w:p>
        </w:tc>
        <w:tc>
          <w:tcPr>
            <w:tcW w:type="dxa" w:w="3000"/>
          </w:tcPr>
          <w:p>
            <w:r>
              <w:rPr>
                <w:sz w:val="20"/>
                <w:szCs w:val="20"/>
              </w:rPr>
              <w:t xml:space="preserve">Open-source (local)</w:t>
            </w:r>
          </w:p>
        </w:tc>
        <w:tc>
          <w:tcPr>
            <w:tcW w:type="dxa" w:w="3000"/>
          </w:tcPr>
          <w:p>
            <w:r>
              <w:rPr>
                <w:sz w:val="20"/>
                <w:szCs w:val="20"/>
              </w:rPr>
              <w:t xml:space="preserve">Local development, no infrastructure needed</w:t>
            </w:r>
          </w:p>
        </w:tc>
      </w:tr>
      <w:tr>
        <w:tc>
          <w:tcPr>
            <w:tcW w:type="dxa" w:w="3000"/>
          </w:tcPr>
          <w:p>
            <w:r>
              <w:rPr>
                <w:sz w:val="20"/>
                <w:szCs w:val="20"/>
              </w:rPr>
              <w:t xml:space="preserve">FAISS</w:t>
            </w:r>
          </w:p>
        </w:tc>
        <w:tc>
          <w:tcPr>
            <w:tcW w:type="dxa" w:w="3000"/>
          </w:tcPr>
          <w:p>
            <w:r>
              <w:rPr>
                <w:sz w:val="20"/>
                <w:szCs w:val="20"/>
              </w:rPr>
              <w:t xml:space="preserve">In-memory library</w:t>
            </w:r>
          </w:p>
        </w:tc>
        <w:tc>
          <w:tcPr>
            <w:tcW w:type="dxa" w:w="3000"/>
          </w:tcPr>
          <w:p>
            <w:r>
              <w:rPr>
                <w:sz w:val="20"/>
                <w:szCs w:val="20"/>
              </w:rPr>
              <w:t xml:space="preserve">Prototyping only — NOT production</w:t>
            </w:r>
          </w:p>
        </w:tc>
      </w:tr>
    </w:tbl>
    <w:p>
      <w:pPr>
        <w:spacing w:after="100" w:before="100"/>
      </w:pPr>
    </w:p>
    <w:p>
      <w:pPr>
        <w:pStyle w:val="Heading2"/>
        <w:spacing w:after="150" w:before="300"/>
      </w:pPr>
      <w:r>
        <w:t xml:space="preserve">4. Retrieval &amp; Ranking</w:t>
      </w:r>
    </w:p>
    <w:p>
      <w:pPr>
        <w:spacing w:after="80" w:before="80"/>
      </w:pPr>
      <w:r>
        <w:rPr>
          <w:sz w:val="22"/>
          <w:szCs w:val="22"/>
        </w:rPr>
        <w:t xml:space="preserve">Stage 1 — Dense Retrieval: Vector similarity search. Fast, semantic. Returns top-K candidates (typically 20–50).</w:t>
      </w:r>
    </w:p>
    <w:p>
      <w:pPr>
        <w:spacing w:after="80" w:before="80"/>
      </w:pPr>
      <w:r>
        <w:rPr>
          <w:sz w:val="22"/>
          <w:szCs w:val="22"/>
        </w:rPr>
        <w:t xml:space="preserve">Stage 2 — Reranking: A cross-encoder model takes each (query, chunk) pair and scores relevance precisely. Slower but significantly more accurate. Rerank top-K, take top-N (typically 3–5) for the LLM.</w:t>
      </w:r>
    </w:p>
    <w:p>
      <w:pPr>
        <w:spacing w:after="80" w:before="80"/>
      </w:pPr>
      <w:r>
        <w:rPr>
          <w:sz w:val="22"/>
          <w:szCs w:val="22"/>
        </w:rPr>
        <w:t xml:space="preserve">Hybrid Search: Combine dense vector search with BM25 keyword search. Scores fused via Reciprocal Rank Fusion (RRF).</w:t>
      </w:r>
    </w:p>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4057" w:val="clear"/>
          </w:tcPr>
          <w:p>
            <w:r>
              <w:rPr>
                <w:b/>
                <w:bCs/>
                <w:sz w:val="20"/>
                <w:szCs w:val="20"/>
              </w:rPr>
              <w:t xml:space="preserve"/>
            </w:r>
          </w:p>
        </w:tc>
        <w:tc>
          <w:tcPr>
            <w:tcW w:type="dxa" w:w="3000"/>
            <w:shd w:fill="2E4057" w:val="clear"/>
          </w:tcPr>
          <w:p>
            <w:r>
              <w:rPr>
                <w:b/>
                <w:bCs/>
                <w:sz w:val="20"/>
                <w:szCs w:val="20"/>
              </w:rPr>
              <w:t xml:space="preserve">Bi-encoder (vector search)</w:t>
            </w:r>
          </w:p>
        </w:tc>
        <w:tc>
          <w:tcPr>
            <w:tcW w:type="dxa" w:w="3000"/>
            <w:shd w:fill="2E4057" w:val="clear"/>
          </w:tcPr>
          <w:p>
            <w:r>
              <w:rPr>
                <w:b/>
                <w:bCs/>
                <w:sz w:val="20"/>
                <w:szCs w:val="20"/>
              </w:rPr>
              <w:t xml:space="preserve">Cross-encoder (reranker)</w:t>
            </w:r>
          </w:p>
        </w:tc>
      </w:tr>
      <w:tr>
        <w:tc>
          <w:tcPr>
            <w:tcW w:type="dxa" w:w="3000"/>
          </w:tcPr>
          <w:p>
            <w:r>
              <w:rPr>
                <w:sz w:val="20"/>
                <w:szCs w:val="20"/>
              </w:rPr>
              <w:t xml:space="preserve">How it works</w:t>
            </w:r>
          </w:p>
        </w:tc>
        <w:tc>
          <w:tcPr>
            <w:tcW w:type="dxa" w:w="3000"/>
          </w:tcPr>
          <w:p>
            <w:r>
              <w:rPr>
                <w:sz w:val="20"/>
                <w:szCs w:val="20"/>
              </w:rPr>
              <w:t xml:space="preserve">Encode query and doc separately, compare vectors</w:t>
            </w:r>
          </w:p>
        </w:tc>
        <w:tc>
          <w:tcPr>
            <w:tcW w:type="dxa" w:w="3000"/>
          </w:tcPr>
          <w:p>
            <w:r>
              <w:rPr>
                <w:sz w:val="20"/>
                <w:szCs w:val="20"/>
              </w:rPr>
              <w:t xml:space="preserve">Encode query + doc together, joint attention</w:t>
            </w:r>
          </w:p>
        </w:tc>
      </w:tr>
      <w:tr>
        <w:tc>
          <w:tcPr>
            <w:tcW w:type="dxa" w:w="3000"/>
          </w:tcPr>
          <w:p>
            <w:r>
              <w:rPr>
                <w:sz w:val="20"/>
                <w:szCs w:val="20"/>
              </w:rPr>
              <w:t xml:space="preserve">Speed</w:t>
            </w:r>
          </w:p>
        </w:tc>
        <w:tc>
          <w:tcPr>
            <w:tcW w:type="dxa" w:w="3000"/>
          </w:tcPr>
          <w:p>
            <w:r>
              <w:rPr>
                <w:sz w:val="20"/>
                <w:szCs w:val="20"/>
              </w:rPr>
              <w:t xml:space="preserve">Very fast (ANN index)</w:t>
            </w:r>
          </w:p>
        </w:tc>
        <w:tc>
          <w:tcPr>
            <w:tcW w:type="dxa" w:w="3000"/>
          </w:tcPr>
          <w:p>
            <w:r>
              <w:rPr>
                <w:sz w:val="20"/>
                <w:szCs w:val="20"/>
              </w:rPr>
              <w:t xml:space="preserve">Slow (runs on each candidate)</w:t>
            </w:r>
          </w:p>
        </w:tc>
      </w:tr>
      <w:tr>
        <w:tc>
          <w:tcPr>
            <w:tcW w:type="dxa" w:w="3000"/>
          </w:tcPr>
          <w:p>
            <w:r>
              <w:rPr>
                <w:sz w:val="20"/>
                <w:szCs w:val="20"/>
              </w:rPr>
              <w:t xml:space="preserve">Accuracy</w:t>
            </w:r>
          </w:p>
        </w:tc>
        <w:tc>
          <w:tcPr>
            <w:tcW w:type="dxa" w:w="3000"/>
          </w:tcPr>
          <w:p>
            <w:r>
              <w:rPr>
                <w:sz w:val="20"/>
                <w:szCs w:val="20"/>
              </w:rPr>
              <w:t xml:space="preserve">Approximate</w:t>
            </w:r>
          </w:p>
        </w:tc>
        <w:tc>
          <w:tcPr>
            <w:tcW w:type="dxa" w:w="3000"/>
          </w:tcPr>
          <w:p>
            <w:r>
              <w:rPr>
                <w:sz w:val="20"/>
                <w:szCs w:val="20"/>
              </w:rPr>
              <w:t xml:space="preserve">Precise</w:t>
            </w:r>
          </w:p>
        </w:tc>
      </w:tr>
      <w:tr>
        <w:tc>
          <w:tcPr>
            <w:tcW w:type="dxa" w:w="3000"/>
          </w:tcPr>
          <w:p>
            <w:r>
              <w:rPr>
                <w:sz w:val="20"/>
                <w:szCs w:val="20"/>
              </w:rPr>
              <w:t xml:space="preserve">Use case</w:t>
            </w:r>
          </w:p>
        </w:tc>
        <w:tc>
          <w:tcPr>
            <w:tcW w:type="dxa" w:w="3000"/>
          </w:tcPr>
          <w:p>
            <w:r>
              <w:rPr>
                <w:sz w:val="20"/>
                <w:szCs w:val="20"/>
              </w:rPr>
              <w:t xml:space="preserve">Recall over millions of docs</w:t>
            </w:r>
          </w:p>
        </w:tc>
        <w:tc>
          <w:tcPr>
            <w:tcW w:type="dxa" w:w="3000"/>
          </w:tcPr>
          <w:p>
            <w:r>
              <w:rPr>
                <w:sz w:val="20"/>
                <w:szCs w:val="20"/>
              </w:rPr>
              <w:t xml:space="preserve">Precision over top-50 candidates</w:t>
            </w:r>
          </w:p>
        </w:tc>
      </w:tr>
    </w:tbl>
    <w:p>
      <w:pPr>
        <w:spacing w:after="100" w:before="100"/>
      </w:pPr>
    </w:p>
    <w:p>
      <w:pPr>
        <w:pStyle w:val="Heading2"/>
        <w:spacing w:after="150" w:before="300"/>
      </w:pPr>
      <w:r>
        <w:t xml:space="preserve">5. Prompt Construction</w:t>
      </w:r>
    </w:p>
    <w:p>
      <w:pPr>
        <w:spacing w:after="60" w:before="60"/>
        <w:ind w:left="720"/>
      </w:pPr>
      <w:r>
        <w:rPr>
          <w:rFonts w:ascii="Courier New" w:cs="Courier New" w:eastAsia="Courier New" w:hAnsi="Courier New"/>
          <w:color w:val="1F497D"/>
          <w:sz w:val="18"/>
          <w:szCs w:val="18"/>
        </w:rPr>
        <w:t xml:space="preserve">System: Answer ONLY using the context. Say "I don't know" if not in context.</w:t>
      </w:r>
    </w:p>
    <w:p>
      <w:pPr>
        <w:spacing w:after="60" w:before="60"/>
        <w:ind w:left="720"/>
      </w:pPr>
      <w:r>
        <w:rPr>
          <w:rFonts w:ascii="Courier New" w:cs="Courier New" w:eastAsia="Courier New" w:hAnsi="Courier New"/>
          <w:color w:val="1F497D"/>
          <w:sz w:val="18"/>
          <w:szCs w:val="18"/>
        </w:rPr>
        <w:t xml:space="preserve">Context: [SOURCE 1] ... [SOURCE 2] ... [SOURCE 3] ...</w:t>
      </w:r>
    </w:p>
    <w:p>
      <w:pPr>
        <w:spacing w:after="60" w:before="60"/>
        <w:ind w:left="720"/>
      </w:pPr>
      <w:r>
        <w:rPr>
          <w:rFonts w:ascii="Courier New" w:cs="Courier New" w:eastAsia="Courier New" w:hAnsi="Courier New"/>
          <w:color w:val="1F497D"/>
          <w:sz w:val="18"/>
          <w:szCs w:val="18"/>
        </w:rPr>
        <w:t xml:space="preserve">Query: {user's question}</w:t>
      </w:r>
    </w:p>
    <w:p>
      <w:pPr>
        <w:pBdr>
          <w:bottom w:val="single" w:color="CCCCCC" w:sz="6"/>
        </w:pBdr>
        <w:spacing w:after="200" w:before="200"/>
      </w:pPr>
    </w:p>
    <w:p>
      <w:pPr>
        <w:pStyle w:val="Heading1"/>
        <w:spacing w:after="200" w:before="400"/>
      </w:pPr>
      <w:r>
        <w:t xml:space="preserve">Session 3: Deep Dives — Similarity Metrics &amp; Embedding Models</w:t>
      </w:r>
    </w:p>
    <w:p>
      <w:pPr>
        <w:pStyle w:val="Heading2"/>
        <w:spacing w:after="150" w:before="300"/>
      </w:pPr>
      <w:r>
        <w:t xml:space="preserve">Euclidean Distance</w:t>
      </w:r>
    </w:p>
    <w:p>
      <w:pPr>
        <w:spacing w:after="60" w:before="60"/>
        <w:ind w:left="720"/>
      </w:pPr>
      <w:r>
        <w:rPr>
          <w:rFonts w:ascii="Courier New" w:cs="Courier New" w:eastAsia="Courier New" w:hAnsi="Courier New"/>
          <w:color w:val="1F497D"/>
          <w:sz w:val="18"/>
          <w:szCs w:val="18"/>
        </w:rPr>
        <w:t xml:space="preserve">d(A, B) = √( Σ (Aᵢ - Bᵢ)² )</w:t>
      </w:r>
    </w:p>
    <w:p>
      <w:pPr>
        <w:spacing w:after="80" w:before="80"/>
      </w:pPr>
      <w:r>
        <w:rPr>
          <w:sz w:val="22"/>
          <w:szCs w:val="22"/>
        </w:rPr>
        <w:t xml:space="preserve">Measures straight-line distance. Conflates magnitude and direction — fails for short query vs long document comparisons.</w:t>
      </w:r>
    </w:p>
    <w:p>
      <w:pPr>
        <w:pStyle w:val="Heading2"/>
        <w:spacing w:after="150" w:before="300"/>
      </w:pPr>
      <w:r>
        <w:t xml:space="preserve">Cosine Similarity</w:t>
      </w:r>
    </w:p>
    <w:p>
      <w:pPr>
        <w:spacing w:after="60" w:before="60"/>
        <w:ind w:left="720"/>
      </w:pPr>
      <w:r>
        <w:rPr>
          <w:rFonts w:ascii="Courier New" w:cs="Courier New" w:eastAsia="Courier New" w:hAnsi="Courier New"/>
          <w:color w:val="1F497D"/>
          <w:sz w:val="18"/>
          <w:szCs w:val="18"/>
        </w:rPr>
        <w:t xml:space="preserve">cos_sim(A, B) = (A · B) / (||A|| × ||B||)   Range: -1 to 1</w:t>
      </w:r>
    </w:p>
    <w:p>
      <w:pPr>
        <w:spacing w:after="80" w:before="80"/>
      </w:pPr>
      <w:r>
        <w:rPr>
          <w:sz w:val="22"/>
          <w:szCs w:val="22"/>
        </w:rPr>
        <w:t xml:space="preserve">Measures the angle between vectors, ignoring magnitude. Scale-invariant — the correct default metric for RAG.</w:t>
      </w:r>
    </w:p>
    <w:p>
      <w:pPr>
        <w:pStyle w:val="Heading2"/>
        <w:spacing w:after="150" w:before="300"/>
      </w:pPr>
      <w:r>
        <w:t xml:space="preserve">Cosine Distance</w:t>
      </w:r>
    </w:p>
    <w:p>
      <w:pPr>
        <w:spacing w:after="60" w:before="60"/>
        <w:ind w:left="720"/>
      </w:pPr>
      <w:r>
        <w:rPr>
          <w:rFonts w:ascii="Courier New" w:cs="Courier New" w:eastAsia="Courier New" w:hAnsi="Courier New"/>
          <w:color w:val="1F497D"/>
          <w:sz w:val="18"/>
          <w:szCs w:val="18"/>
        </w:rPr>
        <w:t xml:space="preserve">cosine_distance = 1 - cosine_similarity   Range: 0 to 2</w:t>
      </w:r>
    </w:p>
    <w:p>
      <w:pPr>
        <w:spacing w:after="80" w:before="80"/>
      </w:pPr>
      <w:r>
        <w:rPr>
          <w:sz w:val="22"/>
          <w:szCs w:val="22"/>
        </w:rPr>
        <w:t xml:space="preserve">Used internally by vector databases. You think in similarity (higher = better). The DB handles the inversion.</w:t>
      </w:r>
    </w:p>
    <w:p>
      <w:pPr>
        <w:pStyle w:val="Heading2"/>
        <w:spacing w:after="150" w:before="300"/>
      </w:pPr>
      <w:r>
        <w:t xml:space="preserve">Dot Product / MIP</w:t>
      </w:r>
    </w:p>
    <w:p>
      <w:pPr>
        <w:spacing w:after="60" w:before="60"/>
        <w:ind w:left="720"/>
      </w:pPr>
      <w:r>
        <w:rPr>
          <w:rFonts w:ascii="Courier New" w:cs="Courier New" w:eastAsia="Courier New" w:hAnsi="Courier New"/>
          <w:color w:val="1F497D"/>
          <w:sz w:val="18"/>
          <w:szCs w:val="18"/>
        </w:rPr>
        <w:t xml:space="preserve">dot_product(A, B) = Σ(Aᵢ × Bᵢ)</w:t>
      </w:r>
    </w:p>
    <w:p>
      <w:pPr>
        <w:spacing w:after="80" w:before="80"/>
      </w:pPr>
      <w:r>
        <w:rPr>
          <w:sz w:val="22"/>
          <w:szCs w:val="22"/>
        </w:rPr>
        <w:t xml:space="preserve">Equals cosine similarity when vectors are pre-normalized (unit vectors). Most modern embedding models output pre-normalized vectors — check model card. MIP indexes are faster, so normalizing before inserting gives speed and accuracy.</w:t>
      </w:r>
    </w:p>
    <w:p>
      <w:pPr>
        <w:pStyle w:val="Heading2"/>
        <w:spacing w:after="150" w:before="300"/>
      </w:pPr>
      <w:r>
        <w:t xml:space="preserve">Embedding Normalization</w:t>
      </w:r>
    </w:p>
    <w:p>
      <w:pPr>
        <w:spacing w:after="60" w:before="60"/>
        <w:ind w:left="720"/>
      </w:pPr>
      <w:r>
        <w:rPr>
          <w:rFonts w:ascii="Courier New" w:cs="Courier New" w:eastAsia="Courier New" w:hAnsi="Courier New"/>
          <w:color w:val="1F497D"/>
          <w:sz w:val="18"/>
          <w:szCs w:val="18"/>
        </w:rPr>
        <w:t xml:space="preserve">v = [3, 4]  →  ||v|| = 5  →  normalized = [0.6, 0.8]  →  ||normalized|| = 1</w:t>
      </w:r>
    </w:p>
    <w:p>
      <w:pPr>
        <w:spacing w:after="80" w:before="80"/>
      </w:pPr>
      <w:r>
        <w:rPr>
          <w:sz w:val="22"/>
          <w:szCs w:val="22"/>
        </w:rPr>
        <w:t xml:space="preserve">Dividing a vector by its L2 norm produces a unit vector. Once normalized, dot product = cosine similarity.</w:t>
      </w:r>
    </w:p>
    <w:p>
      <w:pPr>
        <w:pStyle w:val="Heading2"/>
        <w:spacing w:after="150" w:before="300"/>
      </w:pPr>
      <w:r>
        <w:t xml:space="preserve">Decision Table</w:t>
      </w:r>
    </w:p>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E4057" w:val="clear"/>
          </w:tcPr>
          <w:p>
            <w:r>
              <w:rPr>
                <w:b/>
                <w:bCs/>
                <w:sz w:val="20"/>
                <w:szCs w:val="20"/>
              </w:rPr>
              <w:t xml:space="preserve">Metric</w:t>
            </w:r>
          </w:p>
        </w:tc>
        <w:tc>
          <w:tcPr>
            <w:tcW w:type="dxa" w:w="4500"/>
            <w:shd w:fill="2E4057" w:val="clear"/>
          </w:tcPr>
          <w:p>
            <w:r>
              <w:rPr>
                <w:b/>
                <w:bCs/>
                <w:sz w:val="20"/>
                <w:szCs w:val="20"/>
              </w:rPr>
              <w:t xml:space="preserve">Use When</w:t>
            </w:r>
          </w:p>
        </w:tc>
      </w:tr>
      <w:tr>
        <w:tc>
          <w:tcPr>
            <w:tcW w:type="dxa" w:w="4500"/>
          </w:tcPr>
          <w:p>
            <w:r>
              <w:rPr>
                <w:sz w:val="20"/>
                <w:szCs w:val="20"/>
              </w:rPr>
              <w:t xml:space="preserve">Cosine similarity</w:t>
            </w:r>
          </w:p>
        </w:tc>
        <w:tc>
          <w:tcPr>
            <w:tcW w:type="dxa" w:w="4500"/>
          </w:tcPr>
          <w:p>
            <w:r>
              <w:rPr>
                <w:sz w:val="20"/>
                <w:szCs w:val="20"/>
              </w:rPr>
              <w:t xml:space="preserve">Default for RAG, vectors not normalized</w:t>
            </w:r>
          </w:p>
        </w:tc>
      </w:tr>
      <w:tr>
        <w:tc>
          <w:tcPr>
            <w:tcW w:type="dxa" w:w="4500"/>
          </w:tcPr>
          <w:p>
            <w:r>
              <w:rPr>
                <w:sz w:val="20"/>
                <w:szCs w:val="20"/>
              </w:rPr>
              <w:t xml:space="preserve">Dot product / MIP</w:t>
            </w:r>
          </w:p>
        </w:tc>
        <w:tc>
          <w:tcPr>
            <w:tcW w:type="dxa" w:w="4500"/>
          </w:tcPr>
          <w:p>
            <w:r>
              <w:rPr>
                <w:sz w:val="20"/>
                <w:szCs w:val="20"/>
              </w:rPr>
              <w:t xml:space="preserve">Vectors are pre-normalized (most modern models)</w:t>
            </w:r>
          </w:p>
        </w:tc>
      </w:tr>
      <w:tr>
        <w:tc>
          <w:tcPr>
            <w:tcW w:type="dxa" w:w="4500"/>
          </w:tcPr>
          <w:p>
            <w:r>
              <w:rPr>
                <w:sz w:val="20"/>
                <w:szCs w:val="20"/>
              </w:rPr>
              <w:t xml:space="preserve">Euclidean distance</w:t>
            </w:r>
          </w:p>
        </w:tc>
        <w:tc>
          <w:tcPr>
            <w:tcW w:type="dxa" w:w="4500"/>
          </w:tcPr>
          <w:p>
            <w:r>
              <w:rPr>
                <w:sz w:val="20"/>
                <w:szCs w:val="20"/>
              </w:rPr>
              <w:t xml:space="preserve">Computer vision, clustering — rarely in RAG</w:t>
            </w:r>
          </w:p>
        </w:tc>
      </w:tr>
      <w:tr>
        <w:tc>
          <w:tcPr>
            <w:tcW w:type="dxa" w:w="4500"/>
          </w:tcPr>
          <w:p>
            <w:r>
              <w:rPr>
                <w:sz w:val="20"/>
                <w:szCs w:val="20"/>
              </w:rPr>
              <w:t xml:space="preserve">Cosine distance</w:t>
            </w:r>
          </w:p>
        </w:tc>
        <w:tc>
          <w:tcPr>
            <w:tcW w:type="dxa" w:w="4500"/>
          </w:tcPr>
          <w:p>
            <w:r>
              <w:rPr>
                <w:sz w:val="20"/>
                <w:szCs w:val="20"/>
              </w:rPr>
              <w:t xml:space="preserve">Internal to vector DB indexing — not your concern</w:t>
            </w:r>
          </w:p>
        </w:tc>
      </w:tr>
    </w:tbl>
    <w:p>
      <w:pPr>
        <w:spacing w:after="100" w:before="200"/>
      </w:pPr>
    </w:p>
    <w:p>
      <w:pPr>
        <w:pStyle w:val="Heading2"/>
        <w:spacing w:after="150" w:before="300"/>
      </w:pPr>
      <w:r>
        <w:t xml:space="preserve">Embedding Models Reference</w:t>
      </w:r>
    </w:p>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2E4057" w:val="clear"/>
          </w:tcPr>
          <w:p>
            <w:r>
              <w:rPr>
                <w:b/>
                <w:bCs/>
                <w:sz w:val="20"/>
                <w:szCs w:val="20"/>
              </w:rPr>
              <w:t xml:space="preserve">Model</w:t>
            </w:r>
          </w:p>
        </w:tc>
        <w:tc>
          <w:tcPr>
            <w:tcW w:type="dxa" w:w="2250"/>
            <w:shd w:fill="2E4057" w:val="clear"/>
          </w:tcPr>
          <w:p>
            <w:r>
              <w:rPr>
                <w:b/>
                <w:bCs/>
                <w:sz w:val="20"/>
                <w:szCs w:val="20"/>
              </w:rPr>
              <w:t xml:space="preserve">Provider</w:t>
            </w:r>
          </w:p>
        </w:tc>
        <w:tc>
          <w:tcPr>
            <w:tcW w:type="dxa" w:w="2250"/>
            <w:shd w:fill="2E4057" w:val="clear"/>
          </w:tcPr>
          <w:p>
            <w:r>
              <w:rPr>
                <w:b/>
                <w:bCs/>
                <w:sz w:val="20"/>
                <w:szCs w:val="20"/>
              </w:rPr>
              <w:t xml:space="preserve">Dims</w:t>
            </w:r>
          </w:p>
        </w:tc>
        <w:tc>
          <w:tcPr>
            <w:tcW w:type="dxa" w:w="2250"/>
            <w:shd w:fill="2E4057" w:val="clear"/>
          </w:tcPr>
          <w:p>
            <w:r>
              <w:rPr>
                <w:b/>
                <w:bCs/>
                <w:sz w:val="20"/>
                <w:szCs w:val="20"/>
              </w:rPr>
              <w:t xml:space="preserve">Notes</w:t>
            </w:r>
          </w:p>
        </w:tc>
      </w:tr>
      <w:tr>
        <w:tc>
          <w:tcPr>
            <w:tcW w:type="dxa" w:w="2250"/>
          </w:tcPr>
          <w:p>
            <w:r>
              <w:rPr>
                <w:sz w:val="20"/>
                <w:szCs w:val="20"/>
              </w:rPr>
              <w:t xml:space="preserve">text-embedding-3-small</w:t>
            </w:r>
          </w:p>
        </w:tc>
        <w:tc>
          <w:tcPr>
            <w:tcW w:type="dxa" w:w="2250"/>
          </w:tcPr>
          <w:p>
            <w:r>
              <w:rPr>
                <w:sz w:val="20"/>
                <w:szCs w:val="20"/>
              </w:rPr>
              <w:t xml:space="preserve">OpenAI</w:t>
            </w:r>
          </w:p>
        </w:tc>
        <w:tc>
          <w:tcPr>
            <w:tcW w:type="dxa" w:w="2250"/>
          </w:tcPr>
          <w:p>
            <w:r>
              <w:rPr>
                <w:sz w:val="20"/>
                <w:szCs w:val="20"/>
              </w:rPr>
              <w:t xml:space="preserve">1536</w:t>
            </w:r>
          </w:p>
        </w:tc>
        <w:tc>
          <w:tcPr>
            <w:tcW w:type="dxa" w:w="2250"/>
          </w:tcPr>
          <w:p>
            <w:r>
              <w:rPr>
                <w:sz w:val="20"/>
                <w:szCs w:val="20"/>
              </w:rPr>
              <w:t xml:space="preserve">Best price/perf</w:t>
            </w:r>
          </w:p>
        </w:tc>
      </w:tr>
      <w:tr>
        <w:tc>
          <w:tcPr>
            <w:tcW w:type="dxa" w:w="2250"/>
          </w:tcPr>
          <w:p>
            <w:r>
              <w:rPr>
                <w:sz w:val="20"/>
                <w:szCs w:val="20"/>
              </w:rPr>
              <w:t xml:space="preserve">text-embedding-3-large</w:t>
            </w:r>
          </w:p>
        </w:tc>
        <w:tc>
          <w:tcPr>
            <w:tcW w:type="dxa" w:w="2250"/>
          </w:tcPr>
          <w:p>
            <w:r>
              <w:rPr>
                <w:sz w:val="20"/>
                <w:szCs w:val="20"/>
              </w:rPr>
              <w:t xml:space="preserve">OpenAI</w:t>
            </w:r>
          </w:p>
        </w:tc>
        <w:tc>
          <w:tcPr>
            <w:tcW w:type="dxa" w:w="2250"/>
          </w:tcPr>
          <w:p>
            <w:r>
              <w:rPr>
                <w:sz w:val="20"/>
                <w:szCs w:val="20"/>
              </w:rPr>
              <w:t xml:space="preserve">3072</w:t>
            </w:r>
          </w:p>
        </w:tc>
        <w:tc>
          <w:tcPr>
            <w:tcW w:type="dxa" w:w="2250"/>
          </w:tcPr>
          <w:p>
            <w:r>
              <w:rPr>
                <w:sz w:val="20"/>
                <w:szCs w:val="20"/>
              </w:rPr>
              <w:t xml:space="preserve">Higher accuracy</w:t>
            </w:r>
          </w:p>
        </w:tc>
      </w:tr>
      <w:tr>
        <w:tc>
          <w:tcPr>
            <w:tcW w:type="dxa" w:w="2250"/>
          </w:tcPr>
          <w:p>
            <w:r>
              <w:rPr>
                <w:sz w:val="20"/>
                <w:szCs w:val="20"/>
              </w:rPr>
              <w:t xml:space="preserve">embed-v3-english</w:t>
            </w:r>
          </w:p>
        </w:tc>
        <w:tc>
          <w:tcPr>
            <w:tcW w:type="dxa" w:w="2250"/>
          </w:tcPr>
          <w:p>
            <w:r>
              <w:rPr>
                <w:sz w:val="20"/>
                <w:szCs w:val="20"/>
              </w:rPr>
              <w:t xml:space="preserve">Cohere</w:t>
            </w:r>
          </w:p>
        </w:tc>
        <w:tc>
          <w:tcPr>
            <w:tcW w:type="dxa" w:w="2250"/>
          </w:tcPr>
          <w:p>
            <w:r>
              <w:rPr>
                <w:sz w:val="20"/>
                <w:szCs w:val="20"/>
              </w:rPr>
              <w:t xml:space="preserve">1024</w:t>
            </w:r>
          </w:p>
        </w:tc>
        <w:tc>
          <w:tcPr>
            <w:tcW w:type="dxa" w:w="2250"/>
          </w:tcPr>
          <w:p>
            <w:r>
              <w:rPr>
                <w:sz w:val="20"/>
                <w:szCs w:val="20"/>
              </w:rPr>
              <w:t xml:space="preserve">int8 quantization support</w:t>
            </w:r>
          </w:p>
        </w:tc>
      </w:tr>
      <w:tr>
        <w:tc>
          <w:tcPr>
            <w:tcW w:type="dxa" w:w="2250"/>
          </w:tcPr>
          <w:p>
            <w:r>
              <w:rPr>
                <w:sz w:val="20"/>
                <w:szCs w:val="20"/>
              </w:rPr>
              <w:t xml:space="preserve">voyage-3-large</w:t>
            </w:r>
          </w:p>
        </w:tc>
        <w:tc>
          <w:tcPr>
            <w:tcW w:type="dxa" w:w="2250"/>
          </w:tcPr>
          <w:p>
            <w:r>
              <w:rPr>
                <w:sz w:val="20"/>
                <w:szCs w:val="20"/>
              </w:rPr>
              <w:t xml:space="preserve">Voyage AI</w:t>
            </w:r>
          </w:p>
        </w:tc>
        <w:tc>
          <w:tcPr>
            <w:tcW w:type="dxa" w:w="2250"/>
          </w:tcPr>
          <w:p>
            <w:r>
              <w:rPr>
                <w:sz w:val="20"/>
                <w:szCs w:val="20"/>
              </w:rPr>
              <w:t xml:space="preserve">1024</w:t>
            </w:r>
          </w:p>
        </w:tc>
        <w:tc>
          <w:tcPr>
            <w:tcW w:type="dxa" w:w="2250"/>
          </w:tcPr>
          <w:p>
            <w:r>
              <w:rPr>
                <w:sz w:val="20"/>
                <w:szCs w:val="20"/>
              </w:rPr>
              <w:t xml:space="preserve">Production scale</w:t>
            </w:r>
          </w:p>
        </w:tc>
      </w:tr>
      <w:tr>
        <w:tc>
          <w:tcPr>
            <w:tcW w:type="dxa" w:w="2250"/>
          </w:tcPr>
          <w:p>
            <w:r>
              <w:rPr>
                <w:sz w:val="20"/>
                <w:szCs w:val="20"/>
              </w:rPr>
              <w:t xml:space="preserve">Gemini Embedding 2</w:t>
            </w:r>
          </w:p>
        </w:tc>
        <w:tc>
          <w:tcPr>
            <w:tcW w:type="dxa" w:w="2250"/>
          </w:tcPr>
          <w:p>
            <w:r>
              <w:rPr>
                <w:sz w:val="20"/>
                <w:szCs w:val="20"/>
              </w:rPr>
              <w:t xml:space="preserve">Google</w:t>
            </w:r>
          </w:p>
        </w:tc>
        <w:tc>
          <w:tcPr>
            <w:tcW w:type="dxa" w:w="2250"/>
          </w:tcPr>
          <w:p>
            <w:r>
              <w:rPr>
                <w:sz w:val="20"/>
                <w:szCs w:val="20"/>
              </w:rPr>
              <w:t xml:space="preserve">3072</w:t>
            </w:r>
          </w:p>
        </w:tc>
        <w:tc>
          <w:tcPr>
            <w:tcW w:type="dxa" w:w="2250"/>
          </w:tcPr>
          <w:p>
            <w:r>
              <w:rPr>
                <w:sz w:val="20"/>
                <w:szCs w:val="20"/>
              </w:rPr>
              <w:t xml:space="preserve">Multimodal, 32K context</w:t>
            </w:r>
          </w:p>
        </w:tc>
      </w:tr>
      <w:tr>
        <w:tc>
          <w:tcPr>
            <w:tcW w:type="dxa" w:w="2250"/>
          </w:tcPr>
          <w:p>
            <w:r>
              <w:rPr>
                <w:sz w:val="20"/>
                <w:szCs w:val="20"/>
              </w:rPr>
              <w:t xml:space="preserve">bge-m3</w:t>
            </w:r>
          </w:p>
        </w:tc>
        <w:tc>
          <w:tcPr>
            <w:tcW w:type="dxa" w:w="2250"/>
          </w:tcPr>
          <w:p>
            <w:r>
              <w:rPr>
                <w:sz w:val="20"/>
                <w:szCs w:val="20"/>
              </w:rPr>
              <w:t xml:space="preserve">BAAI (OSS)</w:t>
            </w:r>
          </w:p>
        </w:tc>
        <w:tc>
          <w:tcPr>
            <w:tcW w:type="dxa" w:w="2250"/>
          </w:tcPr>
          <w:p>
            <w:r>
              <w:rPr>
                <w:sz w:val="20"/>
                <w:szCs w:val="20"/>
              </w:rPr>
              <w:t xml:space="preserve">1024</w:t>
            </w:r>
          </w:p>
        </w:tc>
        <w:tc>
          <w:tcPr>
            <w:tcW w:type="dxa" w:w="2250"/>
          </w:tcPr>
          <w:p>
            <w:r>
              <w:rPr>
                <w:sz w:val="20"/>
                <w:szCs w:val="20"/>
              </w:rPr>
              <w:t xml:space="preserve">Best OSS hybrid search, 100+ languages</w:t>
            </w:r>
          </w:p>
        </w:tc>
      </w:tr>
      <w:tr>
        <w:tc>
          <w:tcPr>
            <w:tcW w:type="dxa" w:w="2250"/>
          </w:tcPr>
          <w:p>
            <w:r>
              <w:rPr>
                <w:sz w:val="20"/>
                <w:szCs w:val="20"/>
              </w:rPr>
              <w:t xml:space="preserve">bge-small-en-v1.5</w:t>
            </w:r>
          </w:p>
        </w:tc>
        <w:tc>
          <w:tcPr>
            <w:tcW w:type="dxa" w:w="2250"/>
          </w:tcPr>
          <w:p>
            <w:r>
              <w:rPr>
                <w:sz w:val="20"/>
                <w:szCs w:val="20"/>
              </w:rPr>
              <w:t xml:space="preserve">BAAI (OSS)</w:t>
            </w:r>
          </w:p>
        </w:tc>
        <w:tc>
          <w:tcPr>
            <w:tcW w:type="dxa" w:w="2250"/>
          </w:tcPr>
          <w:p>
            <w:r>
              <w:rPr>
                <w:sz w:val="20"/>
                <w:szCs w:val="20"/>
              </w:rPr>
              <w:t xml:space="preserve">384</w:t>
            </w:r>
          </w:p>
        </w:tc>
        <w:tc>
          <w:tcPr>
            <w:tcW w:type="dxa" w:w="2250"/>
          </w:tcPr>
          <w:p>
            <w:r>
              <w:rPr>
                <w:sz w:val="20"/>
                <w:szCs w:val="20"/>
              </w:rPr>
              <w:t xml:space="preserve">Used in this project — lightweight, local</w:t>
            </w:r>
          </w:p>
        </w:tc>
      </w:tr>
      <w:tr>
        <w:tc>
          <w:tcPr>
            <w:tcW w:type="dxa" w:w="2250"/>
          </w:tcPr>
          <w:p>
            <w:r>
              <w:rPr>
                <w:sz w:val="20"/>
                <w:szCs w:val="20"/>
              </w:rPr>
              <w:t xml:space="preserve">nomic-embed-text</w:t>
            </w:r>
          </w:p>
        </w:tc>
        <w:tc>
          <w:tcPr>
            <w:tcW w:type="dxa" w:w="2250"/>
          </w:tcPr>
          <w:p>
            <w:r>
              <w:rPr>
                <w:sz w:val="20"/>
                <w:szCs w:val="20"/>
              </w:rPr>
              <w:t xml:space="preserve">Nomic (OSS)</w:t>
            </w:r>
          </w:p>
        </w:tc>
        <w:tc>
          <w:tcPr>
            <w:tcW w:type="dxa" w:w="2250"/>
          </w:tcPr>
          <w:p>
            <w:r>
              <w:rPr>
                <w:sz w:val="20"/>
                <w:szCs w:val="20"/>
              </w:rPr>
              <w:t xml:space="preserve">768</w:t>
            </w:r>
          </w:p>
        </w:tc>
        <w:tc>
          <w:tcPr>
            <w:tcW w:type="dxa" w:w="2250"/>
          </w:tcPr>
          <w:p>
            <w:r>
              <w:rPr>
                <w:sz w:val="20"/>
                <w:szCs w:val="20"/>
              </w:rPr>
              <w:t xml:space="preserve">Open weights, local</w:t>
            </w:r>
          </w:p>
        </w:tc>
      </w:tr>
      <w:tr>
        <w:tc>
          <w:tcPr>
            <w:tcW w:type="dxa" w:w="2250"/>
          </w:tcPr>
          <w:p>
            <w:r>
              <w:rPr>
                <w:sz w:val="20"/>
                <w:szCs w:val="20"/>
              </w:rPr>
              <w:t xml:space="preserve">gte-large</w:t>
            </w:r>
          </w:p>
        </w:tc>
        <w:tc>
          <w:tcPr>
            <w:tcW w:type="dxa" w:w="2250"/>
          </w:tcPr>
          <w:p>
            <w:r>
              <w:rPr>
                <w:sz w:val="20"/>
                <w:szCs w:val="20"/>
              </w:rPr>
              <w:t xml:space="preserve">Alibaba (OSS)</w:t>
            </w:r>
          </w:p>
        </w:tc>
        <w:tc>
          <w:tcPr>
            <w:tcW w:type="dxa" w:w="2250"/>
          </w:tcPr>
          <w:p>
            <w:r>
              <w:rPr>
                <w:sz w:val="20"/>
                <w:szCs w:val="20"/>
              </w:rPr>
              <w:t xml:space="preserve">1024</w:t>
            </w:r>
          </w:p>
        </w:tc>
        <w:tc>
          <w:tcPr>
            <w:tcW w:type="dxa" w:w="2250"/>
          </w:tcPr>
          <w:p>
            <w:r>
              <w:rPr>
                <w:sz w:val="20"/>
                <w:szCs w:val="20"/>
              </w:rPr>
              <w:t xml:space="preserve">Good for code</w:t>
            </w:r>
          </w:p>
        </w:tc>
      </w:tr>
    </w:tbl>
    <w:p>
      <w:pPr>
        <w:spacing w:after="100" w:before="200"/>
      </w:pPr>
    </w:p>
    <w:p>
      <w:pPr>
        <w:pBdr>
          <w:bottom w:val="single" w:color="CCCCCC" w:sz="6"/>
        </w:pBdr>
        <w:spacing w:after="200" w:before="200"/>
      </w:pPr>
    </w:p>
    <w:p>
      <w:pPr>
        <w:pStyle w:val="Heading1"/>
        <w:spacing w:after="200" w:before="400"/>
      </w:pPr>
      <w:r>
        <w:t xml:space="preserve">Session 4: Advanced RAG</w:t>
      </w:r>
    </w:p>
    <w:p>
      <w:pPr>
        <w:pStyle w:val="Heading2"/>
        <w:spacing w:after="150" w:before="300"/>
      </w:pPr>
      <w:r>
        <w:t xml:space="preserve">Why Naive RAG Fails</w:t>
      </w:r>
    </w:p>
    <w:p>
      <w:pPr>
        <w:spacing w:after="80" w:before="80"/>
      </w:pPr>
      <w:r>
        <w:rPr>
          <w:sz w:val="22"/>
          <w:szCs w:val="22"/>
        </w:rPr>
        <w:t xml:space="preserve">Naive RAG assumes the user's raw query is a good search query. User queries are short, vague, and conversational. Indexed documents are long, specific, and declarative. This mismatch causes most retrieval failures.</w:t>
      </w:r>
    </w:p>
    <w:p>
      <w:pPr>
        <w:pStyle w:val="Heading2"/>
        <w:spacing w:after="150" w:before="300"/>
      </w:pPr>
      <w:r>
        <w:t xml:space="preserve">Technique 1: Query Rewriting</w:t>
      </w:r>
    </w:p>
    <w:p>
      <w:pPr>
        <w:spacing w:after="80" w:before="80"/>
      </w:pPr>
      <w:r>
        <w:rPr>
          <w:sz w:val="22"/>
          <w:szCs w:val="22"/>
        </w:rPr>
        <w:t xml:space="preserve">Pass the user query through an LLM and rewrite it into a keyword-rich, document-shaped search query before hitting the vector store. Highest ROI single technique — just one extra LLM call. Typical retrieval recall improvement: 20–40%.</w:t>
      </w:r>
    </w:p>
    <w:p>
      <w:pPr>
        <w:spacing w:after="60" w:before="60"/>
        <w:ind w:left="720"/>
      </w:pPr>
      <w:r>
        <w:rPr>
          <w:rFonts w:ascii="Courier New" w:cs="Courier New" w:eastAsia="Courier New" w:hAnsi="Courier New"/>
          <w:color w:val="1F497D"/>
          <w:sz w:val="18"/>
          <w:szCs w:val="18"/>
        </w:rPr>
        <w:t xml:space="preserve">Original:  "What did we decide about pricing last quarter?"</w:t>
      </w:r>
    </w:p>
    <w:p>
      <w:pPr>
        <w:spacing w:after="60" w:before="60"/>
        <w:ind w:left="720"/>
      </w:pPr>
      <w:r>
        <w:rPr>
          <w:rFonts w:ascii="Courier New" w:cs="Courier New" w:eastAsia="Courier New" w:hAnsi="Courier New"/>
          <w:color w:val="1F497D"/>
          <w:sz w:val="18"/>
          <w:szCs w:val="18"/>
        </w:rPr>
        <w:t xml:space="preserve">Rewritten: "enterprise pricing decisions Q3 2024 policy changes"</w:t>
      </w:r>
    </w:p>
    <w:p>
      <w:pPr>
        <w:pStyle w:val="Heading2"/>
        <w:spacing w:after="150" w:before="300"/>
      </w:pPr>
      <w:r>
        <w:t xml:space="preserve">Technique 2: Multi-Query Retrieval</w:t>
      </w:r>
    </w:p>
    <w:p>
      <w:pPr>
        <w:spacing w:after="80" w:before="80"/>
      </w:pPr>
      <w:r>
        <w:rPr>
          <w:sz w:val="22"/>
          <w:szCs w:val="22"/>
        </w:rPr>
        <w:t xml:space="preserve">Generate N different reformulations, run retrieval for each, deduplicate, then rerank the merged pool. Different phrasings activate different regions of embedding space — triangulating from multiple directions fills blind spots. Tradeoff: N queries = N embedding calls (can be parallelized).</w:t>
      </w:r>
    </w:p>
    <w:p>
      <w:pPr>
        <w:pStyle w:val="Heading2"/>
        <w:spacing w:after="150" w:before="300"/>
      </w:pPr>
      <w:r>
        <w:t xml:space="preserve">Technique 3: HyDE</w:t>
      </w:r>
    </w:p>
    <w:p>
      <w:pPr>
        <w:spacing w:after="80" w:before="80"/>
      </w:pPr>
      <w:r>
        <w:rPr>
          <w:sz w:val="22"/>
          <w:szCs w:val="22"/>
        </w:rPr>
        <w:t xml:space="preserve">Ask the LLM to generate a hypothetical answer, then embed that hypothetical and search for similar chunks. A hypothetical answer is document-shaped — it lives in the same semantic neighborhood as indexed documents, closing the query-document gap. Fails if LLM lacks domain knowledge.</w:t>
      </w:r>
    </w:p>
    <w:p>
      <w:pPr>
        <w:spacing w:after="60" w:before="60"/>
        <w:ind w:left="720"/>
      </w:pPr>
      <w:r>
        <w:rPr>
          <w:rFonts w:ascii="Courier New" w:cs="Courier New" w:eastAsia="Courier New" w:hAnsi="Courier New"/>
          <w:color w:val="1F497D"/>
          <w:sz w:val="18"/>
          <w:szCs w:val="18"/>
        </w:rPr>
        <w:t xml:space="preserve">Step 1: LLM generates hypothetical answer</w:t>
      </w:r>
    </w:p>
    <w:p>
      <w:pPr>
        <w:spacing w:after="60" w:before="60"/>
        <w:ind w:left="720"/>
      </w:pPr>
      <w:r>
        <w:rPr>
          <w:rFonts w:ascii="Courier New" w:cs="Courier New" w:eastAsia="Courier New" w:hAnsi="Courier New"/>
          <w:color w:val="1F497D"/>
          <w:sz w:val="18"/>
          <w:szCs w:val="18"/>
        </w:rPr>
        <w:t xml:space="preserve">Step 2: Embed the hypothetical answer (not the query)</w:t>
      </w:r>
    </w:p>
    <w:p>
      <w:pPr>
        <w:spacing w:after="60" w:before="60"/>
        <w:ind w:left="720"/>
      </w:pPr>
      <w:r>
        <w:rPr>
          <w:rFonts w:ascii="Courier New" w:cs="Courier New" w:eastAsia="Courier New" w:hAnsi="Courier New"/>
          <w:color w:val="1F497D"/>
          <w:sz w:val="18"/>
          <w:szCs w:val="18"/>
        </w:rPr>
        <w:t xml:space="preserve">Step 3: Vector search finds chunks similar to the hypothetical</w:t>
      </w:r>
    </w:p>
    <w:p>
      <w:pPr>
        <w:pStyle w:val="Heading2"/>
        <w:spacing w:after="150" w:before="300"/>
      </w:pPr>
      <w:r>
        <w:t xml:space="preserve">Technique 4: Multi-Hop Retrieval</w:t>
      </w:r>
    </w:p>
    <w:p>
      <w:pPr>
        <w:spacing w:after="80" w:before="80"/>
      </w:pPr>
      <w:r>
        <w:rPr>
          <w:sz w:val="22"/>
          <w:szCs w:val="22"/>
        </w:rPr>
        <w:t xml:space="preserve">For questions requiring multiple facts, chain retrievals iteratively where each retrieval is conditioned on prior results. Expensive — use when domain has heavily interconnected documents.</w:t>
      </w:r>
    </w:p>
    <w:p>
      <w:pPr>
        <w:pStyle w:val="Heading2"/>
        <w:spacing w:after="150" w:before="300"/>
      </w:pPr>
      <w:r>
        <w:t xml:space="preserve">Agentic RAG</w:t>
      </w:r>
    </w:p>
    <w:p>
      <w:pPr>
        <w:spacing w:after="80" w:before="80"/>
      </w:pPr>
      <w:r>
        <w:rPr>
          <w:sz w:val="22"/>
          <w:szCs w:val="22"/>
        </w:rPr>
        <w:t xml:space="preserve">The retriever becomes a tool that an LLM agent calls dynamically. The agent decides whether retrieval is needed, what to search for, whether to search again, and when it has enough context to answer. Dynamic topology rather than fixed pipeline. Framework: LangGraph.</w:t>
      </w:r>
    </w:p>
    <w:p>
      <w:pPr>
        <w:pStyle w:val="Heading2"/>
        <w:spacing w:after="150" w:before="300"/>
      </w:pPr>
      <w:r>
        <w:t xml:space="preserve">Technique Selection Guide</w:t>
      </w:r>
    </w:p>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E4057" w:val="clear"/>
          </w:tcPr>
          <w:p>
            <w:r>
              <w:rPr>
                <w:b/>
                <w:bCs/>
                <w:sz w:val="20"/>
                <w:szCs w:val="20"/>
              </w:rPr>
              <w:t xml:space="preserve">Problem</w:t>
            </w:r>
          </w:p>
        </w:tc>
        <w:tc>
          <w:tcPr>
            <w:tcW w:type="dxa" w:w="4500"/>
            <w:shd w:fill="2E4057" w:val="clear"/>
          </w:tcPr>
          <w:p>
            <w:r>
              <w:rPr>
                <w:b/>
                <w:bCs/>
                <w:sz w:val="20"/>
                <w:szCs w:val="20"/>
              </w:rPr>
              <w:t xml:space="preserve">Technique</w:t>
            </w:r>
          </w:p>
        </w:tc>
      </w:tr>
      <w:tr>
        <w:tc>
          <w:tcPr>
            <w:tcW w:type="dxa" w:w="4500"/>
          </w:tcPr>
          <w:p>
            <w:r>
              <w:rPr>
                <w:sz w:val="20"/>
                <w:szCs w:val="20"/>
              </w:rPr>
              <w:t xml:space="preserve">User queries are vague or conversational</w:t>
            </w:r>
          </w:p>
        </w:tc>
        <w:tc>
          <w:tcPr>
            <w:tcW w:type="dxa" w:w="4500"/>
          </w:tcPr>
          <w:p>
            <w:r>
              <w:rPr>
                <w:sz w:val="20"/>
                <w:szCs w:val="20"/>
              </w:rPr>
              <w:t xml:space="preserve">Query rewriting</w:t>
            </w:r>
          </w:p>
        </w:tc>
      </w:tr>
      <w:tr>
        <w:tc>
          <w:tcPr>
            <w:tcW w:type="dxa" w:w="4500"/>
          </w:tcPr>
          <w:p>
            <w:r>
              <w:rPr>
                <w:sz w:val="20"/>
                <w:szCs w:val="20"/>
              </w:rPr>
              <w:t xml:space="preserve">Domain has inconsistent terminology</w:t>
            </w:r>
          </w:p>
        </w:tc>
        <w:tc>
          <w:tcPr>
            <w:tcW w:type="dxa" w:w="4500"/>
          </w:tcPr>
          <w:p>
            <w:r>
              <w:rPr>
                <w:sz w:val="20"/>
                <w:szCs w:val="20"/>
              </w:rPr>
              <w:t xml:space="preserve">Multi-query retrieval</w:t>
            </w:r>
          </w:p>
        </w:tc>
      </w:tr>
      <w:tr>
        <w:tc>
          <w:tcPr>
            <w:tcW w:type="dxa" w:w="4500"/>
          </w:tcPr>
          <w:p>
            <w:r>
              <w:rPr>
                <w:sz w:val="20"/>
                <w:szCs w:val="20"/>
              </w:rPr>
              <w:t xml:space="preserve">Answer-shaped docs retrieve poorly from question-shaped queries</w:t>
            </w:r>
          </w:p>
        </w:tc>
        <w:tc>
          <w:tcPr>
            <w:tcW w:type="dxa" w:w="4500"/>
          </w:tcPr>
          <w:p>
            <w:r>
              <w:rPr>
                <w:sz w:val="20"/>
                <w:szCs w:val="20"/>
              </w:rPr>
              <w:t xml:space="preserve">HyDE</w:t>
            </w:r>
          </w:p>
        </w:tc>
      </w:tr>
      <w:tr>
        <w:tc>
          <w:tcPr>
            <w:tcW w:type="dxa" w:w="4500"/>
          </w:tcPr>
          <w:p>
            <w:r>
              <w:rPr>
                <w:sz w:val="20"/>
                <w:szCs w:val="20"/>
              </w:rPr>
              <w:t xml:space="preserve">Questions require connecting multiple facts</w:t>
            </w:r>
          </w:p>
        </w:tc>
        <w:tc>
          <w:tcPr>
            <w:tcW w:type="dxa" w:w="4500"/>
          </w:tcPr>
          <w:p>
            <w:r>
              <w:rPr>
                <w:sz w:val="20"/>
                <w:szCs w:val="20"/>
              </w:rPr>
              <w:t xml:space="preserve">Multi-hop retrieval</w:t>
            </w:r>
          </w:p>
        </w:tc>
      </w:tr>
      <w:tr>
        <w:tc>
          <w:tcPr>
            <w:tcW w:type="dxa" w:w="4500"/>
          </w:tcPr>
          <w:p>
            <w:r>
              <w:rPr>
                <w:sz w:val="20"/>
                <w:szCs w:val="20"/>
              </w:rPr>
              <w:t xml:space="preserve">Questions are unpredictable, complex, or multi-part</w:t>
            </w:r>
          </w:p>
        </w:tc>
        <w:tc>
          <w:tcPr>
            <w:tcW w:type="dxa" w:w="4500"/>
          </w:tcPr>
          <w:p>
            <w:r>
              <w:rPr>
                <w:sz w:val="20"/>
                <w:szCs w:val="20"/>
              </w:rPr>
              <w:t xml:space="preserve">Agentic RAG</w:t>
            </w:r>
          </w:p>
        </w:tc>
      </w:tr>
    </w:tbl>
    <w:p>
      <w:pPr>
        <w:spacing w:after="100" w:before="200"/>
      </w:pPr>
    </w:p>
    <w:p>
      <w:pPr>
        <w:pBdr>
          <w:bottom w:val="single" w:color="CCCCCC" w:sz="6"/>
        </w:pBdr>
        <w:spacing w:after="200" w:before="200"/>
      </w:pPr>
    </w:p>
    <w:p>
      <w:pPr>
        <w:pStyle w:val="Heading1"/>
        <w:spacing w:after="200" w:before="400"/>
      </w:pPr>
      <w:r>
        <w:t xml:space="preserve">Session 5: Context Grounding</w:t>
      </w:r>
    </w:p>
    <w:p>
      <w:pPr>
        <w:pStyle w:val="Heading2"/>
        <w:spacing w:after="150" w:before="300"/>
      </w:pPr>
      <w:r>
        <w:t xml:space="preserve">What Grounding Is</w:t>
      </w:r>
    </w:p>
    <w:p>
      <w:pPr>
        <w:spacing w:after="80" w:before="80"/>
      </w:pPr>
      <w:r>
        <w:rPr>
          <w:sz w:val="22"/>
          <w:szCs w:val="22"/>
        </w:rPr>
        <w:t xml:space="preserve">Grounding means structuring your prompt such that the LLM treats retrieved chunks as the authoritative source of truth — and nothing else. Without explicit grounding instructions, the LLM blends retrieved content with training data, which reintroduces hallucination through the back door.</w:t>
      </w:r>
    </w:p>
    <w:p>
      <w:pPr>
        <w:pStyle w:val="Heading2"/>
        <w:spacing w:after="150" w:before="300"/>
      </w:pPr>
      <w:r>
        <w:t xml:space="preserve">Standard Prompt Structure</w:t>
      </w:r>
    </w:p>
    <w:p>
      <w:pPr>
        <w:spacing w:after="60" w:before="60"/>
        <w:ind w:left="720"/>
      </w:pPr>
      <w:r>
        <w:rPr>
          <w:rFonts w:ascii="Courier New" w:cs="Courier New" w:eastAsia="Courier New" w:hAnsi="Courier New"/>
          <w:color w:val="1F497D"/>
          <w:sz w:val="18"/>
          <w:szCs w:val="18"/>
        </w:rPr>
        <w:t xml:space="preserve">[SYSTEM INSTRUCTIONS — constraints and role]</w:t>
      </w:r>
    </w:p>
    <w:p>
      <w:pPr>
        <w:spacing w:after="60" w:before="60"/>
        <w:ind w:left="720"/>
      </w:pPr>
      <w:r>
        <w:rPr>
          <w:rFonts w:ascii="Courier New" w:cs="Courier New" w:eastAsia="Courier New" w:hAnsi="Courier New"/>
          <w:color w:val="1F497D"/>
          <w:sz w:val="18"/>
          <w:szCs w:val="18"/>
        </w:rPr>
        <w:t xml:space="preserve">[RETRIEVED CONTEXT — labeled chunks from vector store]</w:t>
      </w:r>
    </w:p>
    <w:p>
      <w:pPr>
        <w:spacing w:after="60" w:before="60"/>
        <w:ind w:left="720"/>
      </w:pPr>
      <w:r>
        <w:rPr>
          <w:rFonts w:ascii="Courier New" w:cs="Courier New" w:eastAsia="Courier New" w:hAnsi="Courier New"/>
          <w:color w:val="1F497D"/>
          <w:sz w:val="18"/>
          <w:szCs w:val="18"/>
        </w:rPr>
        <w:t xml:space="preserve">[USER QUERY]</w:t>
      </w:r>
    </w:p>
    <w:p>
      <w:pPr>
        <w:spacing w:after="80" w:before="80"/>
      </w:pPr>
      <w:r>
        <w:rPr>
          <w:sz w:val="22"/>
          <w:szCs w:val="22"/>
        </w:rPr>
        <w:t xml:space="preserve">Context must be placed before the query. The model reads context first, builds a representation, then encounters the question — making it more likely to answer from context rather than from weights.</w:t>
      </w:r>
    </w:p>
    <w:p>
      <w:pPr>
        <w:pStyle w:val="Heading2"/>
        <w:spacing w:after="150" w:before="300"/>
      </w:pPr>
      <w:r>
        <w:t xml:space="preserve">Why Prompt Structure Matters</w:t>
      </w:r>
    </w:p>
    <w:p>
      <w:pPr>
        <w:spacing w:after="80" w:before="80"/>
      </w:pPr>
      <w:r>
        <w:rPr>
          <w:sz w:val="22"/>
          <w:szCs w:val="22"/>
        </w:rPr>
        <w:t xml:space="preserve">Three structural decisions determine grounding quality:</w:t>
      </w:r>
    </w:p>
    <w:p>
      <w:pPr>
        <w:pStyle w:val="ListParagraph"/>
        <w:numPr>
          <w:ilvl w:val="0"/>
          <w:numId w:val="1"/>
        </w:numPr>
        <w:spacing w:after="60" w:before="60"/>
      </w:pPr>
      <w:r>
        <w:rPr>
          <w:sz w:val="22"/>
          <w:szCs w:val="22"/>
        </w:rPr>
        <w:t xml:space="preserve">Position: context before question always outperforms context after</w:t>
      </w:r>
    </w:p>
    <w:p>
      <w:pPr>
        <w:pStyle w:val="ListParagraph"/>
        <w:numPr>
          <w:ilvl w:val="0"/>
          <w:numId w:val="1"/>
        </w:numPr>
        <w:spacing w:after="60" w:before="60"/>
      </w:pPr>
      <w:r>
        <w:rPr>
          <w:sz w:val="22"/>
          <w:szCs w:val="22"/>
        </w:rPr>
        <w:t xml:space="preserve">Instruction strength: "use ONLY the context" is a constraint; "use the context" is a suggestion</w:t>
      </w:r>
    </w:p>
    <w:p>
      <w:pPr>
        <w:pStyle w:val="ListParagraph"/>
        <w:numPr>
          <w:ilvl w:val="0"/>
          <w:numId w:val="1"/>
        </w:numPr>
        <w:spacing w:after="60" w:before="60"/>
      </w:pPr>
      <w:r>
        <w:rPr>
          <w:sz w:val="22"/>
          <w:szCs w:val="22"/>
        </w:rPr>
        <w:t xml:space="preserve">Source labeling: [SOURCE 1], [SOURCE 2] helps model distinguish sources and enables citations</w:t>
      </w:r>
    </w:p>
    <w:p>
      <w:pPr>
        <w:pStyle w:val="Heading2"/>
        <w:spacing w:after="150" w:before="300"/>
      </w:pPr>
      <w:r>
        <w:t xml:space="preserve">How Grounding Reduces Hallucination</w:t>
      </w:r>
    </w:p>
    <w:p>
      <w:pPr>
        <w:spacing w:after="80" w:before="80"/>
      </w:pPr>
      <w:r>
        <w:rPr>
          <w:sz w:val="22"/>
          <w:szCs w:val="22"/>
        </w:rPr>
        <w:t xml:space="preserve">Without grounding: LLM is asked to recall from weights — unreliable for specific facts. With grounding: LLM is asked to read and summarize provided text — something LLMs do extremely well. Reading comprehension over a document is a fundamentally different and more reliable task than free recall.</w:t>
      </w:r>
    </w:p>
    <w:p>
      <w:pPr>
        <w:pStyle w:val="Heading2"/>
        <w:spacing w:after="150" w:before="300"/>
      </w:pPr>
      <w:r>
        <w:t xml:space="preserve">What Happens When Context Is Irrelevant</w:t>
      </w:r>
    </w:p>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E4057" w:val="clear"/>
          </w:tcPr>
          <w:p>
            <w:r>
              <w:rPr>
                <w:b/>
                <w:bCs/>
                <w:sz w:val="20"/>
                <w:szCs w:val="20"/>
              </w:rPr>
              <w:t xml:space="preserve">Grounding Level</w:t>
            </w:r>
          </w:p>
        </w:tc>
        <w:tc>
          <w:tcPr>
            <w:tcW w:type="dxa" w:w="4500"/>
            <w:shd w:fill="2E4057" w:val="clear"/>
          </w:tcPr>
          <w:p>
            <w:r>
              <w:rPr>
                <w:b/>
                <w:bCs/>
                <w:sz w:val="20"/>
                <w:szCs w:val="20"/>
              </w:rPr>
              <w:t xml:space="preserve">Behavior on Empty Retrieval</w:t>
            </w:r>
          </w:p>
        </w:tc>
      </w:tr>
      <w:tr>
        <w:tc>
          <w:tcPr>
            <w:tcW w:type="dxa" w:w="4500"/>
          </w:tcPr>
          <w:p>
            <w:r>
              <w:rPr>
                <w:sz w:val="20"/>
                <w:szCs w:val="20"/>
              </w:rPr>
              <w:t xml:space="preserve">None</w:t>
            </w:r>
          </w:p>
        </w:tc>
        <w:tc>
          <w:tcPr>
            <w:tcW w:type="dxa" w:w="4500"/>
          </w:tcPr>
          <w:p>
            <w:r>
              <w:rPr>
                <w:sz w:val="20"/>
                <w:szCs w:val="20"/>
              </w:rPr>
              <w:t xml:space="preserve">Ignores context, answers from training data — silent hallucination</w:t>
            </w:r>
          </w:p>
        </w:tc>
      </w:tr>
      <w:tr>
        <w:tc>
          <w:tcPr>
            <w:tcW w:type="dxa" w:w="4500"/>
          </w:tcPr>
          <w:p>
            <w:r>
              <w:rPr>
                <w:sz w:val="20"/>
                <w:szCs w:val="20"/>
              </w:rPr>
              <w:t xml:space="preserve">Weak ("use the context")</w:t>
            </w:r>
          </w:p>
        </w:tc>
        <w:tc>
          <w:tcPr>
            <w:tcW w:type="dxa" w:w="4500"/>
          </w:tcPr>
          <w:p>
            <w:r>
              <w:rPr>
                <w:sz w:val="20"/>
                <w:szCs w:val="20"/>
              </w:rPr>
              <w:t xml:space="preserve">Blends irrelevant context with training data — confused answer</w:t>
            </w:r>
          </w:p>
        </w:tc>
      </w:tr>
      <w:tr>
        <w:tc>
          <w:tcPr>
            <w:tcW w:type="dxa" w:w="4500"/>
          </w:tcPr>
          <w:p>
            <w:r>
              <w:rPr>
                <w:sz w:val="20"/>
                <w:szCs w:val="20"/>
              </w:rPr>
              <w:t xml:space="preserve">Strong ("use ONLY the context")</w:t>
            </w:r>
          </w:p>
        </w:tc>
        <w:tc>
          <w:tcPr>
            <w:tcW w:type="dxa" w:w="4500"/>
          </w:tcPr>
          <w:p>
            <w:r>
              <w:rPr>
                <w:sz w:val="20"/>
                <w:szCs w:val="20"/>
              </w:rPr>
              <w:t xml:space="preserve">Says "I don't have enough information" — visible, debuggable signal</w:t>
            </w:r>
          </w:p>
        </w:tc>
      </w:tr>
    </w:tbl>
    <w:p>
      <w:pPr>
        <w:spacing w:after="100" w:before="100"/>
      </w:pPr>
    </w:p>
    <w:p>
      <w:pPr>
        <w:spacing w:after="80" w:before="80"/>
      </w:pPr>
      <w:r>
        <w:rPr>
          <w:sz w:val="22"/>
          <w:szCs w:val="22"/>
        </w:rPr>
        <w:t xml:space="preserve">Strong grounding turns retrieval failures into visible, debuggable signals rather than silent hallucinations. Critical for production observability.</w:t>
      </w:r>
    </w:p>
    <w:p>
      <w:pPr>
        <w:pStyle w:val="Heading2"/>
        <w:spacing w:after="150" w:before="300"/>
      </w:pPr>
      <w:r>
        <w:t xml:space="preserve">Poorly Designed vs Well Designed Prompt</w:t>
      </w:r>
    </w:p>
    <w:p>
      <w:pPr>
        <w:pStyle w:val="Heading3"/>
        <w:spacing w:after="100" w:before="200"/>
      </w:pPr>
      <w:r>
        <w:t xml:space="preserve">Poorly Designed</w:t>
      </w:r>
    </w:p>
    <w:p>
      <w:pPr>
        <w:spacing w:after="60" w:before="60"/>
        <w:ind w:left="720"/>
      </w:pPr>
      <w:r>
        <w:rPr>
          <w:rFonts w:ascii="Courier New" w:cs="Courier New" w:eastAsia="Courier New" w:hAnsi="Courier New"/>
          <w:color w:val="1F497D"/>
          <w:sz w:val="18"/>
          <w:szCs w:val="18"/>
        </w:rPr>
        <w:t xml:space="preserve">Context: Our enterprise plan includes unlimited API calls.</w:t>
      </w:r>
    </w:p>
    <w:p>
      <w:pPr>
        <w:spacing w:after="60" w:before="60"/>
        <w:ind w:left="720"/>
      </w:pPr>
      <w:r>
        <w:rPr>
          <w:rFonts w:ascii="Courier New" w:cs="Courier New" w:eastAsia="Courier New" w:hAnsi="Courier New"/>
          <w:color w:val="1F497D"/>
          <w:sz w:val="18"/>
          <w:szCs w:val="18"/>
        </w:rPr>
        <w:t xml:space="preserve">Question: What is the refund policy?</w:t>
      </w:r>
    </w:p>
    <w:p>
      <w:pPr>
        <w:spacing w:after="60" w:before="60"/>
        <w:ind w:left="720"/>
      </w:pPr>
      <w:r>
        <w:rPr>
          <w:rFonts w:ascii="Courier New" w:cs="Courier New" w:eastAsia="Courier New" w:hAnsi="Courier New"/>
          <w:color w:val="1F497D"/>
          <w:sz w:val="18"/>
          <w:szCs w:val="18"/>
        </w:rPr>
        <w:t xml:space="preserve">Answer:</w:t>
      </w:r>
    </w:p>
    <w:p>
      <w:pPr>
        <w:spacing w:after="80" w:before="80"/>
      </w:pPr>
      <w:r>
        <w:rPr>
          <w:sz w:val="22"/>
          <w:szCs w:val="22"/>
        </w:rPr>
        <w:t xml:space="preserve">Problems: no role definition, no "use only context" constraint, no fallback instruction. Model answers the refund question from training data because context is irrelevant and it was never told to stay within context.</w:t>
      </w:r>
    </w:p>
    <w:p>
      <w:pPr>
        <w:pStyle w:val="Heading3"/>
        <w:spacing w:after="100" w:before="200"/>
      </w:pPr>
      <w:r>
        <w:t xml:space="preserve">Well Designed</w:t>
      </w:r>
    </w:p>
    <w:p>
      <w:pPr>
        <w:spacing w:after="60" w:before="60"/>
        <w:ind w:left="720"/>
      </w:pPr>
      <w:r>
        <w:rPr>
          <w:rFonts w:ascii="Courier New" w:cs="Courier New" w:eastAsia="Courier New" w:hAnsi="Courier New"/>
          <w:color w:val="1F497D"/>
          <w:sz w:val="18"/>
          <w:szCs w:val="18"/>
        </w:rPr>
        <w:t xml:space="preserve">System: You are a precise assistant. Answer ONLY using the context below.</w:t>
      </w:r>
    </w:p>
    <w:p>
      <w:pPr>
        <w:spacing w:after="60" w:before="60"/>
        <w:ind w:left="720"/>
      </w:pPr>
      <w:r>
        <w:rPr>
          <w:rFonts w:ascii="Courier New" w:cs="Courier New" w:eastAsia="Courier New" w:hAnsi="Courier New"/>
          <w:color w:val="1F497D"/>
          <w:sz w:val="18"/>
          <w:szCs w:val="18"/>
        </w:rPr>
        <w:t xml:space="preserve">If the answer is not in the context, respond exactly with:</w:t>
      </w:r>
    </w:p>
    <w:p>
      <w:pPr>
        <w:spacing w:after="60" w:before="60"/>
        <w:ind w:left="720"/>
      </w:pPr>
      <w:r>
        <w:rPr>
          <w:rFonts w:ascii="Courier New" w:cs="Courier New" w:eastAsia="Courier New" w:hAnsi="Courier New"/>
          <w:color w:val="1F497D"/>
          <w:sz w:val="18"/>
          <w:szCs w:val="18"/>
        </w:rPr>
        <w:t xml:space="preserve">"I don't have enough information from the available documentation."</w:t>
      </w:r>
    </w:p>
    <w:p>
      <w:pPr>
        <w:spacing w:after="60" w:before="60"/>
        <w:ind w:left="720"/>
      </w:pPr>
      <w:r>
        <w:rPr>
          <w:rFonts w:ascii="Courier New" w:cs="Courier New" w:eastAsia="Courier New" w:hAnsi="Courier New"/>
          <w:color w:val="1F497D"/>
          <w:sz w:val="18"/>
          <w:szCs w:val="18"/>
        </w:rPr>
        <w:t xml:space="preserve">Never use knowledge from outside the provided context.</w:t>
      </w:r>
    </w:p>
    <w:p>
      <w:pPr>
        <w:spacing w:after="60" w:before="60"/>
        <w:ind w:left="720"/>
      </w:pPr>
      <w:r>
        <w:rPr>
          <w:rFonts w:ascii="Courier New" w:cs="Courier New" w:eastAsia="Courier New" w:hAnsi="Courier New"/>
          <w:color w:val="1F497D"/>
          <w:sz w:val="18"/>
          <w:szCs w:val="18"/>
        </w:rPr>
        <w:t xml:space="preserve"/>
      </w:r>
    </w:p>
    <w:p>
      <w:pPr>
        <w:spacing w:after="60" w:before="60"/>
        <w:ind w:left="720"/>
      </w:pPr>
      <w:r>
        <w:rPr>
          <w:rFonts w:ascii="Courier New" w:cs="Courier New" w:eastAsia="Courier New" w:hAnsi="Courier New"/>
          <w:color w:val="1F497D"/>
          <w:sz w:val="18"/>
          <w:szCs w:val="18"/>
        </w:rPr>
        <w:t xml:space="preserve">Context:</w:t>
      </w:r>
    </w:p>
    <w:p>
      <w:pPr>
        <w:spacing w:after="60" w:before="60"/>
        <w:ind w:left="720"/>
      </w:pPr>
      <w:r>
        <w:rPr>
          <w:rFonts w:ascii="Courier New" w:cs="Courier New" w:eastAsia="Courier New" w:hAnsi="Courier New"/>
          <w:color w:val="1F497D"/>
          <w:sz w:val="18"/>
          <w:szCs w:val="18"/>
        </w:rPr>
        <w:t xml:space="preserve">[SOURCE 1] Our enterprise plan includes unlimited API calls...</w:t>
      </w:r>
    </w:p>
    <w:p>
      <w:pPr>
        <w:spacing w:after="60" w:before="60"/>
        <w:ind w:left="720"/>
      </w:pPr>
      <w:r>
        <w:rPr>
          <w:rFonts w:ascii="Courier New" w:cs="Courier New" w:eastAsia="Courier New" w:hAnsi="Courier New"/>
          <w:color w:val="1F497D"/>
          <w:sz w:val="18"/>
          <w:szCs w:val="18"/>
        </w:rPr>
        <w:t xml:space="preserve">[SOURCE 2] ...</w:t>
      </w:r>
    </w:p>
    <w:p>
      <w:pPr>
        <w:spacing w:after="60" w:before="60"/>
        <w:ind w:left="720"/>
      </w:pPr>
      <w:r>
        <w:rPr>
          <w:rFonts w:ascii="Courier New" w:cs="Courier New" w:eastAsia="Courier New" w:hAnsi="Courier New"/>
          <w:color w:val="1F497D"/>
          <w:sz w:val="18"/>
          <w:szCs w:val="18"/>
        </w:rPr>
        <w:t xml:space="preserve"/>
      </w:r>
    </w:p>
    <w:p>
      <w:pPr>
        <w:spacing w:after="60" w:before="60"/>
        <w:ind w:left="720"/>
      </w:pPr>
      <w:r>
        <w:rPr>
          <w:rFonts w:ascii="Courier New" w:cs="Courier New" w:eastAsia="Courier New" w:hAnsi="Courier New"/>
          <w:color w:val="1F497D"/>
          <w:sz w:val="18"/>
          <w:szCs w:val="18"/>
        </w:rPr>
        <w:t xml:space="preserve">Question: What is the refund policy?</w:t>
      </w:r>
    </w:p>
    <w:p>
      <w:pPr>
        <w:spacing w:after="80" w:before="80"/>
      </w:pPr>
      <w:r>
        <w:rPr>
          <w:sz w:val="22"/>
          <w:szCs w:val="22"/>
        </w:rPr>
        <w:t xml:space="preserve">Result: "I don't have enough information from the available documentation." — correct, honest, and tells you retrieval failed on this query.</w:t>
      </w:r>
    </w:p>
    <w:p>
      <w:pPr>
        <w:pStyle w:val="Heading2"/>
        <w:spacing w:after="150" w:before="300"/>
      </w:pPr>
      <w:r>
        <w:t xml:space="preserve">Lost in the Middle</w:t>
      </w:r>
    </w:p>
    <w:p>
      <w:pPr>
        <w:spacing w:after="80" w:before="80"/>
      </w:pPr>
      <w:r>
        <w:rPr>
          <w:sz w:val="22"/>
          <w:szCs w:val="22"/>
        </w:rPr>
        <w:t xml:space="preserve">LLMs perform worse on information placed in the middle of long contexts versus at the beginning or end. Always put highest-ranked chunks first — the reranker already orders by relevance, so preserve that order when building the context block.</w:t>
      </w:r>
    </w:p>
    <w:p>
      <w:pPr>
        <w:pBdr>
          <w:bottom w:val="single" w:color="CCCCCC" w:sz="6"/>
        </w:pBdr>
        <w:spacing w:after="200" w:before="200"/>
      </w:pPr>
    </w:p>
    <w:p>
      <w:pPr>
        <w:pStyle w:val="Heading1"/>
        <w:spacing w:after="200" w:before="400"/>
      </w:pPr>
      <w:r>
        <w:t xml:space="preserve">Session 6: Full System Architecture</w:t>
      </w:r>
    </w:p>
    <w:p>
      <w:pPr>
        <w:pStyle w:val="Heading2"/>
        <w:spacing w:after="150" w:before="300"/>
      </w:pPr>
      <w:r>
        <w:t xml:space="preserve">Two Pipelines</w:t>
      </w:r>
    </w:p>
    <w:p>
      <w:pPr>
        <w:spacing w:after="80" w:before="80"/>
      </w:pPr>
      <w:r>
        <w:rPr>
          <w:sz w:val="22"/>
          <w:szCs w:val="22"/>
        </w:rPr>
        <w:t xml:space="preserve">The RAG system consists of two completely separate pipelines with different timing and purpose.</w:t>
      </w:r>
    </w:p>
    <w:p>
      <w:pPr>
        <w:pStyle w:val="Heading3"/>
        <w:spacing w:after="100" w:before="200"/>
      </w:pPr>
      <w:r>
        <w:t xml:space="preserve">Offline Indexing Pipeline (runs once, or on document update)</w:t>
      </w:r>
    </w:p>
    <w:p>
      <w:pPr>
        <w:spacing w:after="60" w:before="60"/>
        <w:ind w:left="720"/>
      </w:pPr>
      <w:r>
        <w:rPr>
          <w:rFonts w:ascii="Courier New" w:cs="Courier New" w:eastAsia="Courier New" w:hAnsi="Courier New"/>
          <w:color w:val="1F497D"/>
          <w:sz w:val="18"/>
          <w:szCs w:val="18"/>
        </w:rPr>
        <w:t xml:space="preserve">Documents → Parser → Chunker → Embedder → Vector Store</w:t>
      </w:r>
    </w:p>
    <w:p>
      <w:pPr>
        <w:spacing w:after="60" w:before="60"/>
        <w:ind w:left="720"/>
      </w:pPr>
      <w:r>
        <w:rPr>
          <w:rFonts w:ascii="Courier New" w:cs="Courier New" w:eastAsia="Courier New" w:hAnsi="Courier New"/>
          <w:color w:val="1F497D"/>
          <w:sz w:val="18"/>
          <w:szCs w:val="18"/>
        </w:rPr>
        <w:t xml:space="preserve">                          ↓</w:t>
      </w:r>
    </w:p>
    <w:p>
      <w:pPr>
        <w:spacing w:after="60" w:before="60"/>
        <w:ind w:left="720"/>
      </w:pPr>
      <w:r>
        <w:rPr>
          <w:rFonts w:ascii="Courier New" w:cs="Courier New" w:eastAsia="Courier New" w:hAnsi="Courier New"/>
          <w:color w:val="1F497D"/>
          <w:sz w:val="18"/>
          <w:szCs w:val="18"/>
        </w:rPr>
        <w:t xml:space="preserve">                     BM25 Index</w:t>
      </w:r>
    </w:p>
    <w:p>
      <w:pPr>
        <w:spacing w:after="80" w:before="80"/>
      </w:pPr>
      <w:r>
        <w:rPr>
          <w:sz w:val="22"/>
          <w:szCs w:val="22"/>
        </w:rPr>
        <w:t xml:space="preserve">Expensive work — parsing, chunking, embedding — happens here. Both indexes are built once and sit on disk. Queries never touch raw documents again.</w:t>
      </w:r>
    </w:p>
    <w:p>
      <w:pPr>
        <w:pStyle w:val="Heading3"/>
        <w:spacing w:after="100" w:before="200"/>
      </w:pPr>
      <w:r>
        <w:t xml:space="preserve">Online Query Pipeline (runs on every user query)</w:t>
      </w:r>
    </w:p>
    <w:p>
      <w:pPr>
        <w:spacing w:after="60" w:before="60"/>
        <w:ind w:left="720"/>
      </w:pPr>
      <w:r>
        <w:rPr>
          <w:rFonts w:ascii="Courier New" w:cs="Courier New" w:eastAsia="Courier New" w:hAnsi="Courier New"/>
          <w:color w:val="1F497D"/>
          <w:sz w:val="18"/>
          <w:szCs w:val="18"/>
        </w:rPr>
        <w:t xml:space="preserve">User Query → Query Rewriter → Query Embedder</w:t>
      </w:r>
    </w:p>
    <w:p>
      <w:pPr>
        <w:spacing w:after="60" w:before="60"/>
        <w:ind w:left="720"/>
      </w:pPr>
      <w:r>
        <w:rPr>
          <w:rFonts w:ascii="Courier New" w:cs="Courier New" w:eastAsia="Courier New" w:hAnsi="Courier New"/>
          <w:color w:val="1F497D"/>
          <w:sz w:val="18"/>
          <w:szCs w:val="18"/>
        </w:rPr>
        <w:t xml:space="preserve">                                    ↓              ↓</w:t>
      </w:r>
    </w:p>
    <w:p>
      <w:pPr>
        <w:spacing w:after="60" w:before="60"/>
        <w:ind w:left="720"/>
      </w:pPr>
      <w:r>
        <w:rPr>
          <w:rFonts w:ascii="Courier New" w:cs="Courier New" w:eastAsia="Courier New" w:hAnsi="Courier New"/>
          <w:color w:val="1F497D"/>
          <w:sz w:val="18"/>
          <w:szCs w:val="18"/>
        </w:rPr>
        <w:t xml:space="preserve">                          Dense Retrieval    BM25 Retrieval</w:t>
      </w:r>
    </w:p>
    <w:p>
      <w:pPr>
        <w:spacing w:after="60" w:before="60"/>
        <w:ind w:left="720"/>
      </w:pPr>
      <w:r>
        <w:rPr>
          <w:rFonts w:ascii="Courier New" w:cs="Courier New" w:eastAsia="Courier New" w:hAnsi="Courier New"/>
          <w:color w:val="1F497D"/>
          <w:sz w:val="18"/>
          <w:szCs w:val="18"/>
        </w:rPr>
        <w:t xml:space="preserve">                                    ↓              ↓</w:t>
      </w:r>
    </w:p>
    <w:p>
      <w:pPr>
        <w:spacing w:after="60" w:before="60"/>
        <w:ind w:left="720"/>
      </w:pPr>
      <w:r>
        <w:rPr>
          <w:rFonts w:ascii="Courier New" w:cs="Courier New" w:eastAsia="Courier New" w:hAnsi="Courier New"/>
          <w:color w:val="1F497D"/>
          <w:sz w:val="18"/>
          <w:szCs w:val="18"/>
        </w:rPr>
        <w:t xml:space="preserve">                               RRF Fusion (top-50 merged)</w:t>
      </w:r>
    </w:p>
    <w:p>
      <w:pPr>
        <w:spacing w:after="60" w:before="60"/>
        <w:ind w:left="720"/>
      </w:pPr>
      <w:r>
        <w:rPr>
          <w:rFonts w:ascii="Courier New" w:cs="Courier New" w:eastAsia="Courier New" w:hAnsi="Courier New"/>
          <w:color w:val="1F497D"/>
          <w:sz w:val="18"/>
          <w:szCs w:val="18"/>
        </w:rPr>
        <w:t xml:space="preserve">                                         ↓</w:t>
      </w:r>
    </w:p>
    <w:p>
      <w:pPr>
        <w:spacing w:after="60" w:before="60"/>
        <w:ind w:left="720"/>
      </w:pPr>
      <w:r>
        <w:rPr>
          <w:rFonts w:ascii="Courier New" w:cs="Courier New" w:eastAsia="Courier New" w:hAnsi="Courier New"/>
          <w:color w:val="1F497D"/>
          <w:sz w:val="18"/>
          <w:szCs w:val="18"/>
        </w:rPr>
        <w:t xml:space="preserve">                               Reranker (top-5 selected)</w:t>
      </w:r>
    </w:p>
    <w:p>
      <w:pPr>
        <w:spacing w:after="60" w:before="60"/>
        <w:ind w:left="720"/>
      </w:pPr>
      <w:r>
        <w:rPr>
          <w:rFonts w:ascii="Courier New" w:cs="Courier New" w:eastAsia="Courier New" w:hAnsi="Courier New"/>
          <w:color w:val="1F497D"/>
          <w:sz w:val="18"/>
          <w:szCs w:val="18"/>
        </w:rPr>
        <w:t xml:space="preserve">                                         ↓</w:t>
      </w:r>
    </w:p>
    <w:p>
      <w:pPr>
        <w:spacing w:after="60" w:before="60"/>
        <w:ind w:left="720"/>
      </w:pPr>
      <w:r>
        <w:rPr>
          <w:rFonts w:ascii="Courier New" w:cs="Courier New" w:eastAsia="Courier New" w:hAnsi="Courier New"/>
          <w:color w:val="1F497D"/>
          <w:sz w:val="18"/>
          <w:szCs w:val="18"/>
        </w:rPr>
        <w:t xml:space="preserve">                               Prompt Builder</w:t>
      </w:r>
    </w:p>
    <w:p>
      <w:pPr>
        <w:spacing w:after="60" w:before="60"/>
        <w:ind w:left="720"/>
      </w:pPr>
      <w:r>
        <w:rPr>
          <w:rFonts w:ascii="Courier New" w:cs="Courier New" w:eastAsia="Courier New" w:hAnsi="Courier New"/>
          <w:color w:val="1F497D"/>
          <w:sz w:val="18"/>
          <w:szCs w:val="18"/>
        </w:rPr>
        <w:t xml:space="preserve">                                         ↓</w:t>
      </w:r>
    </w:p>
    <w:p>
      <w:pPr>
        <w:spacing w:after="60" w:before="60"/>
        <w:ind w:left="720"/>
      </w:pPr>
      <w:r>
        <w:rPr>
          <w:rFonts w:ascii="Courier New" w:cs="Courier New" w:eastAsia="Courier New" w:hAnsi="Courier New"/>
          <w:color w:val="1F497D"/>
          <w:sz w:val="18"/>
          <w:szCs w:val="18"/>
        </w:rPr>
        <w:t xml:space="preserve">                                        LLM</w:t>
      </w:r>
    </w:p>
    <w:p>
      <w:pPr>
        <w:spacing w:after="60" w:before="60"/>
        <w:ind w:left="720"/>
      </w:pPr>
      <w:r>
        <w:rPr>
          <w:rFonts w:ascii="Courier New" w:cs="Courier New" w:eastAsia="Courier New" w:hAnsi="Courier New"/>
          <w:color w:val="1F497D"/>
          <w:sz w:val="18"/>
          <w:szCs w:val="18"/>
        </w:rPr>
        <w:t xml:space="preserve">                                         ↓</w:t>
      </w:r>
    </w:p>
    <w:p>
      <w:pPr>
        <w:spacing w:after="60" w:before="60"/>
        <w:ind w:left="720"/>
      </w:pPr>
      <w:r>
        <w:rPr>
          <w:rFonts w:ascii="Courier New" w:cs="Courier New" w:eastAsia="Courier New" w:hAnsi="Courier New"/>
          <w:color w:val="1F497D"/>
          <w:sz w:val="18"/>
          <w:szCs w:val="18"/>
        </w:rPr>
        <w:t xml:space="preserve">                               Grounded Answer</w:t>
      </w:r>
    </w:p>
    <w:p>
      <w:pPr>
        <w:pStyle w:val="Heading2"/>
        <w:spacing w:after="150" w:before="300"/>
      </w:pPr>
      <w:r>
        <w:t xml:space="preserve">Key Architectural Insight</w:t>
      </w:r>
    </w:p>
    <w:p>
      <w:pPr>
        <w:spacing w:after="80" w:before="80"/>
      </w:pPr>
      <w:r>
        <w:rPr>
          <w:sz w:val="22"/>
          <w:szCs w:val="22"/>
        </w:rPr>
        <w:t xml:space="preserve">Expensive work (parsing, chunking, embedding millions of tokens) happens offline. Query time is fast because it only hits pre-built indexes. This is why RAG is practical in production — indexing is a one-time cost, retrieval is cheap and fast.</w:t>
      </w:r>
    </w:p>
    <w:p>
      <w:pPr>
        <w:pStyle w:val="Heading2"/>
        <w:spacing w:after="150" w:before="300"/>
      </w:pPr>
      <w:r>
        <w:t xml:space="preserve">Each Component's Job</w:t>
      </w:r>
    </w:p>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4057" w:val="clear"/>
          </w:tcPr>
          <w:p>
            <w:r>
              <w:rPr>
                <w:b/>
                <w:bCs/>
                <w:sz w:val="20"/>
                <w:szCs w:val="20"/>
              </w:rPr>
              <w:t xml:space="preserve">Component</w:t>
            </w:r>
          </w:p>
        </w:tc>
        <w:tc>
          <w:tcPr>
            <w:tcW w:type="dxa" w:w="3000"/>
            <w:shd w:fill="2E4057" w:val="clear"/>
          </w:tcPr>
          <w:p>
            <w:r>
              <w:rPr>
                <w:b/>
                <w:bCs/>
                <w:sz w:val="20"/>
                <w:szCs w:val="20"/>
              </w:rPr>
              <w:t xml:space="preserve">Job</w:t>
            </w:r>
          </w:p>
        </w:tc>
        <w:tc>
          <w:tcPr>
            <w:tcW w:type="dxa" w:w="3000"/>
            <w:shd w:fill="2E4057" w:val="clear"/>
          </w:tcPr>
          <w:p>
            <w:r>
              <w:rPr>
                <w:b/>
                <w:bCs/>
                <w:sz w:val="20"/>
                <w:szCs w:val="20"/>
              </w:rPr>
              <w:t xml:space="preserve">Tool (this project)</w:t>
            </w:r>
          </w:p>
        </w:tc>
      </w:tr>
      <w:tr>
        <w:tc>
          <w:tcPr>
            <w:tcW w:type="dxa" w:w="3000"/>
          </w:tcPr>
          <w:p>
            <w:r>
              <w:rPr>
                <w:sz w:val="20"/>
                <w:szCs w:val="20"/>
              </w:rPr>
              <w:t xml:space="preserve">Parser</w:t>
            </w:r>
          </w:p>
        </w:tc>
        <w:tc>
          <w:tcPr>
            <w:tcW w:type="dxa" w:w="3000"/>
          </w:tcPr>
          <w:p>
            <w:r>
              <w:rPr>
                <w:sz w:val="20"/>
                <w:szCs w:val="20"/>
              </w:rPr>
              <w:t xml:space="preserve">Raw files → clean text</w:t>
            </w:r>
          </w:p>
        </w:tc>
        <w:tc>
          <w:tcPr>
            <w:tcW w:type="dxa" w:w="3000"/>
          </w:tcPr>
          <w:p>
            <w:r>
              <w:rPr>
                <w:sz w:val="20"/>
                <w:szCs w:val="20"/>
              </w:rPr>
              <w:t xml:space="preserve">pypdf, built-in file readers</w:t>
            </w:r>
          </w:p>
        </w:tc>
      </w:tr>
      <w:tr>
        <w:tc>
          <w:tcPr>
            <w:tcW w:type="dxa" w:w="3000"/>
          </w:tcPr>
          <w:p>
            <w:r>
              <w:rPr>
                <w:sz w:val="20"/>
                <w:szCs w:val="20"/>
              </w:rPr>
              <w:t xml:space="preserve">Chunker</w:t>
            </w:r>
          </w:p>
        </w:tc>
        <w:tc>
          <w:tcPr>
            <w:tcW w:type="dxa" w:w="3000"/>
          </w:tcPr>
          <w:p>
            <w:r>
              <w:rPr>
                <w:sz w:val="20"/>
                <w:szCs w:val="20"/>
              </w:rPr>
              <w:t xml:space="preserve">Clean text → overlapping windows</w:t>
            </w:r>
          </w:p>
        </w:tc>
        <w:tc>
          <w:tcPr>
            <w:tcW w:type="dxa" w:w="3000"/>
          </w:tcPr>
          <w:p>
            <w:r>
              <w:rPr>
                <w:sz w:val="20"/>
                <w:szCs w:val="20"/>
              </w:rPr>
              <w:t xml:space="preserve">LangChain RecursiveCharacterTextSplitter</w:t>
            </w:r>
          </w:p>
        </w:tc>
      </w:tr>
      <w:tr>
        <w:tc>
          <w:tcPr>
            <w:tcW w:type="dxa" w:w="3000"/>
          </w:tcPr>
          <w:p>
            <w:r>
              <w:rPr>
                <w:sz w:val="20"/>
                <w:szCs w:val="20"/>
              </w:rPr>
              <w:t xml:space="preserve">Embedder</w:t>
            </w:r>
          </w:p>
        </w:tc>
        <w:tc>
          <w:tcPr>
            <w:tcW w:type="dxa" w:w="3000"/>
          </w:tcPr>
          <w:p>
            <w:r>
              <w:rPr>
                <w:sz w:val="20"/>
                <w:szCs w:val="20"/>
              </w:rPr>
              <w:t xml:space="preserve">Chunk → vector (offline + online)</w:t>
            </w:r>
          </w:p>
        </w:tc>
        <w:tc>
          <w:tcPr>
            <w:tcW w:type="dxa" w:w="3000"/>
          </w:tcPr>
          <w:p>
            <w:r>
              <w:rPr>
                <w:sz w:val="20"/>
                <w:szCs w:val="20"/>
              </w:rPr>
              <w:t xml:space="preserve">BAAI/bge-small-en-v1.5 (local)</w:t>
            </w:r>
          </w:p>
        </w:tc>
      </w:tr>
      <w:tr>
        <w:tc>
          <w:tcPr>
            <w:tcW w:type="dxa" w:w="3000"/>
          </w:tcPr>
          <w:p>
            <w:r>
              <w:rPr>
                <w:sz w:val="20"/>
                <w:szCs w:val="20"/>
              </w:rPr>
              <w:t xml:space="preserve">Vector store</w:t>
            </w:r>
          </w:p>
        </w:tc>
        <w:tc>
          <w:tcPr>
            <w:tcW w:type="dxa" w:w="3000"/>
          </w:tcPr>
          <w:p>
            <w:r>
              <w:rPr>
                <w:sz w:val="20"/>
                <w:szCs w:val="20"/>
              </w:rPr>
              <w:t xml:space="preserve">Persist vectors + metadata, ANN search</w:t>
            </w:r>
          </w:p>
        </w:tc>
        <w:tc>
          <w:tcPr>
            <w:tcW w:type="dxa" w:w="3000"/>
          </w:tcPr>
          <w:p>
            <w:r>
              <w:rPr>
                <w:sz w:val="20"/>
                <w:szCs w:val="20"/>
              </w:rPr>
              <w:t xml:space="preserve">Chroma (local)</w:t>
            </w:r>
          </w:p>
        </w:tc>
      </w:tr>
      <w:tr>
        <w:tc>
          <w:tcPr>
            <w:tcW w:type="dxa" w:w="3000"/>
          </w:tcPr>
          <w:p>
            <w:r>
              <w:rPr>
                <w:sz w:val="20"/>
                <w:szCs w:val="20"/>
              </w:rPr>
              <w:t xml:space="preserve">BM25 index</w:t>
            </w:r>
          </w:p>
        </w:tc>
        <w:tc>
          <w:tcPr>
            <w:tcW w:type="dxa" w:w="3000"/>
          </w:tcPr>
          <w:p>
            <w:r>
              <w:rPr>
                <w:sz w:val="20"/>
                <w:szCs w:val="20"/>
              </w:rPr>
              <w:t xml:space="preserve">Keyword index from same chunks</w:t>
            </w:r>
          </w:p>
        </w:tc>
        <w:tc>
          <w:tcPr>
            <w:tcW w:type="dxa" w:w="3000"/>
          </w:tcPr>
          <w:p>
            <w:r>
              <w:rPr>
                <w:sz w:val="20"/>
                <w:szCs w:val="20"/>
              </w:rPr>
              <w:t xml:space="preserve">rank_bm25</w:t>
            </w:r>
          </w:p>
        </w:tc>
      </w:tr>
      <w:tr>
        <w:tc>
          <w:tcPr>
            <w:tcW w:type="dxa" w:w="3000"/>
          </w:tcPr>
          <w:p>
            <w:r>
              <w:rPr>
                <w:sz w:val="20"/>
                <w:szCs w:val="20"/>
              </w:rPr>
              <w:t xml:space="preserve">Query rewriter</w:t>
            </w:r>
          </w:p>
        </w:tc>
        <w:tc>
          <w:tcPr>
            <w:tcW w:type="dxa" w:w="3000"/>
          </w:tcPr>
          <w:p>
            <w:r>
              <w:rPr>
                <w:sz w:val="20"/>
                <w:szCs w:val="20"/>
              </w:rPr>
              <w:t xml:space="preserve">Conversational query → document-shaped query</w:t>
            </w:r>
          </w:p>
        </w:tc>
        <w:tc>
          <w:tcPr>
            <w:tcW w:type="dxa" w:w="3000"/>
          </w:tcPr>
          <w:p>
            <w:r>
              <w:rPr>
                <w:sz w:val="20"/>
                <w:szCs w:val="20"/>
              </w:rPr>
              <w:t xml:space="preserve">LLM via OpenRouter</w:t>
            </w:r>
          </w:p>
        </w:tc>
      </w:tr>
      <w:tr>
        <w:tc>
          <w:tcPr>
            <w:tcW w:type="dxa" w:w="3000"/>
          </w:tcPr>
          <w:p>
            <w:r>
              <w:rPr>
                <w:sz w:val="20"/>
                <w:szCs w:val="20"/>
              </w:rPr>
              <w:t xml:space="preserve">RRF fusion</w:t>
            </w:r>
          </w:p>
        </w:tc>
        <w:tc>
          <w:tcPr>
            <w:tcW w:type="dxa" w:w="3000"/>
          </w:tcPr>
          <w:p>
            <w:r>
              <w:rPr>
                <w:sz w:val="20"/>
                <w:szCs w:val="20"/>
              </w:rPr>
              <w:t xml:space="preserve">Merge dense + BM25 ranked lists</w:t>
            </w:r>
          </w:p>
        </w:tc>
        <w:tc>
          <w:tcPr>
            <w:tcW w:type="dxa" w:w="3000"/>
          </w:tcPr>
          <w:p>
            <w:r>
              <w:rPr>
                <w:sz w:val="20"/>
                <w:szCs w:val="20"/>
              </w:rPr>
              <w:t xml:space="preserve">Custom Python (simple formula)</w:t>
            </w:r>
          </w:p>
        </w:tc>
      </w:tr>
      <w:tr>
        <w:tc>
          <w:tcPr>
            <w:tcW w:type="dxa" w:w="3000"/>
          </w:tcPr>
          <w:p>
            <w:r>
              <w:rPr>
                <w:sz w:val="20"/>
                <w:szCs w:val="20"/>
              </w:rPr>
              <w:t xml:space="preserve">Reranker</w:t>
            </w:r>
          </w:p>
        </w:tc>
        <w:tc>
          <w:tcPr>
            <w:tcW w:type="dxa" w:w="3000"/>
          </w:tcPr>
          <w:p>
            <w:r>
              <w:rPr>
                <w:sz w:val="20"/>
                <w:szCs w:val="20"/>
              </w:rPr>
              <w:t xml:space="preserve">top-50 → top-5 via cross-encoder</w:t>
            </w:r>
          </w:p>
        </w:tc>
        <w:tc>
          <w:tcPr>
            <w:tcW w:type="dxa" w:w="3000"/>
          </w:tcPr>
          <w:p>
            <w:r>
              <w:rPr>
                <w:sz w:val="20"/>
                <w:szCs w:val="20"/>
              </w:rPr>
              <w:t xml:space="preserve">cross-encoder/ms-marco-MiniLM-L-6-v2</w:t>
            </w:r>
          </w:p>
        </w:tc>
      </w:tr>
      <w:tr>
        <w:tc>
          <w:tcPr>
            <w:tcW w:type="dxa" w:w="3000"/>
          </w:tcPr>
          <w:p>
            <w:r>
              <w:rPr>
                <w:sz w:val="20"/>
                <w:szCs w:val="20"/>
              </w:rPr>
              <w:t xml:space="preserve">Prompt builder</w:t>
            </w:r>
          </w:p>
        </w:tc>
        <w:tc>
          <w:tcPr>
            <w:tcW w:type="dxa" w:w="3000"/>
          </w:tcPr>
          <w:p>
            <w:r>
              <w:rPr>
                <w:sz w:val="20"/>
                <w:szCs w:val="20"/>
              </w:rPr>
              <w:t xml:space="preserve">System + labeled chunks + query</w:t>
            </w:r>
          </w:p>
        </w:tc>
        <w:tc>
          <w:tcPr>
            <w:tcW w:type="dxa" w:w="3000"/>
          </w:tcPr>
          <w:p>
            <w:r>
              <w:rPr>
                <w:sz w:val="20"/>
                <w:szCs w:val="20"/>
              </w:rPr>
              <w:t xml:space="preserve">Python string assembly</w:t>
            </w:r>
          </w:p>
        </w:tc>
      </w:tr>
      <w:tr>
        <w:tc>
          <w:tcPr>
            <w:tcW w:type="dxa" w:w="3000"/>
          </w:tcPr>
          <w:p>
            <w:r>
              <w:rPr>
                <w:sz w:val="20"/>
                <w:szCs w:val="20"/>
              </w:rPr>
              <w:t xml:space="preserve">LLM</w:t>
            </w:r>
          </w:p>
        </w:tc>
        <w:tc>
          <w:tcPr>
            <w:tcW w:type="dxa" w:w="3000"/>
          </w:tcPr>
          <w:p>
            <w:r>
              <w:rPr>
                <w:sz w:val="20"/>
                <w:szCs w:val="20"/>
              </w:rPr>
              <w:t xml:space="preserve">Reading comprehension over context</w:t>
            </w:r>
          </w:p>
        </w:tc>
        <w:tc>
          <w:tcPr>
            <w:tcW w:type="dxa" w:w="3000"/>
          </w:tcPr>
          <w:p>
            <w:r>
              <w:rPr>
                <w:sz w:val="20"/>
                <w:szCs w:val="20"/>
              </w:rPr>
              <w:t xml:space="preserve">meta-llama/llama-3.1-8b-instruct:free</w:t>
            </w:r>
          </w:p>
        </w:tc>
      </w:tr>
    </w:tbl>
    <w:p>
      <w:pPr>
        <w:spacing w:after="100" w:before="200"/>
      </w:pPr>
    </w:p>
    <w:p>
      <w:pPr>
        <w:pStyle w:val="Heading2"/>
        <w:spacing w:after="150" w:before="300"/>
      </w:pPr>
      <w:r>
        <w:t xml:space="preserve">The LLM Appears Twice</w:t>
      </w:r>
    </w:p>
    <w:p>
      <w:pPr>
        <w:spacing w:after="80" w:before="80"/>
      </w:pPr>
      <w:r>
        <w:rPr>
          <w:sz w:val="22"/>
          <w:szCs w:val="22"/>
        </w:rPr>
        <w:t xml:space="preserve">As query rewriter: inside the pipeline, producing better retrieval input. As answer generator: at the endpoint, synthesizing the final answer. This dual role is the bridge toward Agentic RAG — where the LLM actively participates in controlling the retrieval process rather than just consuming its output.</w:t>
      </w:r>
    </w:p>
    <w:p>
      <w:pPr>
        <w:pBdr>
          <w:bottom w:val="single" w:color="CCCCCC" w:sz="6"/>
        </w:pBdr>
        <w:spacing w:after="200" w:before="200"/>
      </w:pPr>
    </w:p>
    <w:p>
      <w:pPr>
        <w:pStyle w:val="Heading1"/>
        <w:spacing w:after="200" w:before="400"/>
      </w:pPr>
      <w:r>
        <w:t xml:space="preserve">Project Status</w:t>
      </w:r>
    </w:p>
    <w:p>
      <w:pPr>
        <w:pStyle w:val="Heading2"/>
        <w:spacing w:after="150" w:before="300"/>
      </w:pPr>
      <w:r>
        <w:t xml:space="preserve">Build Phases</w:t>
      </w:r>
    </w:p>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4057" w:val="clear"/>
          </w:tcPr>
          <w:p>
            <w:r>
              <w:rPr>
                <w:b/>
                <w:bCs/>
                <w:sz w:val="20"/>
                <w:szCs w:val="20"/>
              </w:rPr>
              <w:t xml:space="preserve">Phase</w:t>
            </w:r>
          </w:p>
        </w:tc>
        <w:tc>
          <w:tcPr>
            <w:tcW w:type="dxa" w:w="3000"/>
            <w:shd w:fill="2E4057" w:val="clear"/>
          </w:tcPr>
          <w:p>
            <w:r>
              <w:rPr>
                <w:b/>
                <w:bCs/>
                <w:sz w:val="20"/>
                <w:szCs w:val="20"/>
              </w:rPr>
              <w:t xml:space="preserve">Focus</w:t>
            </w:r>
          </w:p>
        </w:tc>
        <w:tc>
          <w:tcPr>
            <w:tcW w:type="dxa" w:w="3000"/>
            <w:shd w:fill="2E4057" w:val="clear"/>
          </w:tcPr>
          <w:p>
            <w:r>
              <w:rPr>
                <w:b/>
                <w:bCs/>
                <w:sz w:val="20"/>
                <w:szCs w:val="20"/>
              </w:rPr>
              <w:t xml:space="preserve">Status</w:t>
            </w:r>
          </w:p>
        </w:tc>
      </w:tr>
      <w:tr>
        <w:tc>
          <w:tcPr>
            <w:tcW w:type="dxa" w:w="3000"/>
          </w:tcPr>
          <w:p>
            <w:r>
              <w:rPr>
                <w:sz w:val="20"/>
                <w:szCs w:val="20"/>
              </w:rPr>
              <w:t xml:space="preserve">Phase 1</w:t>
            </w:r>
          </w:p>
        </w:tc>
        <w:tc>
          <w:tcPr>
            <w:tcW w:type="dxa" w:w="3000"/>
          </w:tcPr>
          <w:p>
            <w:r>
              <w:rPr>
                <w:sz w:val="20"/>
                <w:szCs w:val="20"/>
              </w:rPr>
              <w:t xml:space="preserve">Naive RAG — ingestion, chunking, embedding, retrieval, LLM answer</w:t>
            </w:r>
          </w:p>
        </w:tc>
        <w:tc>
          <w:tcPr>
            <w:tcW w:type="dxa" w:w="3000"/>
          </w:tcPr>
          <w:p>
            <w:r>
              <w:rPr>
                <w:sz w:val="20"/>
                <w:szCs w:val="20"/>
              </w:rPr>
              <w:t xml:space="preserve">In progress</w:t>
            </w:r>
          </w:p>
        </w:tc>
      </w:tr>
      <w:tr>
        <w:tc>
          <w:tcPr>
            <w:tcW w:type="dxa" w:w="3000"/>
          </w:tcPr>
          <w:p>
            <w:r>
              <w:rPr>
                <w:sz w:val="20"/>
                <w:szCs w:val="20"/>
              </w:rPr>
              <w:t xml:space="preserve">Phase 2</w:t>
            </w:r>
          </w:p>
        </w:tc>
        <w:tc>
          <w:tcPr>
            <w:tcW w:type="dxa" w:w="3000"/>
          </w:tcPr>
          <w:p>
            <w:r>
              <w:rPr>
                <w:sz w:val="20"/>
                <w:szCs w:val="20"/>
              </w:rPr>
              <w:t xml:space="preserve">Advanced RAG — query rewriting, hybrid search, reranking</w:t>
            </w:r>
          </w:p>
        </w:tc>
        <w:tc>
          <w:tcPr>
            <w:tcW w:type="dxa" w:w="3000"/>
          </w:tcPr>
          <w:p>
            <w:r>
              <w:rPr>
                <w:sz w:val="20"/>
                <w:szCs w:val="20"/>
              </w:rPr>
              <w:t xml:space="preserve">Pending</w:t>
            </w:r>
          </w:p>
        </w:tc>
      </w:tr>
      <w:tr>
        <w:tc>
          <w:tcPr>
            <w:tcW w:type="dxa" w:w="3000"/>
          </w:tcPr>
          <w:p>
            <w:r>
              <w:rPr>
                <w:sz w:val="20"/>
                <w:szCs w:val="20"/>
              </w:rPr>
              <w:t xml:space="preserve">Phase 3</w:t>
            </w:r>
          </w:p>
        </w:tc>
        <w:tc>
          <w:tcPr>
            <w:tcW w:type="dxa" w:w="3000"/>
          </w:tcPr>
          <w:p>
            <w:r>
              <w:rPr>
                <w:sz w:val="20"/>
                <w:szCs w:val="20"/>
              </w:rPr>
              <w:t xml:space="preserve">Evaluation — RAGAS pipeline, retrieval recall, answer faithfulness</w:t>
            </w:r>
          </w:p>
        </w:tc>
        <w:tc>
          <w:tcPr>
            <w:tcW w:type="dxa" w:w="3000"/>
          </w:tcPr>
          <w:p>
            <w:r>
              <w:rPr>
                <w:sz w:val="20"/>
                <w:szCs w:val="20"/>
              </w:rPr>
              <w:t xml:space="preserve">Pending</w:t>
            </w:r>
          </w:p>
        </w:tc>
      </w:tr>
      <w:tr>
        <w:tc>
          <w:tcPr>
            <w:tcW w:type="dxa" w:w="3000"/>
          </w:tcPr>
          <w:p>
            <w:r>
              <w:rPr>
                <w:sz w:val="20"/>
                <w:szCs w:val="20"/>
              </w:rPr>
              <w:t xml:space="preserve">Phase 4</w:t>
            </w:r>
          </w:p>
        </w:tc>
        <w:tc>
          <w:tcPr>
            <w:tcW w:type="dxa" w:w="3000"/>
          </w:tcPr>
          <w:p>
            <w:r>
              <w:rPr>
                <w:sz w:val="20"/>
                <w:szCs w:val="20"/>
              </w:rPr>
              <w:t xml:space="preserve">Agentic RAG — LangGraph agent, retriever as tool, multi-hop</w:t>
            </w:r>
          </w:p>
        </w:tc>
        <w:tc>
          <w:tcPr>
            <w:tcW w:type="dxa" w:w="3000"/>
          </w:tcPr>
          <w:p>
            <w:r>
              <w:rPr>
                <w:sz w:val="20"/>
                <w:szCs w:val="20"/>
              </w:rPr>
              <w:t xml:space="preserve">Pending</w:t>
            </w:r>
          </w:p>
        </w:tc>
      </w:tr>
    </w:tbl>
    <w:p>
      <w:pPr>
        <w:spacing w:after="100" w:before="200"/>
      </w:pPr>
    </w:p>
    <w:p>
      <w:pPr>
        <w:pStyle w:val="Heading2"/>
        <w:spacing w:after="150" w:before="300"/>
      </w:pPr>
      <w:r>
        <w:t xml:space="preserve">Stack</w:t>
      </w:r>
    </w:p>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E4057" w:val="clear"/>
          </w:tcPr>
          <w:p>
            <w:r>
              <w:rPr>
                <w:b/>
                <w:bCs/>
                <w:sz w:val="20"/>
                <w:szCs w:val="20"/>
              </w:rPr>
              <w:t xml:space="preserve">Component</w:t>
            </w:r>
          </w:p>
        </w:tc>
        <w:tc>
          <w:tcPr>
            <w:tcW w:type="dxa" w:w="4500"/>
            <w:shd w:fill="2E4057" w:val="clear"/>
          </w:tcPr>
          <w:p>
            <w:r>
              <w:rPr>
                <w:b/>
                <w:bCs/>
                <w:sz w:val="20"/>
                <w:szCs w:val="20"/>
              </w:rPr>
              <w:t xml:space="preserve">Choice</w:t>
            </w:r>
          </w:p>
        </w:tc>
      </w:tr>
      <w:tr>
        <w:tc>
          <w:tcPr>
            <w:tcW w:type="dxa" w:w="4500"/>
          </w:tcPr>
          <w:p>
            <w:r>
              <w:rPr>
                <w:sz w:val="20"/>
                <w:szCs w:val="20"/>
              </w:rPr>
              <w:t xml:space="preserve">LLM</w:t>
            </w:r>
          </w:p>
        </w:tc>
        <w:tc>
          <w:tcPr>
            <w:tcW w:type="dxa" w:w="4500"/>
          </w:tcPr>
          <w:p>
            <w:r>
              <w:rPr>
                <w:sz w:val="20"/>
                <w:szCs w:val="20"/>
              </w:rPr>
              <w:t xml:space="preserve">OpenRouter free — meta-llama/llama-3.1-8b-instruct:free</w:t>
            </w:r>
          </w:p>
        </w:tc>
      </w:tr>
      <w:tr>
        <w:tc>
          <w:tcPr>
            <w:tcW w:type="dxa" w:w="4500"/>
          </w:tcPr>
          <w:p>
            <w:r>
              <w:rPr>
                <w:sz w:val="20"/>
                <w:szCs w:val="20"/>
              </w:rPr>
              <w:t xml:space="preserve">Embedding</w:t>
            </w:r>
          </w:p>
        </w:tc>
        <w:tc>
          <w:tcPr>
            <w:tcW w:type="dxa" w:w="4500"/>
          </w:tcPr>
          <w:p>
            <w:r>
              <w:rPr>
                <w:sz w:val="20"/>
                <w:szCs w:val="20"/>
              </w:rPr>
              <w:t xml:space="preserve">BAAI/bge-small-en-v1.5 via sentence-transformers (local, 384 dims)</w:t>
            </w:r>
          </w:p>
        </w:tc>
      </w:tr>
      <w:tr>
        <w:tc>
          <w:tcPr>
            <w:tcW w:type="dxa" w:w="4500"/>
          </w:tcPr>
          <w:p>
            <w:r>
              <w:rPr>
                <w:sz w:val="20"/>
                <w:szCs w:val="20"/>
              </w:rPr>
              <w:t xml:space="preserve">Vector store</w:t>
            </w:r>
          </w:p>
        </w:tc>
        <w:tc>
          <w:tcPr>
            <w:tcW w:type="dxa" w:w="4500"/>
          </w:tcPr>
          <w:p>
            <w:r>
              <w:rPr>
                <w:sz w:val="20"/>
                <w:szCs w:val="20"/>
              </w:rPr>
              <w:t xml:space="preserve">Chroma (local, no Docker)</w:t>
            </w:r>
          </w:p>
        </w:tc>
      </w:tr>
      <w:tr>
        <w:tc>
          <w:tcPr>
            <w:tcW w:type="dxa" w:w="4500"/>
          </w:tcPr>
          <w:p>
            <w:r>
              <w:rPr>
                <w:sz w:val="20"/>
                <w:szCs w:val="20"/>
              </w:rPr>
              <w:t xml:space="preserve">BM25</w:t>
            </w:r>
          </w:p>
        </w:tc>
        <w:tc>
          <w:tcPr>
            <w:tcW w:type="dxa" w:w="4500"/>
          </w:tcPr>
          <w:p>
            <w:r>
              <w:rPr>
                <w:sz w:val="20"/>
                <w:szCs w:val="20"/>
              </w:rPr>
              <w:t xml:space="preserve">rank_bm25 (Python library)</w:t>
            </w:r>
          </w:p>
        </w:tc>
      </w:tr>
      <w:tr>
        <w:tc>
          <w:tcPr>
            <w:tcW w:type="dxa" w:w="4500"/>
          </w:tcPr>
          <w:p>
            <w:r>
              <w:rPr>
                <w:sz w:val="20"/>
                <w:szCs w:val="20"/>
              </w:rPr>
              <w:t xml:space="preserve">Reranker</w:t>
            </w:r>
          </w:p>
        </w:tc>
        <w:tc>
          <w:tcPr>
            <w:tcW w:type="dxa" w:w="4500"/>
          </w:tcPr>
          <w:p>
            <w:r>
              <w:rPr>
                <w:sz w:val="20"/>
                <w:szCs w:val="20"/>
              </w:rPr>
              <w:t xml:space="preserve">cross-encoder/ms-marco-MiniLM-L-6-v2 (local)</w:t>
            </w:r>
          </w:p>
        </w:tc>
      </w:tr>
      <w:tr>
        <w:tc>
          <w:tcPr>
            <w:tcW w:type="dxa" w:w="4500"/>
          </w:tcPr>
          <w:p>
            <w:r>
              <w:rPr>
                <w:sz w:val="20"/>
                <w:szCs w:val="20"/>
              </w:rPr>
              <w:t xml:space="preserve">Orchestration</w:t>
            </w:r>
          </w:p>
        </w:tc>
        <w:tc>
          <w:tcPr>
            <w:tcW w:type="dxa" w:w="4500"/>
          </w:tcPr>
          <w:p>
            <w:r>
              <w:rPr>
                <w:sz w:val="20"/>
                <w:szCs w:val="20"/>
              </w:rPr>
              <w:t xml:space="preserve">LangChain → LangGraph (Phase 4)</w:t>
            </w:r>
          </w:p>
        </w:tc>
      </w:tr>
      <w:tr>
        <w:tc>
          <w:tcPr>
            <w:tcW w:type="dxa" w:w="4500"/>
          </w:tcPr>
          <w:p>
            <w:r>
              <w:rPr>
                <w:sz w:val="20"/>
                <w:szCs w:val="20"/>
              </w:rPr>
              <w:t xml:space="preserve">Evaluation</w:t>
            </w:r>
          </w:p>
        </w:tc>
        <w:tc>
          <w:tcPr>
            <w:tcW w:type="dxa" w:w="4500"/>
          </w:tcPr>
          <w:p>
            <w:r>
              <w:rPr>
                <w:sz w:val="20"/>
                <w:szCs w:val="20"/>
              </w:rPr>
              <w:t xml:space="preserve">RAGAS</w:t>
            </w:r>
          </w:p>
        </w:tc>
      </w:tr>
      <w:tr>
        <w:tc>
          <w:tcPr>
            <w:tcW w:type="dxa" w:w="4500"/>
          </w:tcPr>
          <w:p>
            <w:r>
              <w:rPr>
                <w:sz w:val="20"/>
                <w:szCs w:val="20"/>
              </w:rPr>
              <w:t xml:space="preserve">Language</w:t>
            </w:r>
          </w:p>
        </w:tc>
        <w:tc>
          <w:tcPr>
            <w:tcW w:type="dxa" w:w="4500"/>
          </w:tcPr>
          <w:p>
            <w:r>
              <w:rPr>
                <w:sz w:val="20"/>
                <w:szCs w:val="20"/>
              </w:rPr>
              <w:t xml:space="preserve">Python</w:t>
            </w:r>
          </w:p>
        </w:tc>
      </w:tr>
    </w:tbl>
    <w:p>
      <w:pPr>
        <w:spacing w:after="100" w:before="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2E4057"/>
      <w:sz w:val="32"/>
      <w:szCs w:val="32"/>
    </w:rPr>
  </w:style>
  <w:style w:type="paragraph" w:styleId="Heading2">
    <w:name w:val="Heading 2"/>
    <w:basedOn w:val="Normal"/>
    <w:next w:val="Normal"/>
    <w:qFormat/>
    <w:rPr>
      <w:rFonts w:ascii="Calibri" w:cs="Calibri" w:eastAsia="Calibri" w:hAnsi="Calibri"/>
      <w:b/>
      <w:bCs/>
      <w:color w:val="048A81"/>
      <w:sz w:val="26"/>
      <w:szCs w:val="26"/>
    </w:rPr>
  </w:style>
  <w:style w:type="paragraph" w:styleId="Heading3">
    <w:name w:val="Heading 3"/>
    <w:basedOn w:val="Normal"/>
    <w:next w:val="Normal"/>
    <w:qFormat/>
    <w:rPr>
      <w:rFonts w:ascii="Calibri" w:cs="Calibri" w:eastAsia="Calibri" w:hAnsi="Calibri"/>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2026-08-02T04:24:02.183Z</dcterms:created>
  <dcterms:modified xsi:type="dcterms:W3CDTF">2026-08-02T04:24:02.204Z</dcterms:modified>
</cp:coreProperties>
</file>

<file path=docProps/custom.xml><?xml version="1.0" encoding="utf-8"?>
<Properties xmlns="http://schemas.openxmlformats.org/officeDocument/2006/custom-properties" xmlns:vt="http://schemas.openxmlformats.org/officeDocument/2006/docPropsVTypes"/>
</file>