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F7A54" w14:textId="77777777" w:rsidR="007C41CB" w:rsidRDefault="007C41CB" w:rsidP="007C41CB">
      <w:pPr>
        <w:rPr>
          <w:b/>
          <w:bCs/>
        </w:rPr>
      </w:pPr>
      <w:r w:rsidRPr="007C41CB">
        <w:rPr>
          <w:b/>
          <w:bCs/>
        </w:rPr>
        <w:t>Clinical Natural Language Technology for Health Care: Past, Present, &amp; Future Approaches</w:t>
      </w:r>
    </w:p>
    <w:p w14:paraId="6AE8EA50" w14:textId="77777777" w:rsidR="007C41CB" w:rsidRPr="007C41CB" w:rsidRDefault="007C41CB" w:rsidP="007C41CB"/>
    <w:p w14:paraId="3304BC49" w14:textId="77777777" w:rsidR="007C41CB" w:rsidRPr="007C41CB" w:rsidRDefault="007C41CB" w:rsidP="007C41CB">
      <w:pPr>
        <w:rPr>
          <w:b/>
          <w:bCs/>
        </w:rPr>
      </w:pPr>
      <w:r w:rsidRPr="007C41CB">
        <w:rPr>
          <w:b/>
          <w:bCs/>
        </w:rPr>
        <w:t>Introduction</w:t>
      </w:r>
    </w:p>
    <w:p w14:paraId="57B81934" w14:textId="77777777" w:rsidR="007C41CB" w:rsidRDefault="007C41CB" w:rsidP="007C41CB">
      <w:r w:rsidRPr="007C41CB">
        <w:t>Clinical Natural Language Processing (NLP) technology has emerged as a transformative force in healthcare, leveraging advanced computational methods to extract, process, and analyze vast amounts of unstructured clinical text. These technologies encompass a range of tools, including Optical Character Recognition (OCR) for digitizing text, NLP for understanding and extracting meaning from this text, and more recent advancements like Large Language Models (LLMs) and Large Multimodal Models (LMMs) that integrate diverse data types such as text, images, and structured data. This report explores the evolution of clinical NLP, examines current trends, and anticipates future developments, offering strategic recommendations for Cotiviti to harness these technologies for competitive advantage.</w:t>
      </w:r>
    </w:p>
    <w:p w14:paraId="225DDC6B" w14:textId="77777777" w:rsidR="007C41CB" w:rsidRPr="007C41CB" w:rsidRDefault="007C41CB" w:rsidP="007C41CB"/>
    <w:p w14:paraId="4CABD42E" w14:textId="77777777" w:rsidR="007C41CB" w:rsidRPr="007C41CB" w:rsidRDefault="007C41CB" w:rsidP="007C41CB">
      <w:pPr>
        <w:rPr>
          <w:b/>
          <w:bCs/>
        </w:rPr>
      </w:pPr>
      <w:r w:rsidRPr="007C41CB">
        <w:rPr>
          <w:b/>
          <w:bCs/>
        </w:rPr>
        <w:t>Past Approaches</w:t>
      </w:r>
    </w:p>
    <w:p w14:paraId="76F7BEF3" w14:textId="77777777" w:rsidR="007C41CB" w:rsidRDefault="007C41CB" w:rsidP="007C41CB">
      <w:r w:rsidRPr="007C41CB">
        <w:t>In its early stages, clinical NLP primarily relied on rule-based systems and keyword matching to extract relevant information from medical records. These systems, while useful, were limited by their reliance on predefined rules and their inability to adapt to the complexities of natural language. OCR technology, which converts handwritten or printed text into digital form, played a crucial role in making medical documents accessible for further processing. However, the early applications of NLP in healthcare were constrained by the challenges of accurately interpreting medical jargon, abbreviations, and context-dependent language.</w:t>
      </w:r>
    </w:p>
    <w:p w14:paraId="25A9B7D2" w14:textId="77777777" w:rsidR="007C41CB" w:rsidRPr="007C41CB" w:rsidRDefault="007C41CB" w:rsidP="007C41CB"/>
    <w:p w14:paraId="1965731B" w14:textId="77777777" w:rsidR="007C41CB" w:rsidRPr="007C41CB" w:rsidRDefault="007C41CB" w:rsidP="007C41CB">
      <w:pPr>
        <w:rPr>
          <w:b/>
          <w:bCs/>
        </w:rPr>
      </w:pPr>
      <w:r w:rsidRPr="007C41CB">
        <w:rPr>
          <w:b/>
          <w:bCs/>
        </w:rPr>
        <w:t>Present Approaches</w:t>
      </w:r>
    </w:p>
    <w:p w14:paraId="63FD8BFA" w14:textId="77777777" w:rsidR="007C41CB" w:rsidRDefault="007C41CB" w:rsidP="007C41CB">
      <w:r w:rsidRPr="007C41CB">
        <w:t xml:space="preserve">The present landscape of clinical NLP has been significantly shaped by advancements in machine learning and artificial intelligence. Modern NLP systems, powered by LLMs like OpenAI's GPT-4 and Google's BERT, can understand and generate human-like text with unprecedented accuracy. These models are capable of processing unstructured data from electronic health records (EHRs), extracting valuable insights, and even generating clinical summaries. Additionally, the integration of NLP with OCR and Computer Vision technologies allows for the seamless processing of diverse data types, enabling more comprehensive analyses. Today, NLP is being used to automate administrative tasks, </w:t>
      </w:r>
      <w:r w:rsidRPr="007C41CB">
        <w:lastRenderedPageBreak/>
        <w:t>support clinical decision-making, and enhance patient care through personalized treatment plans.</w:t>
      </w:r>
    </w:p>
    <w:p w14:paraId="78B02E3F" w14:textId="77777777" w:rsidR="007C41CB" w:rsidRPr="007C41CB" w:rsidRDefault="007C41CB" w:rsidP="007C41CB"/>
    <w:p w14:paraId="10EFE65E" w14:textId="77777777" w:rsidR="007C41CB" w:rsidRPr="007C41CB" w:rsidRDefault="007C41CB" w:rsidP="007C41CB">
      <w:pPr>
        <w:rPr>
          <w:b/>
          <w:bCs/>
        </w:rPr>
      </w:pPr>
      <w:r w:rsidRPr="007C41CB">
        <w:rPr>
          <w:b/>
          <w:bCs/>
        </w:rPr>
        <w:t>Future Approaches</w:t>
      </w:r>
    </w:p>
    <w:p w14:paraId="5E6550E1" w14:textId="77777777" w:rsidR="007C41CB" w:rsidRDefault="007C41CB" w:rsidP="007C41CB">
      <w:r w:rsidRPr="007C41CB">
        <w:t>Looking ahead, the future of clinical NLP lies in the development of LMMs that combine textual, visual, and other forms of data to provide a holistic understanding of patient health. These models will enable healthcare providers to integrate and analyze data from multiple sources, such as medical images, genomic data, and patient history, to deliver more accurate diagnoses and personalized treatment recommendations. Moreover, the increasing availability of real-time data will facilitate the development of predictive models that can anticipate and mitigate health risks before they become critical. However, these advancements also pose challenges, particularly in terms of data privacy, ethical considerations, and the integration of AI systems into existing healthcare infrastructure.</w:t>
      </w:r>
    </w:p>
    <w:p w14:paraId="7520A341" w14:textId="77777777" w:rsidR="007C41CB" w:rsidRPr="007C41CB" w:rsidRDefault="007C41CB" w:rsidP="007C41CB"/>
    <w:p w14:paraId="6FDCB26F" w14:textId="77777777" w:rsidR="007C41CB" w:rsidRPr="007C41CB" w:rsidRDefault="007C41CB" w:rsidP="007C41CB">
      <w:pPr>
        <w:rPr>
          <w:b/>
          <w:bCs/>
        </w:rPr>
      </w:pPr>
      <w:r w:rsidRPr="007C41CB">
        <w:rPr>
          <w:b/>
          <w:bCs/>
        </w:rPr>
        <w:t>Opportunities and Threats</w:t>
      </w:r>
    </w:p>
    <w:p w14:paraId="00B63F58" w14:textId="77777777" w:rsidR="007C41CB" w:rsidRPr="007C41CB" w:rsidRDefault="007C41CB" w:rsidP="007C41CB">
      <w:r w:rsidRPr="007C41CB">
        <w:rPr>
          <w:b/>
          <w:bCs/>
        </w:rPr>
        <w:t>Opportunities:</w:t>
      </w:r>
      <w:r w:rsidRPr="007C41CB">
        <w:t xml:space="preserve"> The adoption of advanced NLP technologies in healthcare presents numerous opportunities for improving patient outcomes, reducing costs, and enhancing operational efficiency. NLP can significantly streamline the extraction and analysis of data from EHRs, enabling healthcare providers to make more informed decisions quickly. Moreover, LMMs offer the potential to revolutionize personalized medicine by integrating diverse data types, leading to more precise and effective treatment plans.</w:t>
      </w:r>
    </w:p>
    <w:p w14:paraId="6AA8BF8C" w14:textId="77777777" w:rsidR="007C41CB" w:rsidRDefault="007C41CB" w:rsidP="007C41CB">
      <w:r w:rsidRPr="007C41CB">
        <w:rPr>
          <w:b/>
          <w:bCs/>
        </w:rPr>
        <w:t>Threats:</w:t>
      </w:r>
      <w:r w:rsidRPr="007C41CB">
        <w:t xml:space="preserve"> Despite these opportunities, several challenges must be addressed. Data privacy is a significant concern, particularly given the sensitive nature of health information. Additionally, the complexity of integrating AI systems into healthcare workflows poses a barrier to widespread adoption. The risk of bias in AI models, which can lead to disparities in care, also needs to be carefully managed.</w:t>
      </w:r>
    </w:p>
    <w:p w14:paraId="7B65EAD9" w14:textId="77777777" w:rsidR="007C41CB" w:rsidRPr="007C41CB" w:rsidRDefault="007C41CB" w:rsidP="007C41CB"/>
    <w:p w14:paraId="66C960FC" w14:textId="77777777" w:rsidR="007C41CB" w:rsidRPr="007C41CB" w:rsidRDefault="007C41CB" w:rsidP="007C41CB">
      <w:pPr>
        <w:rPr>
          <w:b/>
          <w:bCs/>
        </w:rPr>
      </w:pPr>
      <w:r w:rsidRPr="007C41CB">
        <w:rPr>
          <w:b/>
          <w:bCs/>
        </w:rPr>
        <w:t>Strategic Recommendations for Cotiviti</w:t>
      </w:r>
    </w:p>
    <w:p w14:paraId="569A83E7" w14:textId="77777777" w:rsidR="007C41CB" w:rsidRDefault="007C41CB" w:rsidP="007C41CB">
      <w:r w:rsidRPr="007C41CB">
        <w:t xml:space="preserve">To capitalize on the potential of clinical NLP, Cotiviti should consider investing in the development of NLP-based solutions tailored to healthcare. This could involve creating tools for real-time data extraction from EHRs, which would help healthcare providers make faster and more accurate decisions. Additionally, Cotiviti could explore partnerships with leading healthcare institutions to co-develop and deploy LMMs for advanced diagnostic </w:t>
      </w:r>
      <w:r w:rsidRPr="007C41CB">
        <w:lastRenderedPageBreak/>
        <w:t>support. Ensuring that these solutions are developed with robust data security measures and ethical considerations will be critical to their success.</w:t>
      </w:r>
    </w:p>
    <w:p w14:paraId="6F988CCE" w14:textId="77777777" w:rsidR="007C41CB" w:rsidRPr="007C41CB" w:rsidRDefault="007C41CB" w:rsidP="007C41CB"/>
    <w:p w14:paraId="00C32564" w14:textId="77777777" w:rsidR="007C41CB" w:rsidRPr="007C41CB" w:rsidRDefault="007C41CB" w:rsidP="007C41CB">
      <w:pPr>
        <w:rPr>
          <w:b/>
          <w:bCs/>
        </w:rPr>
      </w:pPr>
      <w:r w:rsidRPr="007C41CB">
        <w:rPr>
          <w:b/>
          <w:bCs/>
        </w:rPr>
        <w:t>Conclusion</w:t>
      </w:r>
    </w:p>
    <w:p w14:paraId="597E1317" w14:textId="77777777" w:rsidR="007C41CB" w:rsidRDefault="007C41CB" w:rsidP="007C41CB">
      <w:r w:rsidRPr="007C41CB">
        <w:t>Clinical NLP and related technologies are poised to transform healthcare by enabling more efficient data processing, improving clinical decision-making, and enhancing patient care. By strategically investing in these technologies, Cotiviti can position itself as a leader in the healthcare industry, driving innovation and delivering value to its clients.</w:t>
      </w:r>
    </w:p>
    <w:p w14:paraId="2C464252" w14:textId="77777777" w:rsidR="007C41CB" w:rsidRDefault="007C41CB" w:rsidP="007C41CB"/>
    <w:p w14:paraId="79F15404" w14:textId="77777777" w:rsidR="007C41CB" w:rsidRPr="007C41CB" w:rsidRDefault="007C41CB" w:rsidP="007C41CB">
      <w:pPr>
        <w:rPr>
          <w:b/>
          <w:bCs/>
        </w:rPr>
      </w:pPr>
      <w:r w:rsidRPr="007C41CB">
        <w:rPr>
          <w:b/>
          <w:bCs/>
        </w:rPr>
        <w:t>Bibliography</w:t>
      </w:r>
    </w:p>
    <w:p w14:paraId="3A31235A" w14:textId="77777777" w:rsidR="007C41CB" w:rsidRPr="007C41CB" w:rsidRDefault="007C41CB" w:rsidP="007C41CB">
      <w:r w:rsidRPr="007C41CB">
        <w:t xml:space="preserve">Brown, T. B., Mann, B., Ryder, N., Subbiah, M., Kaplan, J., Dhariwal, P., ... &amp; Amodei, D. (2020). Language models are few-shot learners. </w:t>
      </w:r>
      <w:proofErr w:type="spellStart"/>
      <w:r w:rsidRPr="007C41CB">
        <w:rPr>
          <w:i/>
          <w:iCs/>
        </w:rPr>
        <w:t>arXiv</w:t>
      </w:r>
      <w:proofErr w:type="spellEnd"/>
      <w:r w:rsidRPr="007C41CB">
        <w:rPr>
          <w:i/>
          <w:iCs/>
        </w:rPr>
        <w:t xml:space="preserve"> preprint arXiv:2005.14165</w:t>
      </w:r>
      <w:r w:rsidRPr="007C41CB">
        <w:t>.</w:t>
      </w:r>
    </w:p>
    <w:p w14:paraId="0A25FDF4" w14:textId="77777777" w:rsidR="007C41CB" w:rsidRPr="007C41CB" w:rsidRDefault="007C41CB" w:rsidP="007C41CB">
      <w:r w:rsidRPr="007C41CB">
        <w:t xml:space="preserve">Esteva, A., Chou, K., Yeung, S., Naik, N., Madani, A., </w:t>
      </w:r>
      <w:proofErr w:type="spellStart"/>
      <w:r w:rsidRPr="007C41CB">
        <w:t>Mottaghi</w:t>
      </w:r>
      <w:proofErr w:type="spellEnd"/>
      <w:r w:rsidRPr="007C41CB">
        <w:t xml:space="preserve">, A., ... &amp; Topol, E. J. (2021). Deep learning-enabled medical computer vision. </w:t>
      </w:r>
      <w:r w:rsidRPr="007C41CB">
        <w:rPr>
          <w:i/>
          <w:iCs/>
        </w:rPr>
        <w:t>NPJ Digital Medicine, 4</w:t>
      </w:r>
      <w:r w:rsidRPr="007C41CB">
        <w:t>(1), 1-9. https://doi.org/10.1038/s41746-021-00413-9</w:t>
      </w:r>
    </w:p>
    <w:p w14:paraId="6E8C2D57" w14:textId="77777777" w:rsidR="007C41CB" w:rsidRPr="007C41CB" w:rsidRDefault="007C41CB" w:rsidP="007C41CB">
      <w:r w:rsidRPr="007C41CB">
        <w:t xml:space="preserve">Johnson, A. E. W., Pollard, T. J., Shen, L., Lehman, L. H., Feng, M., Ghassemi, M., ... &amp; Moody, G. B. (2016). MIMIC-III, a freely accessible critical care database. </w:t>
      </w:r>
      <w:r w:rsidRPr="007C41CB">
        <w:rPr>
          <w:i/>
          <w:iCs/>
        </w:rPr>
        <w:t>Scientific Data, 3</w:t>
      </w:r>
      <w:r w:rsidRPr="007C41CB">
        <w:t>(1), 160035. https://doi.org/10.1038/sdata.2016.35</w:t>
      </w:r>
    </w:p>
    <w:p w14:paraId="12B4492F" w14:textId="77777777" w:rsidR="007C41CB" w:rsidRPr="007C41CB" w:rsidRDefault="007C41CB" w:rsidP="007C41CB">
      <w:r w:rsidRPr="007C41CB">
        <w:t xml:space="preserve">Lee, J., Yoon, W., Kim, S., Kim, D., Kim, S., &amp; So, C. H. (2020). </w:t>
      </w:r>
      <w:proofErr w:type="spellStart"/>
      <w:r w:rsidRPr="007C41CB">
        <w:t>BioBERT</w:t>
      </w:r>
      <w:proofErr w:type="spellEnd"/>
      <w:r w:rsidRPr="007C41CB">
        <w:t xml:space="preserve">: a pre-trained biomedical language representation model for biomedical text mining. </w:t>
      </w:r>
      <w:r w:rsidRPr="007C41CB">
        <w:rPr>
          <w:i/>
          <w:iCs/>
        </w:rPr>
        <w:t>Bioinformatics, 36</w:t>
      </w:r>
      <w:r w:rsidRPr="007C41CB">
        <w:t>(4), 1234-1240. https://doi.org/10.1093/bioinformatics/btz682</w:t>
      </w:r>
    </w:p>
    <w:p w14:paraId="29685D2D" w14:textId="77777777" w:rsidR="007C41CB" w:rsidRPr="007C41CB" w:rsidRDefault="007C41CB" w:rsidP="007C41CB">
      <w:r w:rsidRPr="007C41CB">
        <w:t xml:space="preserve">Liu, Y., Ott, M., Goyal, N., Du, J., Joshi, M., Chen, D., ... &amp; Stoyanov, V. (2019). </w:t>
      </w:r>
      <w:proofErr w:type="spellStart"/>
      <w:r w:rsidRPr="007C41CB">
        <w:t>RoBERTa</w:t>
      </w:r>
      <w:proofErr w:type="spellEnd"/>
      <w:r w:rsidRPr="007C41CB">
        <w:t xml:space="preserve">: A robustly optimized BERT pretraining approach. </w:t>
      </w:r>
      <w:proofErr w:type="spellStart"/>
      <w:r w:rsidRPr="007C41CB">
        <w:rPr>
          <w:i/>
          <w:iCs/>
        </w:rPr>
        <w:t>arXiv</w:t>
      </w:r>
      <w:proofErr w:type="spellEnd"/>
      <w:r w:rsidRPr="007C41CB">
        <w:rPr>
          <w:i/>
          <w:iCs/>
        </w:rPr>
        <w:t xml:space="preserve"> preprint arXiv:1907.11692</w:t>
      </w:r>
      <w:r w:rsidRPr="007C41CB">
        <w:t>.</w:t>
      </w:r>
    </w:p>
    <w:p w14:paraId="23CB5DAB" w14:textId="77777777" w:rsidR="007C41CB" w:rsidRPr="007C41CB" w:rsidRDefault="007C41CB" w:rsidP="007C41CB">
      <w:r w:rsidRPr="007C41CB">
        <w:t xml:space="preserve">Topol, E. (2019). High-performance medicine: the convergence of human and artificial intelligence. </w:t>
      </w:r>
      <w:r w:rsidRPr="007C41CB">
        <w:rPr>
          <w:i/>
          <w:iCs/>
        </w:rPr>
        <w:t>Nature Medicine, 25</w:t>
      </w:r>
      <w:r w:rsidRPr="007C41CB">
        <w:t>(1), 44-56. https://doi.org/10.1038/s41591-018-0300-7</w:t>
      </w:r>
    </w:p>
    <w:p w14:paraId="09FE4D79" w14:textId="77777777" w:rsidR="007C41CB" w:rsidRPr="007C41CB" w:rsidRDefault="007C41CB" w:rsidP="007C41CB"/>
    <w:p w14:paraId="3B506697" w14:textId="5614C548" w:rsidR="00E2014B" w:rsidRDefault="00E2014B"/>
    <w:sectPr w:rsidR="00E2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4B"/>
    <w:rsid w:val="007C41CB"/>
    <w:rsid w:val="00E07755"/>
    <w:rsid w:val="00E2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84D6"/>
  <w15:chartTrackingRefBased/>
  <w15:docId w15:val="{48E6EB13-6118-4400-BD80-B3376219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14B"/>
    <w:rPr>
      <w:rFonts w:eastAsiaTheme="majorEastAsia" w:cstheme="majorBidi"/>
      <w:color w:val="272727" w:themeColor="text1" w:themeTint="D8"/>
    </w:rPr>
  </w:style>
  <w:style w:type="paragraph" w:styleId="Title">
    <w:name w:val="Title"/>
    <w:basedOn w:val="Normal"/>
    <w:next w:val="Normal"/>
    <w:link w:val="TitleChar"/>
    <w:uiPriority w:val="10"/>
    <w:qFormat/>
    <w:rsid w:val="00E20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14B"/>
    <w:pPr>
      <w:spacing w:before="160"/>
      <w:jc w:val="center"/>
    </w:pPr>
    <w:rPr>
      <w:i/>
      <w:iCs/>
      <w:color w:val="404040" w:themeColor="text1" w:themeTint="BF"/>
    </w:rPr>
  </w:style>
  <w:style w:type="character" w:customStyle="1" w:styleId="QuoteChar">
    <w:name w:val="Quote Char"/>
    <w:basedOn w:val="DefaultParagraphFont"/>
    <w:link w:val="Quote"/>
    <w:uiPriority w:val="29"/>
    <w:rsid w:val="00E2014B"/>
    <w:rPr>
      <w:i/>
      <w:iCs/>
      <w:color w:val="404040" w:themeColor="text1" w:themeTint="BF"/>
    </w:rPr>
  </w:style>
  <w:style w:type="paragraph" w:styleId="ListParagraph">
    <w:name w:val="List Paragraph"/>
    <w:basedOn w:val="Normal"/>
    <w:uiPriority w:val="34"/>
    <w:qFormat/>
    <w:rsid w:val="00E2014B"/>
    <w:pPr>
      <w:ind w:left="720"/>
      <w:contextualSpacing/>
    </w:pPr>
  </w:style>
  <w:style w:type="character" w:styleId="IntenseEmphasis">
    <w:name w:val="Intense Emphasis"/>
    <w:basedOn w:val="DefaultParagraphFont"/>
    <w:uiPriority w:val="21"/>
    <w:qFormat/>
    <w:rsid w:val="00E2014B"/>
    <w:rPr>
      <w:i/>
      <w:iCs/>
      <w:color w:val="0F4761" w:themeColor="accent1" w:themeShade="BF"/>
    </w:rPr>
  </w:style>
  <w:style w:type="paragraph" w:styleId="IntenseQuote">
    <w:name w:val="Intense Quote"/>
    <w:basedOn w:val="Normal"/>
    <w:next w:val="Normal"/>
    <w:link w:val="IntenseQuoteChar"/>
    <w:uiPriority w:val="30"/>
    <w:qFormat/>
    <w:rsid w:val="00E20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14B"/>
    <w:rPr>
      <w:i/>
      <w:iCs/>
      <w:color w:val="0F4761" w:themeColor="accent1" w:themeShade="BF"/>
    </w:rPr>
  </w:style>
  <w:style w:type="character" w:styleId="IntenseReference">
    <w:name w:val="Intense Reference"/>
    <w:basedOn w:val="DefaultParagraphFont"/>
    <w:uiPriority w:val="32"/>
    <w:qFormat/>
    <w:rsid w:val="00E20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449266">
      <w:bodyDiv w:val="1"/>
      <w:marLeft w:val="0"/>
      <w:marRight w:val="0"/>
      <w:marTop w:val="0"/>
      <w:marBottom w:val="0"/>
      <w:divBdr>
        <w:top w:val="none" w:sz="0" w:space="0" w:color="auto"/>
        <w:left w:val="none" w:sz="0" w:space="0" w:color="auto"/>
        <w:bottom w:val="none" w:sz="0" w:space="0" w:color="auto"/>
        <w:right w:val="none" w:sz="0" w:space="0" w:color="auto"/>
      </w:divBdr>
    </w:div>
    <w:div w:id="418066774">
      <w:bodyDiv w:val="1"/>
      <w:marLeft w:val="0"/>
      <w:marRight w:val="0"/>
      <w:marTop w:val="0"/>
      <w:marBottom w:val="0"/>
      <w:divBdr>
        <w:top w:val="none" w:sz="0" w:space="0" w:color="auto"/>
        <w:left w:val="none" w:sz="0" w:space="0" w:color="auto"/>
        <w:bottom w:val="none" w:sz="0" w:space="0" w:color="auto"/>
        <w:right w:val="none" w:sz="0" w:space="0" w:color="auto"/>
      </w:divBdr>
    </w:div>
    <w:div w:id="1062096978">
      <w:bodyDiv w:val="1"/>
      <w:marLeft w:val="0"/>
      <w:marRight w:val="0"/>
      <w:marTop w:val="0"/>
      <w:marBottom w:val="0"/>
      <w:divBdr>
        <w:top w:val="none" w:sz="0" w:space="0" w:color="auto"/>
        <w:left w:val="none" w:sz="0" w:space="0" w:color="auto"/>
        <w:bottom w:val="none" w:sz="0" w:space="0" w:color="auto"/>
        <w:right w:val="none" w:sz="0" w:space="0" w:color="auto"/>
      </w:divBdr>
    </w:div>
    <w:div w:id="21013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Chandwani</dc:creator>
  <cp:keywords/>
  <dc:description/>
  <cp:lastModifiedBy>Yashkumar Chandwani</cp:lastModifiedBy>
  <cp:revision>2</cp:revision>
  <dcterms:created xsi:type="dcterms:W3CDTF">2024-08-15T04:44:00Z</dcterms:created>
  <dcterms:modified xsi:type="dcterms:W3CDTF">2024-08-15T04:47:00Z</dcterms:modified>
</cp:coreProperties>
</file>