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6312A" w14:textId="77777777" w:rsidR="003B6F3D" w:rsidRDefault="00000000">
      <w:pPr>
        <w:spacing w:after="200"/>
        <w:jc w:val="center"/>
      </w:pPr>
      <w:r>
        <w:rPr>
          <w:b/>
          <w:bCs/>
          <w:sz w:val="32"/>
          <w:szCs w:val="32"/>
        </w:rPr>
        <w:t>TridentSynthRL: Hierarchical Multi-Agent Monte Carlo Tree Search</w:t>
      </w:r>
    </w:p>
    <w:p w14:paraId="4908ECED" w14:textId="77777777" w:rsidR="003B6F3D" w:rsidRDefault="00000000">
      <w:pPr>
        <w:spacing w:after="200"/>
        <w:jc w:val="center"/>
      </w:pPr>
      <w:r>
        <w:rPr>
          <w:b/>
          <w:bCs/>
          <w:sz w:val="32"/>
          <w:szCs w:val="32"/>
        </w:rPr>
        <w:t>for Retrosynthesis with Chemoenzymatic Reactions and</w:t>
      </w:r>
    </w:p>
    <w:p w14:paraId="767623AD" w14:textId="77777777" w:rsidR="003B6F3D" w:rsidRDefault="00000000">
      <w:pPr>
        <w:spacing w:after="400"/>
        <w:jc w:val="center"/>
      </w:pPr>
      <w:r>
        <w:rPr>
          <w:b/>
          <w:bCs/>
          <w:sz w:val="32"/>
          <w:szCs w:val="32"/>
        </w:rPr>
        <w:t>Type I Polyketide Synthases</w:t>
      </w:r>
    </w:p>
    <w:p w14:paraId="2D438D0C" w14:textId="77777777" w:rsidR="003B6F3D" w:rsidRDefault="00000000">
      <w:pPr>
        <w:spacing w:after="200"/>
        <w:jc w:val="center"/>
      </w:pPr>
      <w:r>
        <w:t>Yash Chainani et al.</w:t>
      </w:r>
    </w:p>
    <w:p w14:paraId="1386E01A" w14:textId="77777777" w:rsidR="003B6F3D" w:rsidRDefault="00000000">
      <w:pPr>
        <w:spacing w:after="600"/>
        <w:jc w:val="center"/>
      </w:pPr>
      <w:r>
        <w:rPr>
          <w:i/>
          <w:iCs/>
        </w:rPr>
        <w:t>[Author affiliations to be added]</w:t>
      </w:r>
    </w:p>
    <w:p w14:paraId="384FF7A6" w14:textId="77777777" w:rsidR="003B6F3D" w:rsidRDefault="00000000">
      <w:pPr>
        <w:pStyle w:val="Heading1"/>
      </w:pPr>
      <w:r>
        <w:t>Abstract</w:t>
      </w:r>
    </w:p>
    <w:p w14:paraId="6EDC699A" w14:textId="77777777" w:rsidR="003B6F3D" w:rsidRDefault="00000000">
      <w:pPr>
        <w:spacing w:after="120" w:line="360" w:lineRule="auto"/>
      </w:pPr>
      <w:r>
        <w:t xml:space="preserve">Retrosynthetic planning tools have traditionally relied on either organic chemistry or enzymatic catalysis to decompose target molecules into simpler precursors, leaving a third powerful synthesis modality—multifunctional polyketide synthases (PKSs)—largely untapped. Here we present TridentSynthRL, a hierarchical multi-agent reinforcement learning framework grounded in Monte Carlo tree search (MCTS) that unifies three complementary synthesis routes—synthetic organic chemistry, monofunctional enzymatic catalysis, and type I PKS biosynthesis—within a single retrosynthetic search. A chemoenzymatic MCTS agent retrosynthetically fragments a target molecule using 3,990 reaction templates (386 chemical, 3,604 enzymatic). When the search encounters an intermediate identified as a polyketide, a specialized PKS MCTS agent is spawned to verify forward synthesizability by assembling chimeric PKS modules from acyl-CoA precursors. To detect polyketide intermediates, we trained a supervised graph neural network classifier on approximately one million synthetically generated polyketides and two million structurally similar chemoenzymatically modified negatives. Pathway feasibility is assessed through DORA-XGB enzymatic feasibility scoring and Benson group additivity thermodynamic estimates. We deploy TridentSynthRL on the kavalactone family from </w:t>
      </w:r>
      <w:r>
        <w:rPr>
          <w:i/>
          <w:iCs/>
        </w:rPr>
        <w:t>Piper methysticum</w:t>
      </w:r>
      <w:r>
        <w:t>, successfully designing retrosynthetic pathways to all 15 family members, each reachable via at least one PKS-involving route. We further demonstrate a more efficient pathway to the natural product cryptofolione using a 2-module PKS coupled with ring-opening metathesis, compared to a previously proposed 5-module design. TridentSynthRL is, to our knowledge, the first retrosynthesis planner to integrate chemoenzymatic reactions with PKS biosynthesis in a unified search framework.</w:t>
      </w:r>
    </w:p>
    <w:p w14:paraId="18CC3208" w14:textId="77777777" w:rsidR="003B6F3D" w:rsidRDefault="00000000">
      <w:r>
        <w:lastRenderedPageBreak/>
        <w:br w:type="page"/>
      </w:r>
    </w:p>
    <w:p w14:paraId="6CA824C3" w14:textId="77777777" w:rsidR="003B6F3D" w:rsidRDefault="00000000">
      <w:pPr>
        <w:pStyle w:val="Heading1"/>
      </w:pPr>
      <w:r>
        <w:lastRenderedPageBreak/>
        <w:t>Introduction</w:t>
      </w:r>
    </w:p>
    <w:p w14:paraId="09972E1A" w14:textId="4F833EA8" w:rsidR="003B6F3D" w:rsidRDefault="00000000">
      <w:pPr>
        <w:spacing w:after="120" w:line="360" w:lineRule="auto"/>
      </w:pPr>
      <w:r>
        <w:t xml:space="preserve">The scalable synthesis of structurally complex molecules at high titers, rates, and yields is a foundational problem in chemistry, biology, and manufacturing. Natural products and their derivatives are particularly valuable manufacturing targets given their widespread use as small-molecule therapeutics, agrochemicals, and commodity chemicals. Yet their structural diversity and precise stereochemistry make large-scale manufacturing exceptionally difficult. </w:t>
      </w:r>
      <w:r w:rsidR="0058785A">
        <w:t>Lcap Ste</w:t>
      </w:r>
      <w:r>
        <w:t>Retrosynthesis—the systematic decomposition of a target molecule into simpler precursors—has long provided a strategic framework for designing synthetic pathways to such molecules. Over the past several years, computational retrosynthesis tools have advanced rapidly, propelled by curated reaction templates, expert heuristics, and machine learning. Template-based methods apply explicit reaction rules (encoded as SMARTS patterns) recursively to deconstruct targets, while template-free approaches use transformer architectures to learn implicit chemical transformations from reaction corpora. Monte Carlo tree search (MCTS) has emerged as a particularly effective planning strategy, balancing exploration of novel routes with exploitation of promising intermediates. However, virtually all existing retrosynthesis tools operate exclusively within the domain of synthetic organic chemistry, leaving biological catalysis unexplored.</w:t>
      </w:r>
    </w:p>
    <w:p w14:paraId="07D04615" w14:textId="77777777" w:rsidR="003B6F3D" w:rsidRDefault="00000000">
      <w:pPr>
        <w:spacing w:after="120" w:line="360" w:lineRule="auto"/>
      </w:pPr>
      <w:r>
        <w:t xml:space="preserve">This restriction overlooks two complementary catalytic modalities whose strengths directly address the limitations of chemistry alone (Figure 1). Chemical reactions offer breadth and scalability, but certain transformations require harsh conditions—high temperatures and pressures—and frequently yield racemic mixtures that necessitate costly enantioselective separations. Monofunctional enzymes (~30–40 kDa), such as alcohol dehydrogenases, transaminases, methyltransferases, and monooxygenases, complement chemistry by catalyzing reactions with remarkable regio- and stereoselectivity under mild, aqueous conditions, often producing the correct stereoisomer directly. Meanwhile, multifunctional type I polyketide synthases (PKSs, ~2,000 kDa) offer a third, largely untapped modality: these modular megaenzymes iteratively condense acyl-coenzyme A (acyl-CoA) substrates to construct elongated carbon backbones with precise stereochemical control, acting as programmable molecular assembly lines. We hypothesize that coupling all three modalities—synthetic </w:t>
      </w:r>
      <w:r>
        <w:lastRenderedPageBreak/>
        <w:t>chemistry, monofunctional enzymes, and multifunctional PKSs—within a unified retrosynthetic search can access a wider chemical space than any single route alone.</w:t>
      </w:r>
    </w:p>
    <w:p w14:paraId="5C1D54AA" w14:textId="77777777" w:rsidR="003B6F3D" w:rsidRDefault="00000000">
      <w:pPr>
        <w:spacing w:after="120" w:line="360" w:lineRule="auto"/>
      </w:pPr>
      <w:r>
        <w:t xml:space="preserve">Recognizing the complementary strengths of chemistry and enzymatic catalysis, several retrosynthesis tools have begun integrating both modalities. Levin et al. introduced a dual-network framework combining separate chemical and enzymatic retrosynthesis models, while more recent approaches have further merged chemoenzymatic reasoning. DORAnet is a reaction network that applies 386 synthetic and 3,604 enzymatic reaction templates for chemoenzymatic retrosynthesis. RetroTide is a forward PKS design tool that combinatorially assembles chimeric type I PKS modules </w:t>
      </w:r>
      <w:r>
        <w:rPr>
          <w:i/>
          <w:iCs/>
        </w:rPr>
        <w:t>in silico</w:t>
      </w:r>
      <w:r>
        <w:t xml:space="preserve"> from acyl-CoA precursors. DORA-XGB is a gradient-boosted classifier we previously developed for predicting enzymatic reaction feasibility. While these tools existed independently, no prior framework integrated retrosynthetic fragmentation via both chemical and enzymatic reactions with forward biosynthetic verification via PKS assembly within a single search.</w:t>
      </w:r>
    </w:p>
    <w:p w14:paraId="6C45F112" w14:textId="77777777" w:rsidR="003B6F3D" w:rsidRDefault="00000000">
      <w:pPr>
        <w:spacing w:after="120" w:line="360" w:lineRule="auto"/>
      </w:pPr>
      <w:r>
        <w:t>Here we present TridentSynthRL, a hierarchical multi-agent Monte Carlo tree search framework for retrosynthetic planning that unifies synthetic chemistry, monofunctional enzymatic catalysis, and type I polyketide synthase biosynthesis within a single search (Figure 2). Our key contributions are: (</w:t>
      </w:r>
      <w:proofErr w:type="spellStart"/>
      <w:r>
        <w:t>i</w:t>
      </w:r>
      <w:proofErr w:type="spellEnd"/>
      <w:r>
        <w:t xml:space="preserve">) formulating chemoenzymatic retrosynthesis as a Markov decision process (MDP) solved by MCTS with 3,990 reaction templates; (ii) a hierarchical two-agent architecture where a retrosynthetic chemoenzymatic agent spawns forward-synthesis PKS agents when polyketide intermediates are detected during expansion; (iii) a supervised graph neural network (GNN) trained on ~1 million synthetically generated polyketides and ~2 million chemoenzymatically modified hard negatives to detect PKS-synthesizable intermediates; and (iv) thermodynamic and enzymatic feasibility scoring via Benson group additivity and DORA-XGB to bias the search toward executable pathways. We demonstrate TridentSynthRL by designing retrosynthetic pathways to all 15 members of the kavalactone family from </w:t>
      </w:r>
      <w:r>
        <w:rPr>
          <w:i/>
          <w:iCs/>
        </w:rPr>
        <w:t>Piper methysticum</w:t>
      </w:r>
      <w:r>
        <w:t>, each reachable via at least one PKS-involving route, and by proposing a more efficient pathway to cryptofolione using a 2-module PKS compared to a previously published 5-module design.</w:t>
      </w:r>
    </w:p>
    <w:p w14:paraId="523E2E48" w14:textId="77777777" w:rsidR="003B6F3D" w:rsidRDefault="00000000">
      <w:r>
        <w:br w:type="page"/>
      </w:r>
    </w:p>
    <w:p w14:paraId="36826BD4" w14:textId="77777777" w:rsidR="003B6F3D" w:rsidRDefault="00000000">
      <w:pPr>
        <w:pStyle w:val="Heading1"/>
      </w:pPr>
      <w:r>
        <w:lastRenderedPageBreak/>
        <w:t>Results and Discussion</w:t>
      </w:r>
    </w:p>
    <w:p w14:paraId="446F7E87" w14:textId="77777777" w:rsidR="003B6F3D" w:rsidRDefault="00000000">
      <w:pPr>
        <w:pStyle w:val="Heading2"/>
      </w:pPr>
      <w:r>
        <w:t>Formulating Chemoenzymatic Retrosynthesis as a Markov Decision Process</w:t>
      </w:r>
    </w:p>
    <w:p w14:paraId="0455EB12" w14:textId="77777777" w:rsidR="003B6F3D" w:rsidRDefault="00000000">
      <w:pPr>
        <w:spacing w:after="120" w:line="360" w:lineRule="auto"/>
      </w:pPr>
      <w:r>
        <w:t>We formulated the chemoenzymatic retrosynthesis problem as a Markov decision process (MDP) and solved it using Monte Carlo tree search (MCTS). In this formulation, each node in the search tree represents a single molecular compound, with the root node corresponding to the target molecule. Child nodes are retrosynthetic precursors generated by applying reaction templates in the reverse direction, such that the tree grows from the target toward simpler building blocks (Figure 2).</w:t>
      </w:r>
    </w:p>
    <w:p w14:paraId="6F27C5D6" w14:textId="77777777" w:rsidR="003B6F3D" w:rsidRDefault="00000000">
      <w:pPr>
        <w:spacing w:after="120" w:line="360" w:lineRule="auto"/>
      </w:pPr>
      <w:r>
        <w:rPr>
          <w:b/>
          <w:bCs/>
        </w:rPr>
        <w:t xml:space="preserve">State space. </w:t>
      </w:r>
      <w:r>
        <w:t>Each state corresponds to a molecular fragment represented as an RDKit Mol object with canonical SMILES. The root state is the target molecule, and subsequent states are progressively simpler precursors generated through retrosynthetic fragmentation. The tree therefore encodes the full retrosynthetic genealogy of the target.</w:t>
      </w:r>
    </w:p>
    <w:p w14:paraId="63DD9AB3" w14:textId="77777777" w:rsidR="003B6F3D" w:rsidRDefault="00000000">
      <w:pPr>
        <w:spacing w:after="120" w:line="360" w:lineRule="auto"/>
      </w:pPr>
      <w:r>
        <w:rPr>
          <w:b/>
          <w:bCs/>
        </w:rPr>
        <w:t xml:space="preserve">Action space. </w:t>
      </w:r>
      <w:r>
        <w:t xml:space="preserve">The action space comprises a total of 3,990 reaction templates drawn from the DORAnet reaction network: 386 templates representing synthetic organic chemistry transformations (e.g., </w:t>
      </w:r>
      <w:proofErr w:type="spellStart"/>
      <w:r>
        <w:t>esterifications</w:t>
      </w:r>
      <w:proofErr w:type="spellEnd"/>
      <w:r>
        <w:t>, Suzuki couplings, ring-opening metatheses, dehydrohalogenations) and 3,604 templates representing enzymatic catalysis (e.g., decarboxylases, alcohol dehydrogenases, methyltransferases, monooxygenases). Each action applies one template retrosynthetically to the selected node, generating one or more precursor fragments. Both chemical and enzymatic templates are applied simultaneously during each expansion, enabling the agent to reason jointly across synthesis modalities.</w:t>
      </w:r>
    </w:p>
    <w:p w14:paraId="4784BDE3" w14:textId="77777777" w:rsidR="003B6F3D" w:rsidRDefault="00000000">
      <w:pPr>
        <w:spacing w:after="120" w:line="360" w:lineRule="auto"/>
      </w:pPr>
      <w:r>
        <w:rPr>
          <w:b/>
          <w:bCs/>
        </w:rPr>
        <w:t xml:space="preserve">Terminal states. </w:t>
      </w:r>
      <w:r>
        <w:t>A node is classified as terminal when it matches one of three categories of available starting materials: (a) a commercial chemical building block from the Enamine catalog (~278,000 compounds), (b) a biological building block from a curated set of ~334 common metabolites drawn from BRENDA, KEGG, and MetaCyc across 10 model microorganisms, or (c) a polyketide intermediate detected by the trained GNN classifier (see below). Prohibited or controlled substances (~652 hazardous compounds) are pruned immediately upon detection and removed from the search tree. Fragments exceeding 1.5× the target molecular weight, as well as known cofactors, are also filtered during post-expansion processing.</w:t>
      </w:r>
    </w:p>
    <w:p w14:paraId="4A7586C7" w14:textId="77777777" w:rsidR="003B6F3D" w:rsidRDefault="00000000">
      <w:pPr>
        <w:spacing w:after="120" w:line="360" w:lineRule="auto"/>
      </w:pPr>
      <w:r>
        <w:rPr>
          <w:b/>
          <w:bCs/>
        </w:rPr>
        <w:lastRenderedPageBreak/>
        <w:t xml:space="preserve">Reward function. </w:t>
      </w:r>
      <w:r>
        <w:t xml:space="preserve">TridentSynthRL employs a configurable, modular reward architecture that separates rollout policies (governing simulation from leaf nodes) from reward policies (governing immediate scoring). The default configuration assigns a terminal reward of +1.0 for chemical building blocks, biological building blocks, and verified polyketides. For non-terminal intermediates, a rescaled synthetic accessibility (SA) score provides a dense reward signal that guides the search toward synthetically tractable intermediates, even before terminal states are reached. Pathway-level thermodynamic feasibility scaling further modulates rewards by </w:t>
      </w:r>
      <w:proofErr w:type="spellStart"/>
      <w:r>
        <w:t>downweighting</w:t>
      </w:r>
      <w:proofErr w:type="spellEnd"/>
      <w:r>
        <w:t xml:space="preserve"> pathways containing enthalpically unfavorable steps. This scaling uses DORA-XGB to score enzymatic reactions and Benson group additivity (via pathermo) to score synthetic reactions, with individual step scores aggregated via the geometric mean across the pathway (see Methods). Importantly, the policy architecture is modular: users can substitute or compose alternative reward functions to suit different design objectives.</w:t>
      </w:r>
    </w:p>
    <w:p w14:paraId="19C06DEA" w14:textId="77777777" w:rsidR="003B6F3D" w:rsidRDefault="00000000">
      <w:pPr>
        <w:spacing w:after="120" w:line="360" w:lineRule="auto"/>
      </w:pPr>
      <w:r>
        <w:rPr>
          <w:b/>
          <w:bCs/>
        </w:rPr>
        <w:t xml:space="preserve">MCTS algorithm. </w:t>
      </w:r>
      <w:r>
        <w:t xml:space="preserve">The search proceeds through three iterative phases (Figure 2). In the </w:t>
      </w:r>
      <w:r>
        <w:rPr>
          <w:b/>
          <w:bCs/>
          <w:i/>
          <w:iCs/>
        </w:rPr>
        <w:t>selection</w:t>
      </w:r>
      <w:r>
        <w:t xml:space="preserve"> phase, the tree is traversed from the root using the upper confidence bound (UCB1) policy, which balances exploitation of high-value nodes with exploration of less-visited ones:</w:t>
      </w:r>
    </w:p>
    <w:p w14:paraId="064579E3" w14:textId="77777777" w:rsidR="003B6F3D" w:rsidRDefault="00000000">
      <w:pPr>
        <w:spacing w:before="200" w:after="200"/>
        <w:jc w:val="center"/>
      </w:pPr>
      <w:r>
        <w:rPr>
          <w:i/>
          <w:iCs/>
        </w:rPr>
        <w:t>UCB1(n) = Q(n)/N(n) + √(2 ln N(parent(n)) / N(n))</w:t>
      </w:r>
    </w:p>
    <w:p w14:paraId="32619EB5" w14:textId="77777777" w:rsidR="003B6F3D" w:rsidRDefault="00000000">
      <w:pPr>
        <w:spacing w:after="120" w:line="360" w:lineRule="auto"/>
      </w:pPr>
      <w:r>
        <w:t xml:space="preserve">where </w:t>
      </w:r>
      <w:r>
        <w:rPr>
          <w:i/>
          <w:iCs/>
        </w:rPr>
        <w:t>Q(n)</w:t>
      </w:r>
      <w:r>
        <w:t xml:space="preserve"> is the cumulative reward and </w:t>
      </w:r>
      <w:r>
        <w:rPr>
          <w:i/>
          <w:iCs/>
        </w:rPr>
        <w:t>N(n)</w:t>
      </w:r>
      <w:r>
        <w:t xml:space="preserve"> the visit count at node </w:t>
      </w:r>
      <w:r>
        <w:rPr>
          <w:i/>
          <w:iCs/>
        </w:rPr>
        <w:t>n</w:t>
      </w:r>
      <w:r>
        <w:t xml:space="preserve">. An optional depth-biased variant adds a bonus term </w:t>
      </w:r>
      <w:r>
        <w:rPr>
          <w:i/>
          <w:iCs/>
        </w:rPr>
        <w:t>α × depth</w:t>
      </w:r>
      <w:r>
        <w:t xml:space="preserve"> to encourage deeper exploration before exhaustive breadth-first search, which is particularly useful for discovering complete multi-step pathways within limited iterations. A frontier fallback mechanism maintains a max-heap of unexpanded non-terminal nodes, ensuring that iterations are not wasted when all children at a given tree level are terminal.</w:t>
      </w:r>
    </w:p>
    <w:p w14:paraId="661243CB" w14:textId="77777777" w:rsidR="003B6F3D" w:rsidRDefault="00000000">
      <w:pPr>
        <w:spacing w:after="120" w:line="360" w:lineRule="auto"/>
      </w:pPr>
      <w:r>
        <w:t xml:space="preserve">In the </w:t>
      </w:r>
      <w:r>
        <w:rPr>
          <w:b/>
          <w:bCs/>
          <w:i/>
          <w:iCs/>
        </w:rPr>
        <w:t>chemoenzymatic expansion</w:t>
      </w:r>
      <w:r>
        <w:t xml:space="preserve"> phase, the selected leaf node is expanded by applying all 3,990 reaction templates via DORAnet in the retrosynthetic direction. The resulting fragments are filtered by molecular weight, cofactor exclusion, and prohibited chemical lists, then optionally </w:t>
      </w:r>
      <w:proofErr w:type="spellStart"/>
      <w:r>
        <w:t>downselected</w:t>
      </w:r>
      <w:proofErr w:type="spellEnd"/>
      <w:r>
        <w:t xml:space="preserve"> by thermodynamic feasibility. A child node is created for each remaining precursor fragment, annotated with reaction metadata (SMARTS pattern, reaction name, provenance as enzymatic or synthetic, and feasibility scores).</w:t>
      </w:r>
    </w:p>
    <w:p w14:paraId="65BFABDE" w14:textId="77777777" w:rsidR="003B6F3D" w:rsidRDefault="00000000">
      <w:pPr>
        <w:spacing w:after="120" w:line="360" w:lineRule="auto"/>
      </w:pPr>
      <w:r>
        <w:t xml:space="preserve">In the </w:t>
      </w:r>
      <w:r>
        <w:rPr>
          <w:b/>
          <w:bCs/>
          <w:i/>
          <w:iCs/>
        </w:rPr>
        <w:t>update</w:t>
      </w:r>
      <w:r>
        <w:t xml:space="preserve"> phase, rewards are computed for newly created child nodes and backpropagated up the tree. If a child is a terminal state (building block), a terminal reward of +1.0 is assigned. Most </w:t>
      </w:r>
      <w:r>
        <w:lastRenderedPageBreak/>
        <w:t>crucially, if a child is identified as a polyketide—either by exact match against the PKS building block library or by inference via the trained GNN classifier—a separate MCTS agent specialized for PKS design is spawned to verify forward synthesizability (described in the next section). The PKS agent’s success or failure is returned as a reward to the chemoenzymatic agent, creating a hierarchical feedback loop between retrosynthetic fragmentation and forward biosynthetic verification. This hierarchical design ensures that proposed polyketide intermediates are not merely structurally plausible but actually constructible by a feasible PKS assembly line.</w:t>
      </w:r>
    </w:p>
    <w:p w14:paraId="05315DC9" w14:textId="77777777" w:rsidR="003B6F3D" w:rsidRDefault="00000000">
      <w:pPr>
        <w:spacing w:after="120" w:line="360" w:lineRule="auto"/>
      </w:pPr>
      <w:r>
        <w:t>To accelerate the computationally expensive DORAnet expansion step, TridentSynthRL supports asynchronous parallelization: expansion calls are offloaded to a ProcessPoolExecutor while selection, reward computation, and backpropagation remain on the main process. Virtual loss prevents redundant selection of in-flight nodes, enabling efficient use of multi-core architectures.</w:t>
      </w:r>
    </w:p>
    <w:p w14:paraId="51E79E57" w14:textId="77777777" w:rsidR="003B6F3D" w:rsidRDefault="00000000">
      <w:pPr>
        <w:pStyle w:val="Heading2"/>
      </w:pPr>
      <w:r>
        <w:t>Formulating Polyketide Synthase Design as a Markov Decision Process</w:t>
      </w:r>
    </w:p>
    <w:p w14:paraId="3DB263E5" w14:textId="77777777" w:rsidR="003B6F3D" w:rsidRDefault="00000000">
      <w:pPr>
        <w:spacing w:after="120" w:line="360" w:lineRule="auto"/>
      </w:pPr>
      <w:r>
        <w:t>When the chemoenzymatic agent encounters a fragment identified as a polyketide, a second MCTS agent is spawned that operates in the forward synthesis direction to design a chimeric type I PKS capable of producing that fragment from simple acyl-CoA precursors (Figure 2). Like the chemoenzymatic agent, this PKS agent is formulated as an MDP, but with fundamentally different state and action representations.</w:t>
      </w:r>
    </w:p>
    <w:p w14:paraId="7FAF1E6E" w14:textId="77777777" w:rsidR="003B6F3D" w:rsidRDefault="00000000">
      <w:pPr>
        <w:spacing w:after="120" w:line="360" w:lineRule="auto"/>
      </w:pPr>
      <w:r>
        <w:rPr>
          <w:b/>
          <w:bCs/>
        </w:rPr>
        <w:t xml:space="preserve">State space. </w:t>
      </w:r>
      <w:r>
        <w:t>Unlike the chemoenzymatic agent, where each node represents a single compound, each node in the PKS tree represents a complete chimeric PKS design at a particular stage of assembly. A node encodes the current set of modules—a loading module plus zero or more extension modules assembled so far—the domain architecture within each module, the starter unit (e.g., benzoyl-CoA, cinnamoyl-CoA) and extender units (e.g., malonyl-CoA, hydroxymalonyl-CoA), and the predicted PKS product at the current assembly stage, computed by RetroTide. The root node is empty (no design, no product), representing the starting point before any modules have been loaded.</w:t>
      </w:r>
    </w:p>
    <w:p w14:paraId="7C2F64C8" w14:textId="77777777" w:rsidR="003B6F3D" w:rsidRDefault="00000000">
      <w:pPr>
        <w:spacing w:after="120" w:line="360" w:lineRule="auto"/>
      </w:pPr>
      <w:r>
        <w:rPr>
          <w:b/>
          <w:bCs/>
        </w:rPr>
        <w:t xml:space="preserve">Action space. </w:t>
      </w:r>
      <w:r>
        <w:t xml:space="preserve">Each action adds a single extension module to the existing PKS design. The action space is defined by the Cartesian product of all possible module architectures </w:t>
      </w:r>
      <w:r>
        <w:rPr>
          <w:i/>
          <w:iCs/>
        </w:rPr>
        <w:t>M</w:t>
      </w:r>
      <w:r>
        <w:t xml:space="preserve"> and the set of available acyl-CoA extender units </w:t>
      </w:r>
      <w:r>
        <w:rPr>
          <w:i/>
          <w:iCs/>
        </w:rPr>
        <w:t>N</w:t>
      </w:r>
      <w:r>
        <w:t xml:space="preserve">. Each module comprises mandatory ketosynthase (KS), acyltransferase (AT), and acyl carrier protein (ACP) domains, with optional tailoring domains: </w:t>
      </w:r>
      <w:r>
        <w:lastRenderedPageBreak/>
        <w:t>ketoreductase (KR), which reduces a ketone to a hydroxyl; dehydratase (DH), which dehydrates the hydroxyl to a double bond; and enoylreductase (ER), which fully saturates the double bond. RetroTide generates up to 25 candidate designs per expansion round, ranked by maximum common substructure (MCS) similarity to the target fragment.</w:t>
      </w:r>
    </w:p>
    <w:p w14:paraId="413A5267" w14:textId="77777777" w:rsidR="003B6F3D" w:rsidRDefault="00000000">
      <w:pPr>
        <w:spacing w:after="120" w:line="360" w:lineRule="auto"/>
      </w:pPr>
      <w:r>
        <w:rPr>
          <w:b/>
          <w:bCs/>
        </w:rPr>
        <w:t xml:space="preserve">Termination and offloading. </w:t>
      </w:r>
      <w:r>
        <w:t xml:space="preserve">At any point during the assembly, the growing polyketide chain can be released from the PKS via a terminal thioesterase (TE) domain. TridentSynthRL evaluates two offloading mechanisms during simulation: thiolysis, which releases a free carboxylic acid (suitable for linear polyketides), and lactonization, which forms an intramolecular ester to produce </w:t>
      </w:r>
      <w:proofErr w:type="spellStart"/>
      <w:r>
        <w:t>macrolactone</w:t>
      </w:r>
      <w:proofErr w:type="spellEnd"/>
      <w:r>
        <w:t xml:space="preserve"> rings (critical for cyclic polyketides such as kavalactones). Both mechanisms are tested to determine whether the released product matches the target fragment.</w:t>
      </w:r>
    </w:p>
    <w:p w14:paraId="75781C18" w14:textId="77777777" w:rsidR="003B6F3D" w:rsidRDefault="00000000">
      <w:pPr>
        <w:spacing w:after="120" w:line="360" w:lineRule="auto"/>
      </w:pPr>
      <w:r>
        <w:rPr>
          <w:b/>
          <w:bCs/>
        </w:rPr>
        <w:t xml:space="preserve">Reward function. </w:t>
      </w:r>
      <w:r>
        <w:t>The PKS agent uses a dual reward signal. A sparse reward of +1.0 is assigned when the released PKS product (after either thiolysis or lactonization) is exactly graph-isomorphic to the target fragment. When no exact match is obtained, a dense reward based on MCS similarity provides a continuous signal that guides exploration toward structurally promising designs.</w:t>
      </w:r>
    </w:p>
    <w:p w14:paraId="1BDACD64" w14:textId="77777777" w:rsidR="003B6F3D" w:rsidRDefault="00000000">
      <w:pPr>
        <w:spacing w:after="120" w:line="360" w:lineRule="auto"/>
      </w:pPr>
      <w:r>
        <w:rPr>
          <w:b/>
          <w:bCs/>
        </w:rPr>
        <w:t xml:space="preserve">Subgraph-guided selection. </w:t>
      </w:r>
      <w:r>
        <w:t>A key feature of the PKS MCTS is subgraph-guided pruning during the selection phase. Prior to search, the target fragment is decomposed into a “bag of graphs”—a set of molecular substructures extracted at multiple radii from each atom. For lactone targets, ring-opening is performed to enable matching of acyclic intermediates. During selection, unvisited child nodes are checked for subgraph isomorphism against this reference set. Nodes whose PKS products contain target substructures receive infinite selection scores (forcing immediate exploration), while nodes with no subgraph match receive negative-infinity scores (effective pruning). This dramatically reduces the search space by preventing exploration of PKS designs whose products share no structural features with the target. For visited nodes, standard UCB1 balances exploitation and exploration.</w:t>
      </w:r>
    </w:p>
    <w:p w14:paraId="340634CB" w14:textId="77777777" w:rsidR="003B6F3D" w:rsidRDefault="00000000">
      <w:pPr>
        <w:spacing w:after="120" w:line="360" w:lineRule="auto"/>
      </w:pPr>
      <w:r>
        <w:t xml:space="preserve">When the PKS agent identifies a successful design—a PKS whose released product is exactly isomorphic to the target fragment—it returns a reward of +1.0 to the chemoenzymatic agent, which backpropagates this reward up its own tree. If the PKS agent exhausts its iteration budget without finding a feasible design, a reward of 0.0 is returned. This hierarchical reward flow </w:t>
      </w:r>
      <w:r>
        <w:lastRenderedPageBreak/>
        <w:t>allows the chemoenzymatic agent to learn which fragmentation strategies lead to PKS-synthesizable intermediates over the course of the search.</w:t>
      </w:r>
    </w:p>
    <w:p w14:paraId="6D2423D0" w14:textId="77777777" w:rsidR="003B6F3D" w:rsidRDefault="00000000">
      <w:r>
        <w:br w:type="page"/>
      </w:r>
    </w:p>
    <w:p w14:paraId="1E7EDB20" w14:textId="77777777" w:rsidR="003B6F3D" w:rsidRDefault="00000000">
      <w:pPr>
        <w:pStyle w:val="Heading2"/>
      </w:pPr>
      <w:r>
        <w:lastRenderedPageBreak/>
        <w:t>Training a Supervised Classifier to Detect Polyketides</w:t>
      </w:r>
    </w:p>
    <w:p w14:paraId="03A91825" w14:textId="77777777" w:rsidR="003B6F3D" w:rsidRDefault="00000000">
      <w:pPr>
        <w:spacing w:after="120" w:line="360" w:lineRule="auto"/>
      </w:pPr>
      <w:r>
        <w:t>A critical component of TridentSynthRL is the mechanism by which polyketide intermediates are detected during the chemoenzymatic MCTS expansion, thereby triggering the spawning of PKS agents. While a static database lookup against a precomputed library of ~106,000 PKS products provides a deterministic baseline, this approach cannot generalize to novel polyketide scaffolds not explicitly enumerated. Moreover, the synthetic accessibility (SA) score, while useful as a dense reward signal for guiding the chemoenzymatic search, is inherently biased toward the commercial chemical building blocks on which it was trained. It tends to assign low (favorable) synthesizability scores to compounds resembling entries in chemical catalogs, while assigning higher (unfavorable) scores to biomolecules, metabolites, and polyketide natural products—precisely the compounds that TridentSynthRL should recognize as biologically accessible. We therefore developed a learned classifier that generalizes from a representative training set to recognize the structural hallmarks of polyketide backbones.</w:t>
      </w:r>
    </w:p>
    <w:p w14:paraId="090FFBCB" w14:textId="77777777" w:rsidR="003B6F3D" w:rsidRDefault="00000000">
      <w:pPr>
        <w:spacing w:after="120" w:line="360" w:lineRule="auto"/>
      </w:pPr>
      <w:r>
        <w:rPr>
          <w:b/>
          <w:bCs/>
        </w:rPr>
        <w:t xml:space="preserve">Training set generation via RetroTide and DORAnet (Figure 3). </w:t>
      </w:r>
      <w:r>
        <w:t xml:space="preserve">We constructed the training set through a two-step synthetic data generation pipeline. In the first step, RetroTide was used to combinatorially assemble chimeric type I PKS designs </w:t>
      </w:r>
      <w:r>
        <w:rPr>
          <w:i/>
          <w:iCs/>
        </w:rPr>
        <w:t>in silico</w:t>
      </w:r>
      <w:r>
        <w:t>, comprising a single loading module (29 possible starter units), up to three extension modules (each enumerating all four possible domain architectures—KS-AT-ACP, KS-AT-KR-ACP, KS-AT-KR-DH-ACP, and KS-AT-KR-DH-ER-ACP—crossed with 6 extender units), and a terminal thioesterase domain allowing both thiolysis and lactonization offloading at all possible ring sizes. This enumeration yielded approximately one million core polyketide scaffolds, each labelled as class 1 (polyketide). Limiting enumeration to three extension modules also biases the library toward shorter PKS assembly lines, which are more readily expressed in heterologous hosts.</w:t>
      </w:r>
    </w:p>
    <w:p w14:paraId="453B3EA3" w14:textId="77777777" w:rsidR="003B6F3D" w:rsidRDefault="00000000">
      <w:pPr>
        <w:spacing w:after="120" w:line="360" w:lineRule="auto"/>
      </w:pPr>
      <w:r>
        <w:t xml:space="preserve">In the second step, each polyketide was subjected to a single step of DORAnet chemoenzymatic expansion using all 3,604 enzymatic and all 386 synthetic reaction templates. For each polyketide, the most structurally similar product from the enzymatic modification set and the most structurally similar product from the synthetic modification set were selected based on molecular similarity, yielding approximately two million chemoenzymatically modified polyketide variants, each labelled as class 0 (non-polyketide). These serve as hard negatives—molecules that are structurally close to polyketides but have undergone at least one non-PKS </w:t>
      </w:r>
      <w:r>
        <w:lastRenderedPageBreak/>
        <w:t>transformation—forcing the classifier to learn the precise structural features that distinguish PKS products from their chemoenzymatic derivatives rather than relying on superficial chemical dissimilarity.</w:t>
      </w:r>
    </w:p>
    <w:p w14:paraId="0CDECD48" w14:textId="77777777" w:rsidR="003B6F3D" w:rsidRDefault="00000000">
      <w:pPr>
        <w:spacing w:after="120" w:line="360" w:lineRule="auto"/>
      </w:pPr>
      <w:r>
        <w:rPr>
          <w:b/>
          <w:bCs/>
        </w:rPr>
        <w:t xml:space="preserve">GNN architecture (Figure 4). </w:t>
      </w:r>
      <w:r>
        <w:t>Input SMILES strings are parsed via RDKit into molecular graphs. Each atom is encoded as a 40-dimensional feature vector comprising one-hot encodings of atomic number (13 dim), total degree (7 dim), formal charge (6 dim), total hydrogen count (6 dim), and hybridization state (6 dim), plus binary indicators for aromaticity (1 dim) and ring membership (1 dim). Each bond is encoded as a 5-dimensional feature vector: a one-hot encoding of bond type (single, double, triple, aromatic; 4 dim) plus a self-loop indicator (1 dim). Node features are projected into a 256-dimensional hidden space via a learned linear transformation. The backbone consists of three stacked graph attention (GAT) layers, each with four multi-head attention heads that incorporate edge features directly into the attention computation. Each layer applies the attention mechanism followed by LayerNorm, ELU activation, and dropout (</w:t>
      </w:r>
      <w:r>
        <w:rPr>
          <w:i/>
          <w:iCs/>
        </w:rPr>
        <w:t>p</w:t>
      </w:r>
      <w:r>
        <w:t xml:space="preserve"> = 0.1), with a residual connection bypassing the entire block. After the final attention layer, node embeddings are mean-pooled to produce a single 256-dimensional graph-level embedding, which is passed through a two-layer classification head (256 → 128 with ReLU → 1 with sigmoid) to yield the predicted polyketide synthesizability probability.</w:t>
      </w:r>
    </w:p>
    <w:p w14:paraId="5A76035E" w14:textId="77777777" w:rsidR="003B6F3D" w:rsidRDefault="00000000">
      <w:pPr>
        <w:spacing w:after="120" w:line="360" w:lineRule="auto"/>
      </w:pPr>
      <w:r>
        <w:t>The model is trained with binary cross-entropy loss (pos_weight = 2.0 to compensate for the 2:1 class imbalance of negatives to positives) using AdamW optimization (learning rate = 3×10</w:t>
      </w:r>
      <w:r>
        <w:rPr>
          <w:vertAlign w:val="superscript"/>
        </w:rPr>
        <w:t>–4</w:t>
      </w:r>
      <w:r>
        <w:t>, weight decay = 1×10</w:t>
      </w:r>
      <w:r>
        <w:rPr>
          <w:vertAlign w:val="superscript"/>
        </w:rPr>
        <w:t>–4</w:t>
      </w:r>
      <w:r>
        <w:t>) with gradient clipping at norm 1.0. An optional cosine annealing learning rate schedule with linear warmup (first 5% of epochs) is supported. Performance is evaluated by area under the precision-recall curve (AUPRC). The model supports distributed multi-GPU training via PyTorch DistributedDataParallel.</w:t>
      </w:r>
    </w:p>
    <w:p w14:paraId="7C6C2089" w14:textId="77777777" w:rsidR="003B6F3D" w:rsidRDefault="00000000">
      <w:pPr>
        <w:spacing w:after="120" w:line="360" w:lineRule="auto"/>
      </w:pPr>
      <w:r>
        <w:t xml:space="preserve">During MCTS deployment, the trained GNN replaces or supplements the static database lookup as the polyketide detection mechanism. When a new child node is created during chemoenzymatic expansion, its SMILES is fed through the GNN; if the predicted probability exceeds 0.5, the node is flagged as a polyketide and the RetroTide PKS agent is spawned. Users retain the option of using database lookup for deterministic matching, which is useful for validation and benchmarking. The GNN approach, however, generalizes to novel polyketide </w:t>
      </w:r>
      <w:r>
        <w:lastRenderedPageBreak/>
        <w:t xml:space="preserve">scaffolds </w:t>
      </w:r>
      <w:proofErr w:type="gramStart"/>
      <w:r>
        <w:t>not present</w:t>
      </w:r>
      <w:proofErr w:type="gramEnd"/>
      <w:r>
        <w:t xml:space="preserve"> in any precomputed library, providing a critical advantage as the accessible polyketide chemical space far exceeds what can be exhaustively enumerated.</w:t>
      </w:r>
    </w:p>
    <w:p w14:paraId="5B291D7B" w14:textId="77777777" w:rsidR="003B6F3D" w:rsidRDefault="00000000">
      <w:pPr>
        <w:pStyle w:val="Heading2"/>
      </w:pPr>
      <w:r>
        <w:t>Deploying TridentSynthRL on the Kavalactone Family</w:t>
      </w:r>
    </w:p>
    <w:p w14:paraId="535CDF4F" w14:textId="77777777" w:rsidR="003B6F3D" w:rsidRDefault="00000000">
      <w:pPr>
        <w:spacing w:after="120" w:line="360" w:lineRule="auto"/>
      </w:pPr>
      <w:r>
        <w:t xml:space="preserve">We deployed TridentSynthRL on the family of kavalactones from </w:t>
      </w:r>
      <w:r>
        <w:rPr>
          <w:i/>
          <w:iCs/>
        </w:rPr>
        <w:t>Piper methysticum</w:t>
      </w:r>
      <w:r>
        <w:t xml:space="preserve"> (kava), a collection of 15 structurally related natural products with demonstrated anxiolytic, analgesic, and neuroprotective properties (Figure 5). All 15 kavalactones share a core α-pyrone (six-membered lactone) scaffold but differ in their aromatic substitutions, degree of backbone saturation, and patterns of hydroxylation and methoxylation. This structural diversity within a common scaffold makes the kavalactone family an ideal test set for TridentSynthRL: the shared α-pyrone core is a natural candidate for PKS biosynthesis via thioesterase-mediated lactonization, while the varied peripheral modifications require the full flexibility of the chemoenzymatic template library. Moreover, the kavalactone scaffold presents a genuine synthetic challenge, as achieving the specific α-pyrone substitution pattern with appropriate stereo- and regioselectivity is difficult via purely chemical routes.</w:t>
      </w:r>
    </w:p>
    <w:p w14:paraId="2CEFBB8F" w14:textId="77777777" w:rsidR="003B6F3D" w:rsidRDefault="00000000">
      <w:pPr>
        <w:spacing w:after="120" w:line="360" w:lineRule="auto"/>
      </w:pPr>
      <w:r>
        <w:t>TridentSynthRL successfully identified thermodynamically feasible retrosynthetic pathways to all 15 members of the kavalactone family. For every compound, at least one pathway involves a type I PKS to construct the core carbon backbone, demonstrating the value of integrating PKS biosynthesis into the retrosynthetic search. Complete pathway details for all 15 kavalactones are provided in the Supporting Information. Below we highlight three representative pathways that illustrate different strengths of the framework.</w:t>
      </w:r>
    </w:p>
    <w:p w14:paraId="03FB18F9" w14:textId="77777777" w:rsidR="003B6F3D" w:rsidRDefault="00000000">
      <w:pPr>
        <w:spacing w:after="120" w:line="360" w:lineRule="auto"/>
      </w:pPr>
      <w:r>
        <w:rPr>
          <w:b/>
          <w:bCs/>
        </w:rPr>
        <w:t xml:space="preserve">PKS-dominated route: 7,8-dihydrokavain (Figure 6). </w:t>
      </w:r>
      <w:r>
        <w:t>TridentSynthRL identifies a pathway in which a chimeric type I PKS with a benzoyl-CoA starter unit and three extension modules (each using malonyl-CoA as the extender, with module-specific tailoring domains including KR, DH, and ER) produces the core α-pyrone scaffold via thioesterase-mediated lactonization. The PKS product is subsequently subjected to an enthalpically downhill dehydration reaction (Δ</w:t>
      </w:r>
      <w:r>
        <w:rPr>
          <w:i/>
          <w:iCs/>
        </w:rPr>
        <w:t>H</w:t>
      </w:r>
      <w:r>
        <w:t xml:space="preserve"> = −6.27 kcal/mol) to install the characteristic double bond, followed by an enzymatic </w:t>
      </w:r>
      <w:r>
        <w:rPr>
          <w:i/>
          <w:iCs/>
        </w:rPr>
        <w:t>O</w:t>
      </w:r>
      <w:r>
        <w:t xml:space="preserve">-methylation reaction predicted feasible by DORA-XGB (score = 0.955) using </w:t>
      </w:r>
      <w:r>
        <w:rPr>
          <w:i/>
          <w:iCs/>
        </w:rPr>
        <w:t>S</w:t>
      </w:r>
      <w:r>
        <w:t>-adenosylmethionine (SAM) as the methyl donor. This route demonstrates TridentSynthRL’s ability to design pathways where the PKS handles the core backbone construction while monofunctional enzymes handle the final peripheral modifications—a division of labor that leverages each modality’s strengths.</w:t>
      </w:r>
    </w:p>
    <w:p w14:paraId="52F9A887" w14:textId="77777777" w:rsidR="003B6F3D" w:rsidRDefault="00000000">
      <w:pPr>
        <w:spacing w:after="120" w:line="360" w:lineRule="auto"/>
      </w:pPr>
      <w:r>
        <w:rPr>
          <w:b/>
          <w:bCs/>
        </w:rPr>
        <w:lastRenderedPageBreak/>
        <w:t xml:space="preserve">Hybrid PKS + chemical coupling route: desmethoxyyangonin (Figure 7). </w:t>
      </w:r>
      <w:r>
        <w:t>A shorter chimeric PKS with only one extension module (benzoyl-CoA starter, hydroxymalonyl-CoA extender) produces a polyketide fragment that accounts for the aromatic styryl moiety. TridentSynthRL then proposes coupling this fragment with the commercially available chemical building block 4-hydroxy-2</w:t>
      </w:r>
      <w:r>
        <w:rPr>
          <w:i/>
          <w:iCs/>
        </w:rPr>
        <w:t>H</w:t>
      </w:r>
      <w:r>
        <w:t>-pyran-2-one—which provides the six-membered lactone ring—via an enthalpically downhill electrophilic aromatic alkylation (Δ</w:t>
      </w:r>
      <w:r>
        <w:rPr>
          <w:i/>
          <w:iCs/>
        </w:rPr>
        <w:t>H</w:t>
      </w:r>
      <w:r>
        <w:t xml:space="preserve"> = −11.38 kcal/mol). Three subsequent enzymatic transformations complete the synthesis: </w:t>
      </w:r>
      <w:r>
        <w:rPr>
          <w:i/>
          <w:iCs/>
        </w:rPr>
        <w:t>O</w:t>
      </w:r>
      <w:r>
        <w:t>-methylation (DORA-XGB = 0.977), decarboxylation (DORA-XGB = 0.995), and dehydration (DORA-XGB = 0.964). This route illustrates TridentSynthRL’s capacity to combine a minimal PKS with chemical coupling and enzymatic tailoring, distributing the synthetic burden across all three modalities.</w:t>
      </w:r>
    </w:p>
    <w:p w14:paraId="4EC312FE" w14:textId="77777777" w:rsidR="003B6F3D" w:rsidRDefault="00000000">
      <w:pPr>
        <w:spacing w:after="120" w:line="360" w:lineRule="auto"/>
      </w:pPr>
      <w:r>
        <w:rPr>
          <w:b/>
          <w:bCs/>
        </w:rPr>
        <w:t xml:space="preserve">Purely chemical route: 5,6,7,8-tetrahydroyangonin (Figure 8). </w:t>
      </w:r>
      <w:r>
        <w:t>TridentSynthRL also discovers purely chemical pathways when they are more efficient. Starting from two commercially available building blocks—1-(but-3-yn-1-yl)-4-methoxybenzene and 3-bromoprop-2-ynoic acid—a sequence of Suzuki coupling with alkynes, HBr additions, esterification with methanol, intramolecular cyclization, and dehydrohalogenation yields 5,6,7,8-tetrahydroyangonin entirely through synthetic chemistry. This result is significant because it demonstrates that TridentSynthRL does not force biological routes where chemical ones suffice; the MCTS search naturally selects whichever modality—or combination of modalities—produces the most efficient pathway to the target.</w:t>
      </w:r>
    </w:p>
    <w:p w14:paraId="2CBC6CD9" w14:textId="77777777" w:rsidR="003B6F3D" w:rsidRDefault="00000000">
      <w:pPr>
        <w:pStyle w:val="Heading2"/>
      </w:pPr>
      <w:r>
        <w:t>A Shorter Pathway to Cryptofolione via Chemoenzymatic Retrosynthesis</w:t>
      </w:r>
    </w:p>
    <w:p w14:paraId="53A87AC0" w14:textId="77777777" w:rsidR="003B6F3D" w:rsidRDefault="00000000">
      <w:pPr>
        <w:spacing w:after="120" w:line="360" w:lineRule="auto"/>
      </w:pPr>
      <w:r>
        <w:t>To further demonstrate TridentSynthRL’s ability to discover globally more efficient pathways by reasoning across synthesis modalities simultaneously, we applied it to cryptofolione (Figure 9), a natural product whose native biosynthetic route remains unknown.</w:t>
      </w:r>
    </w:p>
    <w:p w14:paraId="017A0141" w14:textId="77777777" w:rsidR="003B6F3D" w:rsidRDefault="00000000">
      <w:pPr>
        <w:spacing w:after="120" w:line="360" w:lineRule="auto"/>
      </w:pPr>
      <w:r>
        <w:t>In our previous work using RetroTide alone, a single chimeric PKS spanning five extension modules was proposed to synthesize the full cryptofolione scaffold in a single biosynthetic step. While conceptually valid, such long chimeric PKS assembly lines are challenging to express heterologously: metabolic and genomic burden increases substantially with module count, and catalytic efficiency tends to decrease as the assembly line grows longer. Expressing a 5-module chimeric PKS in a microbial host therefore represents a significant practical barrier.</w:t>
      </w:r>
    </w:p>
    <w:p w14:paraId="408EC480" w14:textId="77777777" w:rsidR="003B6F3D" w:rsidRDefault="00000000">
      <w:pPr>
        <w:spacing w:after="120" w:line="360" w:lineRule="auto"/>
      </w:pPr>
      <w:r>
        <w:lastRenderedPageBreak/>
        <w:t>TridentSynthRL identifies a more efficient alternative. A chimeric PKS with only two extension modules (cinnamoyl-CoA starter unit, two malonyl-CoA extenders, both modules with KR tailoring domains) produces a fragment that captures the aromatic styryl moiety and the six-membered lactone ring of cryptofolione via thioesterase-mediated lactonization. This fragment is then coupled with cyclohex-3-ene-1,4-diol via an enthalpically downhill ring-opening metathesis reaction (Δ</w:t>
      </w:r>
      <w:r>
        <w:rPr>
          <w:i/>
          <w:iCs/>
        </w:rPr>
        <w:t>H</w:t>
      </w:r>
      <w:r>
        <w:t xml:space="preserve"> = −1.40 kcal/mol). Cyclohex-3-ene-1,4-diol is in turn obtained from an enzymatic monooxygenation of the commercially available building block cyclohex-3-en-1-ol (DORA-XGB feasibility score = 0.931).</w:t>
      </w:r>
    </w:p>
    <w:p w14:paraId="40152A95" w14:textId="77777777" w:rsidR="003B6F3D" w:rsidRDefault="00000000">
      <w:pPr>
        <w:spacing w:after="120" w:line="360" w:lineRule="auto"/>
      </w:pPr>
      <w:r>
        <w:t>Reducing from five to two extension modules substantially improves the likelihood of successful heterologous PKS expression. The trade-off—introducing a chemical coupling step—is acceptable because ring-opening metathesis is a well-established reaction in synthetic chemistry and the computed enthalpy confirms thermodynamic favorability. This example exemplifies TridentSynthRL’s core advantage: by simultaneously searching across synthetic chemistry, monofunctional enzymes, and PKS biosynthesis, it can identify pathway designs that are globally more efficient than those found by any single-modality planner. Where RetroTide alone proposes a monolithic 5-module PKS, TridentSynthRL distributes the synthetic burden across a shorter PKS, a chemical coupling, and an enzymatic modification—yielding a pathway that is both more modular and more practically feasible.</w:t>
      </w:r>
    </w:p>
    <w:p w14:paraId="070F7165" w14:textId="77777777" w:rsidR="003B6F3D" w:rsidRDefault="00000000">
      <w:r>
        <w:br w:type="page"/>
      </w:r>
    </w:p>
    <w:p w14:paraId="767DEC4E" w14:textId="77777777" w:rsidR="003B6F3D" w:rsidRDefault="00000000">
      <w:pPr>
        <w:pStyle w:val="Heading1"/>
      </w:pPr>
      <w:r>
        <w:lastRenderedPageBreak/>
        <w:t>Methods</w:t>
      </w:r>
    </w:p>
    <w:p w14:paraId="57DF6A84" w14:textId="77777777" w:rsidR="003B6F3D" w:rsidRDefault="00000000">
      <w:pPr>
        <w:pStyle w:val="Heading2"/>
      </w:pPr>
      <w:r>
        <w:t>Chemoenzymatic MCTS Agent</w:t>
      </w:r>
    </w:p>
    <w:p w14:paraId="31061F4C" w14:textId="77777777" w:rsidR="003B6F3D" w:rsidRDefault="00000000">
      <w:pPr>
        <w:spacing w:after="120" w:line="360" w:lineRule="auto"/>
      </w:pPr>
      <w:r>
        <w:rPr>
          <w:b/>
          <w:bCs/>
        </w:rPr>
        <w:t xml:space="preserve">DORAnet reaction network. </w:t>
      </w:r>
      <w:r>
        <w:t>The chemoenzymatic agent’s action space is derived from the DORAnet reaction network, which encodes 386 synthetic organic chemistry templates and 3,604 monofunctional enzymatic reaction templates as SMARTS (SMILES Arbitrary Target Specification) patterns. Each template defines a graph transformation rule that maps a substrate molecular graph to a product graph by rewriting a local subgraph around a reaction center. During expansion, templates are applied retrosynthetically: the template’s product pattern is matched against the selected node’s molecular graph, and the substrates that would produce the selected node via that reaction are generated as child nodes. Both chemical and enzymatic templates are applied in each expansion step, and the resulting fragments are combined into a single set of candidate children.</w:t>
      </w:r>
    </w:p>
    <w:p w14:paraId="52EB7C2D" w14:textId="77777777" w:rsidR="003B6F3D" w:rsidRDefault="00000000">
      <w:pPr>
        <w:spacing w:after="120" w:line="360" w:lineRule="auto"/>
      </w:pPr>
      <w:r>
        <w:rPr>
          <w:b/>
          <w:bCs/>
        </w:rPr>
        <w:t xml:space="preserve">Building block databases. </w:t>
      </w:r>
      <w:r>
        <w:t>Terminal states are identified by matching against three databases. The chemical building block database contains ~278,000 commercially available compounds from the Enamine catalog. The biological building block database contains ~334 common metabolites curated from BRENDA, KEGG, and MetaCyc across 10 model microorganisms (</w:t>
      </w:r>
      <w:r>
        <w:rPr>
          <w:i/>
          <w:iCs/>
        </w:rPr>
        <w:t>Escherichia coli</w:t>
      </w:r>
      <w:r>
        <w:t xml:space="preserve">, </w:t>
      </w:r>
      <w:r>
        <w:rPr>
          <w:i/>
          <w:iCs/>
        </w:rPr>
        <w:t>Saccharomyces cerevisiae</w:t>
      </w:r>
      <w:r>
        <w:t xml:space="preserve">, </w:t>
      </w:r>
      <w:r>
        <w:rPr>
          <w:i/>
          <w:iCs/>
        </w:rPr>
        <w:t>Bacillus subtilis</w:t>
      </w:r>
      <w:r>
        <w:t xml:space="preserve">, </w:t>
      </w:r>
      <w:r>
        <w:rPr>
          <w:i/>
          <w:iCs/>
        </w:rPr>
        <w:t xml:space="preserve">Corynebacterium </w:t>
      </w:r>
      <w:proofErr w:type="spellStart"/>
      <w:r>
        <w:rPr>
          <w:i/>
          <w:iCs/>
        </w:rPr>
        <w:t>glutamicum</w:t>
      </w:r>
      <w:proofErr w:type="spellEnd"/>
      <w:r>
        <w:t xml:space="preserve">, </w:t>
      </w:r>
      <w:r>
        <w:rPr>
          <w:i/>
          <w:iCs/>
        </w:rPr>
        <w:t>Pseudomonas putida</w:t>
      </w:r>
      <w:r>
        <w:t xml:space="preserve">, </w:t>
      </w:r>
      <w:r>
        <w:rPr>
          <w:i/>
          <w:iCs/>
        </w:rPr>
        <w:t xml:space="preserve">Streptomyces </w:t>
      </w:r>
      <w:proofErr w:type="spellStart"/>
      <w:r>
        <w:rPr>
          <w:i/>
          <w:iCs/>
        </w:rPr>
        <w:t>coelicolor</w:t>
      </w:r>
      <w:proofErr w:type="spellEnd"/>
      <w:r>
        <w:t xml:space="preserve">, </w:t>
      </w:r>
      <w:r>
        <w:rPr>
          <w:i/>
          <w:iCs/>
        </w:rPr>
        <w:t xml:space="preserve">Clostridium </w:t>
      </w:r>
      <w:proofErr w:type="spellStart"/>
      <w:r>
        <w:rPr>
          <w:i/>
          <w:iCs/>
        </w:rPr>
        <w:t>acetobutylicum</w:t>
      </w:r>
      <w:proofErr w:type="spellEnd"/>
      <w:r>
        <w:t xml:space="preserve">, </w:t>
      </w:r>
      <w:r>
        <w:rPr>
          <w:i/>
          <w:iCs/>
        </w:rPr>
        <w:t>Pichia pastoris</w:t>
      </w:r>
      <w:r>
        <w:t xml:space="preserve">, </w:t>
      </w:r>
      <w:r>
        <w:rPr>
          <w:i/>
          <w:iCs/>
        </w:rPr>
        <w:t xml:space="preserve">Aspergillus </w:t>
      </w:r>
      <w:proofErr w:type="spellStart"/>
      <w:r>
        <w:rPr>
          <w:i/>
          <w:iCs/>
        </w:rPr>
        <w:t>niger</w:t>
      </w:r>
      <w:proofErr w:type="spellEnd"/>
      <w:r>
        <w:t xml:space="preserve">, and </w:t>
      </w:r>
      <w:proofErr w:type="spellStart"/>
      <w:r>
        <w:rPr>
          <w:i/>
          <w:iCs/>
        </w:rPr>
        <w:t>Synechocystis</w:t>
      </w:r>
      <w:proofErr w:type="spellEnd"/>
      <w:r>
        <w:t xml:space="preserve"> sp. PCC 6803). A prohibited chemicals list of 652 hazardous substances is used to prune dangerous intermediates from the search tree.</w:t>
      </w:r>
    </w:p>
    <w:p w14:paraId="2F07B4D2" w14:textId="77777777" w:rsidR="003B6F3D" w:rsidRDefault="00000000">
      <w:pPr>
        <w:spacing w:after="120" w:line="360" w:lineRule="auto"/>
      </w:pPr>
      <w:r>
        <w:rPr>
          <w:b/>
          <w:bCs/>
        </w:rPr>
        <w:t xml:space="preserve">Selection policy. </w:t>
      </w:r>
      <w:r>
        <w:t xml:space="preserve">The default selection policy uses UCB1 with an exploration constant of </w:t>
      </w:r>
      <w:r>
        <w:rPr>
          <w:i/>
          <w:iCs/>
        </w:rPr>
        <w:t>c</w:t>
      </w:r>
      <w:r>
        <w:t xml:space="preserve"> = √2. An optional depth-biased variant adds a depth bonus coefficient α (default = 4.0) multiplied by the node’s depth to the UCB1 score, encouraging deeper exploration. The frontier fallback mechanism maintains a max-heap of unexpanded non-terminal nodes sorted by depth; when standard tree traversal returns no valid leaf (e.g., because all children at a level are terminal), the deepest unexpanded frontier node is selected instead, preventing wasted iterations.</w:t>
      </w:r>
    </w:p>
    <w:p w14:paraId="55B0BA66" w14:textId="77777777" w:rsidR="003B6F3D" w:rsidRDefault="00000000">
      <w:pPr>
        <w:spacing w:after="120" w:line="360" w:lineRule="auto"/>
      </w:pPr>
      <w:r>
        <w:rPr>
          <w:b/>
          <w:bCs/>
        </w:rPr>
        <w:t xml:space="preserve">Fragment filtering and </w:t>
      </w:r>
      <w:proofErr w:type="spellStart"/>
      <w:r>
        <w:rPr>
          <w:b/>
          <w:bCs/>
        </w:rPr>
        <w:t>downselection</w:t>
      </w:r>
      <w:proofErr w:type="spellEnd"/>
      <w:r>
        <w:rPr>
          <w:b/>
          <w:bCs/>
        </w:rPr>
        <w:t xml:space="preserve">. </w:t>
      </w:r>
      <w:r>
        <w:t xml:space="preserve">After expansion, fragments are filtered by removing wildcard patterns, excluding known cofactors, removing molecules exceeding 1.5× the target molecular weight, and pruning prohibited chemicals. The remaining fragments are </w:t>
      </w:r>
      <w:proofErr w:type="spellStart"/>
      <w:r>
        <w:t>downselected</w:t>
      </w:r>
      <w:proofErr w:type="spellEnd"/>
      <w:r>
        <w:t xml:space="preserve"> using the “</w:t>
      </w:r>
      <w:proofErr w:type="spellStart"/>
      <w:r>
        <w:t>most_thermo_feasible</w:t>
      </w:r>
      <w:proofErr w:type="spellEnd"/>
      <w:r>
        <w:t xml:space="preserve">” strategy (default), which ranks fragments by their </w:t>
      </w:r>
      <w:r>
        <w:lastRenderedPageBreak/>
        <w:t xml:space="preserve">thermodynamic feasibility score with priority bonuses for sink compounds (+1,000) and PKS library matches (+500), retaining the top </w:t>
      </w:r>
      <w:r>
        <w:rPr>
          <w:i/>
          <w:iCs/>
        </w:rPr>
        <w:t>k</w:t>
      </w:r>
      <w:r>
        <w:t xml:space="preserve"> fragments (default </w:t>
      </w:r>
      <w:r>
        <w:rPr>
          <w:i/>
          <w:iCs/>
        </w:rPr>
        <w:t>k</w:t>
      </w:r>
      <w:r>
        <w:t xml:space="preserve"> = 20) per expansion.</w:t>
      </w:r>
    </w:p>
    <w:p w14:paraId="77EBBA49" w14:textId="77777777" w:rsidR="003B6F3D" w:rsidRDefault="00000000">
      <w:pPr>
        <w:spacing w:after="120" w:line="360" w:lineRule="auto"/>
      </w:pPr>
      <w:r>
        <w:rPr>
          <w:b/>
          <w:bCs/>
        </w:rPr>
        <w:t xml:space="preserve">Parallelization. </w:t>
      </w:r>
      <w:r>
        <w:t>The DORAnet expansion step, which is the computational bottleneck of each MCTS iteration, is offloaded to worker processes via a ProcessPoolExecutor. Selection, rollout, reward computation, and backpropagation remain on the main process to ensure thread safety. Each node undergoing expansion is flagged with a pending marker to prevent re-selection during in-flight expansions. The number of workers and maximum in-flight expansions are configurable (default: auto-detected based on available CPU cores).</w:t>
      </w:r>
    </w:p>
    <w:p w14:paraId="29567D8E" w14:textId="77777777" w:rsidR="003B6F3D" w:rsidRDefault="00000000">
      <w:pPr>
        <w:spacing w:after="120" w:line="360" w:lineRule="auto"/>
      </w:pPr>
      <w:r>
        <w:rPr>
          <w:b/>
          <w:bCs/>
        </w:rPr>
        <w:t xml:space="preserve">Caching. </w:t>
      </w:r>
      <w:r>
        <w:t>SMILES canonicalization results are stored in an LRU cache (50,000 entries). Fragment expansion results are cached to disk as serialized pickle files, keyed by the starter SMILES, expansion mode, and generation settings. PKS building block libraries and sink compound databases are also cached to disk with content-hash-based invalidation, providing ~841× speedup on subsequent loads for large PKS libraries.</w:t>
      </w:r>
    </w:p>
    <w:p w14:paraId="761B6DCD" w14:textId="77777777" w:rsidR="003B6F3D" w:rsidRDefault="00000000">
      <w:pPr>
        <w:spacing w:after="120" w:line="360" w:lineRule="auto"/>
      </w:pPr>
      <w:r>
        <w:rPr>
          <w:b/>
          <w:bCs/>
        </w:rPr>
        <w:t xml:space="preserve">Default parameters for kavalactone experiments. </w:t>
      </w:r>
      <w:r>
        <w:t xml:space="preserve">For the kavalactone family experiments reported here, the chemoenzymatic agent was configured </w:t>
      </w:r>
      <w:proofErr w:type="gramStart"/>
      <w:r>
        <w:t>with:</w:t>
      </w:r>
      <w:proofErr w:type="gramEnd"/>
      <w:r>
        <w:t xml:space="preserve"> 500 MCTS iterations, maximum tree depth of 5, up to 20 children per expansion, depth-biased UCB1 selection (α = 4.0), thermodynamic feasibility scaling (weight = 0.8), and frontier fallback enabled.</w:t>
      </w:r>
    </w:p>
    <w:p w14:paraId="15503AAD" w14:textId="77777777" w:rsidR="003B6F3D" w:rsidRDefault="00000000">
      <w:pPr>
        <w:pStyle w:val="Heading2"/>
      </w:pPr>
      <w:r>
        <w:t>Polyketide Synthase MCTS Agent</w:t>
      </w:r>
    </w:p>
    <w:p w14:paraId="41E7B339" w14:textId="77777777" w:rsidR="003B6F3D" w:rsidRDefault="00000000">
      <w:pPr>
        <w:spacing w:after="120" w:line="360" w:lineRule="auto"/>
      </w:pPr>
      <w:r>
        <w:rPr>
          <w:b/>
          <w:bCs/>
        </w:rPr>
        <w:t xml:space="preserve">RetroTide forward synthesis engine. </w:t>
      </w:r>
      <w:r>
        <w:t xml:space="preserve">The PKS agent leverages RetroTide, a forward PKS design tool in which each enzymatic domain—acyltransferase (AT), ketoreductase (KR), dehydratase (DH), and enoylreductase (ER)—is represented by a reaction template (SMARTS pattern). Modules are constructed by sequentially applying domain templates in the biologically prescribed order. The ketosynthase (KS) domain (chain elongation via Claisen condensation) and acyl carrier protein (ACP) (tethering of intermediates) are implicitly assumed in all modules. During MCTS expansion, RetroTide’s </w:t>
      </w:r>
      <w:proofErr w:type="spellStart"/>
      <w:r>
        <w:rPr>
          <w:i/>
          <w:iCs/>
        </w:rPr>
        <w:t>designPKS_onestep</w:t>
      </w:r>
      <w:proofErr w:type="spellEnd"/>
      <w:r>
        <w:rPr>
          <w:i/>
          <w:iCs/>
        </w:rPr>
        <w:t>()</w:t>
      </w:r>
      <w:r>
        <w:t xml:space="preserve"> function adds one extension module per call, generating up to 25 candidate designs ranked by MCS similarity to the target fragment. During simulation (rollout), the full </w:t>
      </w:r>
      <w:proofErr w:type="spellStart"/>
      <w:r>
        <w:rPr>
          <w:i/>
          <w:iCs/>
        </w:rPr>
        <w:t>designPKS</w:t>
      </w:r>
      <w:proofErr w:type="spellEnd"/>
      <w:r>
        <w:rPr>
          <w:i/>
          <w:iCs/>
        </w:rPr>
        <w:t>()</w:t>
      </w:r>
      <w:r>
        <w:t xml:space="preserve"> function explores complete multi-module syntheses from the current design state.</w:t>
      </w:r>
    </w:p>
    <w:p w14:paraId="70D36A45" w14:textId="77777777" w:rsidR="003B6F3D" w:rsidRDefault="00000000">
      <w:pPr>
        <w:spacing w:after="120" w:line="360" w:lineRule="auto"/>
      </w:pPr>
      <w:r>
        <w:rPr>
          <w:b/>
          <w:bCs/>
        </w:rPr>
        <w:lastRenderedPageBreak/>
        <w:t xml:space="preserve">Starter and extender unit libraries. </w:t>
      </w:r>
      <w:r>
        <w:t xml:space="preserve">The loading module uses one of 29 starter units (acyl-CoA variants including acetyl-CoA, propionyl-CoA, butyryl-CoA, benzoyl-CoA, cinnamoyl-CoA, and others). Each extension module uses one of 6 extender units (malonyl-CoA, methylmalonyl-CoA, hydroxymalonyl-CoA, methoxymalonyl-CoA, ethylmalonyl-CoA, and </w:t>
      </w:r>
      <w:proofErr w:type="spellStart"/>
      <w:r>
        <w:t>chloroethylmalonyl</w:t>
      </w:r>
      <w:proofErr w:type="spellEnd"/>
      <w:r>
        <w:t>-CoA).</w:t>
      </w:r>
    </w:p>
    <w:p w14:paraId="79A0CDBA" w14:textId="77777777" w:rsidR="003B6F3D" w:rsidRDefault="00000000">
      <w:pPr>
        <w:spacing w:after="120" w:line="360" w:lineRule="auto"/>
      </w:pPr>
      <w:r>
        <w:rPr>
          <w:b/>
          <w:bCs/>
        </w:rPr>
        <w:t xml:space="preserve">Domain architectures. </w:t>
      </w:r>
      <w:r>
        <w:t>Each extension module can adopt one of four domain architectures with progressively more complete reductive processing: (1) KS-AT-ACP (no reduction, retains β-keto group), (2) KS-AT-KR-ACP (ketoreduction to β-hydroxyl), (3) KS-AT-KR-DH-ACP (dehydration to α,β-unsaturated intermediate), and (4) KS-AT-KR-DH-ER-ACP (full reduction to saturated methylene).</w:t>
      </w:r>
    </w:p>
    <w:p w14:paraId="290151BB" w14:textId="77777777" w:rsidR="003B6F3D" w:rsidRDefault="00000000">
      <w:pPr>
        <w:spacing w:after="120" w:line="360" w:lineRule="auto"/>
      </w:pPr>
      <w:r>
        <w:rPr>
          <w:b/>
          <w:bCs/>
        </w:rPr>
        <w:t xml:space="preserve">Offloading reactions. </w:t>
      </w:r>
      <w:r>
        <w:t xml:space="preserve">The terminal thioesterase (TE) domain catalyzes product release via two mechanisms. Thiolysis cleaves the thioester bond between the polyketide chain and ACP, releasing a free carboxylic acid; this is the primary mechanism for linear polyketides. Lactonization (cyclization) catalyzes intramolecular esterification by attacking a backbone hydroxyl with the thioester carbonyl, forming </w:t>
      </w:r>
      <w:proofErr w:type="spellStart"/>
      <w:r>
        <w:t>macrolactone</w:t>
      </w:r>
      <w:proofErr w:type="spellEnd"/>
      <w:r>
        <w:t xml:space="preserve"> rings of variable size; this mechanism is critical for cyclic polyketides including the kavalactone α-pyrone scaffold.</w:t>
      </w:r>
    </w:p>
    <w:p w14:paraId="32A941D6" w14:textId="77777777" w:rsidR="003B6F3D" w:rsidRDefault="00000000">
      <w:pPr>
        <w:spacing w:after="120" w:line="360" w:lineRule="auto"/>
      </w:pPr>
      <w:r>
        <w:rPr>
          <w:b/>
          <w:bCs/>
        </w:rPr>
        <w:t xml:space="preserve">Bag-of-graphs construction. </w:t>
      </w:r>
      <w:r>
        <w:t>Prior to search, the target fragment is decomposed into a reference set of molecular substructures by extracting all atomic environments at increasing bond radii (from 1 to the molecular diameter). For targets containing lactone groups, ring-opening is performed to generate additional subgraph references from the acyclic form. During selection, bidirectional subgraph isomorphism checks against this reference set guide the search toward PKS intermediates that contain target-relevant structural features.</w:t>
      </w:r>
    </w:p>
    <w:p w14:paraId="224F6C7C" w14:textId="77777777" w:rsidR="003B6F3D" w:rsidRDefault="00000000">
      <w:pPr>
        <w:spacing w:after="120" w:line="360" w:lineRule="auto"/>
      </w:pPr>
      <w:r>
        <w:rPr>
          <w:b/>
          <w:bCs/>
        </w:rPr>
        <w:t xml:space="preserve">Default PKS MCTS parameters. </w:t>
      </w:r>
      <w:r>
        <w:t>For the kavalactone experiments, the PKS agent was configured with 15,000 MCTS iterations, maximum tree depth of 10, up to 25 PKS designs per expansion round, and UCB1 selection with subgraph-guided pruning.</w:t>
      </w:r>
    </w:p>
    <w:p w14:paraId="5C019E4C" w14:textId="77777777" w:rsidR="003B6F3D" w:rsidRDefault="00000000">
      <w:pPr>
        <w:pStyle w:val="Heading2"/>
      </w:pPr>
      <w:r>
        <w:t>Supervised GNN Classifier for Polyketide Detection</w:t>
      </w:r>
    </w:p>
    <w:p w14:paraId="4522ADDD" w14:textId="77777777" w:rsidR="003B6F3D" w:rsidRDefault="00000000">
      <w:pPr>
        <w:spacing w:after="120" w:line="360" w:lineRule="auto"/>
      </w:pPr>
      <w:r>
        <w:rPr>
          <w:b/>
          <w:bCs/>
        </w:rPr>
        <w:t xml:space="preserve">Training set generation. </w:t>
      </w:r>
      <w:r>
        <w:t xml:space="preserve">Polyketide scaffolds were generated by enumerating all combinatorially possible chimeric PKS designs within the RetroTide framework. Designs comprised a single loading module (29 starter units), up to three extension modules (4 domain </w:t>
      </w:r>
      <w:r>
        <w:lastRenderedPageBreak/>
        <w:t>architectures × 6 extender units per module), and a terminal TE domain. Both thiolysis and lactonization offloading were enumerated, with lactonization allowing all chemically possible ring sizes. This enumeration produced approximately one million polyketide structures (label = 1). Each polyketide was then expanded by one step using all DORAnet enzymatic (3,604) and synthetic (386) templates; for each polyketide, the most structurally similar product from the enzymatic set and from the synthetic set was selected by MCS similarity, yielding approximately two million hard negative examples (label = 0). The final dataset was split 80/10/10 into train, validation, and test sets with stratification to preserve class proportions.</w:t>
      </w:r>
    </w:p>
    <w:p w14:paraId="5E74D279" w14:textId="77777777" w:rsidR="003B6F3D" w:rsidRDefault="00000000">
      <w:pPr>
        <w:spacing w:after="120" w:line="360" w:lineRule="auto"/>
      </w:pPr>
      <w:r>
        <w:rPr>
          <w:b/>
          <w:bCs/>
        </w:rPr>
        <w:t xml:space="preserve">Molecular graph featurization. </w:t>
      </w:r>
      <w:r>
        <w:t>Molecules are represented as graphs where atoms are nodes and bonds are edges. Node features are 40-dimensional: atomic number (one-hot, 13 dim), total degree (7 dim), formal charge (6 dim), total hydrogen count (6 dim), hybridization state (6 dim), aromaticity (1 dim), and ring membership (1 dim). Each category includes an extra “unknown” bucket for out-of-vocabulary values. Edge features are 5-dimensional: bond type (one-hot for single/double/triple/aromatic, 4 dim) plus a self-loop indicator (1 dim). Self-loops are added for all atoms to allow self-attention.</w:t>
      </w:r>
    </w:p>
    <w:p w14:paraId="42BB47F8" w14:textId="77777777" w:rsidR="003B6F3D" w:rsidRDefault="00000000">
      <w:pPr>
        <w:spacing w:after="120" w:line="360" w:lineRule="auto"/>
      </w:pPr>
      <w:r>
        <w:rPr>
          <w:b/>
          <w:bCs/>
        </w:rPr>
        <w:t xml:space="preserve">Model architecture. </w:t>
      </w:r>
      <w:r>
        <w:t xml:space="preserve">The </w:t>
      </w:r>
      <w:proofErr w:type="spellStart"/>
      <w:r>
        <w:t>SupervisedGNNClassifier</w:t>
      </w:r>
      <w:proofErr w:type="spellEnd"/>
      <w:r>
        <w:t xml:space="preserve"> architecture comprises: (1) input projection (40 → 256 via a linear layer), (2) three </w:t>
      </w:r>
      <w:proofErr w:type="spellStart"/>
      <w:r>
        <w:t>GraphAttentionLayer</w:t>
      </w:r>
      <w:proofErr w:type="spellEnd"/>
      <w:r>
        <w:t xml:space="preserve"> blocks, each with 4 attention heads incorporating edge features via a learned linear projection into the attention logits, followed by LayerNorm, ELU, dropout (</w:t>
      </w:r>
      <w:r>
        <w:rPr>
          <w:i/>
          <w:iCs/>
        </w:rPr>
        <w:t>p</w:t>
      </w:r>
      <w:r>
        <w:t xml:space="preserve"> = 0.1), and a residual connection, (3) mean pooling over nodes to produce a 256-dimensional graph-level embedding, and (4) a classification head (256 → 128 with ReLU → 1) with sigmoid output.</w:t>
      </w:r>
    </w:p>
    <w:p w14:paraId="25C4D108" w14:textId="77777777" w:rsidR="003B6F3D" w:rsidRDefault="00000000">
      <w:pPr>
        <w:spacing w:after="120" w:line="360" w:lineRule="auto"/>
      </w:pPr>
      <w:r>
        <w:rPr>
          <w:b/>
          <w:bCs/>
        </w:rPr>
        <w:t xml:space="preserve">Training procedure. </w:t>
      </w:r>
      <w:r>
        <w:t xml:space="preserve">The model is trained with </w:t>
      </w:r>
      <w:proofErr w:type="spellStart"/>
      <w:r>
        <w:t>BCEWithLogitsLoss</w:t>
      </w:r>
      <w:proofErr w:type="spellEnd"/>
      <w:r>
        <w:t xml:space="preserve"> (pos_weight = 2.0) using AdamW (</w:t>
      </w:r>
      <w:proofErr w:type="spellStart"/>
      <w:r>
        <w:t>lr</w:t>
      </w:r>
      <w:proofErr w:type="spellEnd"/>
      <w:r>
        <w:t xml:space="preserve"> = 3×10</w:t>
      </w:r>
      <w:r>
        <w:rPr>
          <w:vertAlign w:val="superscript"/>
        </w:rPr>
        <w:t>–4</w:t>
      </w:r>
      <w:r>
        <w:t>, weight decay = 1×10</w:t>
      </w:r>
      <w:r>
        <w:rPr>
          <w:vertAlign w:val="superscript"/>
        </w:rPr>
        <w:t>–4</w:t>
      </w:r>
      <w:r>
        <w:t xml:space="preserve">). Gradient norms are clipped at 1.0. An optional cosine annealing schedule with linear warmup over the first 5% of epochs is available. Per-GPU batch size is 64; distributed training is supported via PyTorch DistributedDataParallel (DDP) with NCCL backend, allowing multi-GPU scaling via </w:t>
      </w:r>
      <w:proofErr w:type="spellStart"/>
      <w:r>
        <w:t>torchrun</w:t>
      </w:r>
      <w:proofErr w:type="spellEnd"/>
      <w:r>
        <w:t xml:space="preserve"> or SLURM. The best model is selected by validation loss, and AUPRC is used as the primary evaluation metric. GNN predictions were validated against the existing PKS building block database to confirm that all database-confirmed polyketides are correctly classified.</w:t>
      </w:r>
    </w:p>
    <w:p w14:paraId="0A93F4E1" w14:textId="77777777" w:rsidR="003B6F3D" w:rsidRDefault="00000000">
      <w:pPr>
        <w:pStyle w:val="Heading2"/>
      </w:pPr>
      <w:r>
        <w:t>Reaction Feasibility Scoring</w:t>
      </w:r>
    </w:p>
    <w:p w14:paraId="69260E76" w14:textId="77777777" w:rsidR="003B6F3D" w:rsidRDefault="00000000">
      <w:pPr>
        <w:spacing w:after="120" w:line="360" w:lineRule="auto"/>
      </w:pPr>
      <w:r>
        <w:rPr>
          <w:b/>
          <w:bCs/>
        </w:rPr>
        <w:lastRenderedPageBreak/>
        <w:t xml:space="preserve">DORA-XGB for enzymatic reactions. </w:t>
      </w:r>
      <w:r>
        <w:t xml:space="preserve">Enzymatic reaction feasibility is predicted using DORA-XGB, a gradient-boosted tree classifier that we previously developed and published. DORA-XGB predicts the probability that a given enzymatic reaction is feasible on a 0–1 scale, with a binary feasibility label assigned at a threshold of 0.5. During TridentSynthRL execution, each enzymatic reaction in the retrosynthetic tree is scored by reversing the retro-reaction to its forward form and passing it through DORA-XGB. Feasibility scores are stored on each node and used both for fragment </w:t>
      </w:r>
      <w:proofErr w:type="spellStart"/>
      <w:r>
        <w:t>downselection</w:t>
      </w:r>
      <w:proofErr w:type="spellEnd"/>
      <w:r>
        <w:t xml:space="preserve"> and for thermodynamic reward scaling.</w:t>
      </w:r>
    </w:p>
    <w:p w14:paraId="7405C3F1" w14:textId="77777777" w:rsidR="003B6F3D" w:rsidRDefault="00000000">
      <w:pPr>
        <w:spacing w:after="120" w:line="360" w:lineRule="auto"/>
      </w:pPr>
      <w:r>
        <w:rPr>
          <w:b/>
          <w:bCs/>
        </w:rPr>
        <w:t xml:space="preserve">Thermodynamic scoring via pathermo. </w:t>
      </w:r>
      <w:r>
        <w:t>Synthetic reaction feasibility is assessed thermodynamically using pathermo, which estimates enthalpies of formation (</w:t>
      </w:r>
      <w:proofErr w:type="spellStart"/>
      <w:r>
        <w:t>Δ</w:t>
      </w:r>
      <w:r>
        <w:rPr>
          <w:i/>
          <w:iCs/>
        </w:rPr>
        <w:t>H</w:t>
      </w:r>
      <w:r>
        <w:rPr>
          <w:vertAlign w:val="subscript"/>
        </w:rPr>
        <w:t>f</w:t>
      </w:r>
      <w:proofErr w:type="spellEnd"/>
      <w:r>
        <w:t>) via Benson group additivity. The enthalpy of reaction (</w:t>
      </w:r>
      <w:proofErr w:type="spellStart"/>
      <w:r>
        <w:t>Δ</w:t>
      </w:r>
      <w:r>
        <w:rPr>
          <w:i/>
          <w:iCs/>
        </w:rPr>
        <w:t>H</w:t>
      </w:r>
      <w:r>
        <w:rPr>
          <w:vertAlign w:val="subscript"/>
        </w:rPr>
        <w:t>rxn</w:t>
      </w:r>
      <w:proofErr w:type="spellEnd"/>
      <w:r>
        <w:t>) is computed for each forward reaction. A feasibility threshold of Δ</w:t>
      </w:r>
      <w:r>
        <w:rPr>
          <w:i/>
          <w:iCs/>
        </w:rPr>
        <w:t>H</w:t>
      </w:r>
      <w:r>
        <w:t xml:space="preserve"> &lt; 15 kcal/mol is applied for binary classification. For continuous scoring, a sigmoid transformation converts Δ</w:t>
      </w:r>
      <w:r>
        <w:rPr>
          <w:i/>
          <w:iCs/>
        </w:rPr>
        <w:t>H</w:t>
      </w:r>
      <w:r>
        <w:t xml:space="preserve"> to a 0–1 feasibility score: score = 1/(1 + exp(0.2 × (Δ</w:t>
      </w:r>
      <w:r>
        <w:rPr>
          <w:i/>
          <w:iCs/>
        </w:rPr>
        <w:t>H</w:t>
      </w:r>
      <w:r>
        <w:t xml:space="preserve"> − 15))). This maps strongly exothermic reactions (Δ</w:t>
      </w:r>
      <w:r>
        <w:rPr>
          <w:i/>
          <w:iCs/>
        </w:rPr>
        <w:t>H</w:t>
      </w:r>
      <w:r>
        <w:t xml:space="preserve"> ≪ 0) to scores near 1.0 and strongly endothermic reactions (Δ</w:t>
      </w:r>
      <w:r>
        <w:rPr>
          <w:i/>
          <w:iCs/>
        </w:rPr>
        <w:t>H</w:t>
      </w:r>
      <w:r>
        <w:t xml:space="preserve"> ≫ 15) to scores near 0.0, with a smooth transition centered at 15 kcal/mol.</w:t>
      </w:r>
    </w:p>
    <w:p w14:paraId="1C3AF727" w14:textId="77777777" w:rsidR="003B6F3D" w:rsidRDefault="00000000">
      <w:pPr>
        <w:spacing w:after="120" w:line="360" w:lineRule="auto"/>
      </w:pPr>
      <w:r>
        <w:rPr>
          <w:b/>
          <w:bCs/>
        </w:rPr>
        <w:t xml:space="preserve">Thermodynamic reward scaling. </w:t>
      </w:r>
      <w:r>
        <w:t xml:space="preserve">To bias the MCTS search toward thermodynamically feasible pathways, a </w:t>
      </w:r>
      <w:proofErr w:type="spellStart"/>
      <w:r>
        <w:t>ThermodynamicScaledRewardPolicy</w:t>
      </w:r>
      <w:proofErr w:type="spellEnd"/>
      <w:r>
        <w:t xml:space="preserve"> wraps the base reward policy. Pathway feasibility is computed as the geometric mean of all per-step feasibility scores along the path from root to the current node, normalizing for path length. The final scaled reward is computed as: </w:t>
      </w:r>
      <w:proofErr w:type="spellStart"/>
      <w:r>
        <w:t>reward</w:t>
      </w:r>
      <w:r>
        <w:rPr>
          <w:vertAlign w:val="subscript"/>
        </w:rPr>
        <w:t>scaled</w:t>
      </w:r>
      <w:proofErr w:type="spellEnd"/>
      <w:r>
        <w:t xml:space="preserve"> = </w:t>
      </w:r>
      <w:proofErr w:type="spellStart"/>
      <w:r>
        <w:t>reward</w:t>
      </w:r>
      <w:r>
        <w:rPr>
          <w:vertAlign w:val="subscript"/>
        </w:rPr>
        <w:t>base</w:t>
      </w:r>
      <w:proofErr w:type="spellEnd"/>
      <w:r>
        <w:t xml:space="preserve"> × ((1 − </w:t>
      </w:r>
      <w:r>
        <w:rPr>
          <w:i/>
          <w:iCs/>
        </w:rPr>
        <w:t>w</w:t>
      </w:r>
      <w:r>
        <w:t xml:space="preserve">) + </w:t>
      </w:r>
      <w:r>
        <w:rPr>
          <w:i/>
          <w:iCs/>
        </w:rPr>
        <w:t>w</w:t>
      </w:r>
      <w:r>
        <w:t xml:space="preserve"> × </w:t>
      </w:r>
      <w:proofErr w:type="spellStart"/>
      <w:r>
        <w:t>pathway_feasibility</w:t>
      </w:r>
      <w:proofErr w:type="spellEnd"/>
      <w:r>
        <w:t xml:space="preserve">), where </w:t>
      </w:r>
      <w:r>
        <w:rPr>
          <w:i/>
          <w:iCs/>
        </w:rPr>
        <w:t>w</w:t>
      </w:r>
      <w:r>
        <w:t xml:space="preserve"> = 0.8 by default. This soft scaling </w:t>
      </w:r>
      <w:proofErr w:type="spellStart"/>
      <w:r>
        <w:t>downweights</w:t>
      </w:r>
      <w:proofErr w:type="spellEnd"/>
      <w:r>
        <w:t xml:space="preserve"> thermodynamically unfavorable pathways without completely zeroing their rewards, allowing the MCTS to still explore them if they lead to otherwise promising terminal states.</w:t>
      </w:r>
    </w:p>
    <w:p w14:paraId="1D285DB9" w14:textId="77777777" w:rsidR="003B6F3D" w:rsidRDefault="00000000">
      <w:r>
        <w:br w:type="page"/>
      </w:r>
    </w:p>
    <w:p w14:paraId="30A051C8" w14:textId="77777777" w:rsidR="003B6F3D" w:rsidRDefault="00000000">
      <w:pPr>
        <w:pStyle w:val="Heading1"/>
      </w:pPr>
      <w:r>
        <w:lastRenderedPageBreak/>
        <w:t>Conclusion</w:t>
      </w:r>
    </w:p>
    <w:p w14:paraId="116E3BC1" w14:textId="77777777" w:rsidR="003B6F3D" w:rsidRDefault="00000000">
      <w:pPr>
        <w:spacing w:after="120" w:line="360" w:lineRule="auto"/>
      </w:pPr>
      <w:r>
        <w:t xml:space="preserve">We have presented TridentSynthRL, the first retrosynthetic planning framework to unify synthetic organic chemistry, monofunctional enzymatic catalysis, and type I polyketide synthase biosynthesis within a single hierarchical Monte Carlo tree search. The framework introduces a two-agent architecture in which a chemoenzymatic retrosynthetic agent spawns forward-synthesis PKS agents when polyketide intermediates are detected, creating a bidirectional feedback loop between backward retrosynthetic fragmentation and forward biosynthetic verification. A supervised graph neural network trained on approximately one million synthetically generated polyketides and two million hard negatives detects PKS-synthesizable intermediates, while DORA-XGB enzymatic feasibility scoring and Benson group additivity thermodynamic estimates bias the search toward executable pathways. Deployed on the kavalactone family from </w:t>
      </w:r>
      <w:r>
        <w:rPr>
          <w:i/>
          <w:iCs/>
        </w:rPr>
        <w:t>Piper methysticum</w:t>
      </w:r>
      <w:r>
        <w:t>, TridentSynthRL designed retrosynthetic pathways to all 15 family members, with each compound reachable via at least one PKS-involving route. For the natural product cryptofolione, TridentSynthRL proposed a more efficient pathway using a 2-module PKS coupled with ring-opening metathesis, compared to a previously published 5-module design—demonstrating that by reasoning across synthesis modalities simultaneously, globally more efficient pathway designs become accessible.</w:t>
      </w:r>
    </w:p>
    <w:p w14:paraId="4CF70346" w14:textId="77777777" w:rsidR="003B6F3D" w:rsidRDefault="00000000">
      <w:pPr>
        <w:spacing w:after="120" w:line="360" w:lineRule="auto"/>
      </w:pPr>
      <w:r>
        <w:t>Several avenues for future development are worth pursuing. The reaction template library could be expanded to include additional enzyme classes and emerging catalytic chemistries. Incorporating learned value functions—for example, graph neural networks that predict node-level synthesis feasibility—could replace or augment UCB1 selection with more informed search guidance. Reaction condition compatibility checking would ensure that sequential steps use compatible solvents, temperatures, and catalysts. Extension to other natural product families beyond kavalactones, as well as commodity chemicals and pharmaceutical intermediates, would further test the generality of the framework. Finally, experimental validation of the proposed pathways remains the critical next step toward establishing TridentSynthRL as a practical tool for synthesis planning at the interface of chemistry and biology.</w:t>
      </w:r>
    </w:p>
    <w:p w14:paraId="3B457C0E" w14:textId="77777777" w:rsidR="003B6F3D" w:rsidRDefault="00000000">
      <w:r>
        <w:br w:type="page"/>
      </w:r>
    </w:p>
    <w:p w14:paraId="73B506F1" w14:textId="77777777" w:rsidR="003B6F3D" w:rsidRDefault="00000000">
      <w:pPr>
        <w:pStyle w:val="Heading1"/>
      </w:pPr>
      <w:r>
        <w:lastRenderedPageBreak/>
        <w:t>Associated Content</w:t>
      </w:r>
    </w:p>
    <w:p w14:paraId="02D82DF0" w14:textId="77777777" w:rsidR="003B6F3D" w:rsidRDefault="00000000">
      <w:pPr>
        <w:pStyle w:val="Heading2"/>
      </w:pPr>
      <w:r>
        <w:t>Supporting Information</w:t>
      </w:r>
    </w:p>
    <w:p w14:paraId="3A66F055" w14:textId="77777777" w:rsidR="003B6F3D" w:rsidRDefault="00000000">
      <w:pPr>
        <w:spacing w:after="120" w:line="360" w:lineRule="auto"/>
      </w:pPr>
      <w:r>
        <w:t>The Supporting Information is available free of charge on the ACS Publications website.</w:t>
      </w:r>
    </w:p>
    <w:p w14:paraId="1A1EC3CD" w14:textId="77777777" w:rsidR="003B6F3D" w:rsidRDefault="003B6F3D">
      <w:pPr>
        <w:spacing w:after="80"/>
      </w:pPr>
    </w:p>
    <w:p w14:paraId="294A4E90" w14:textId="77777777" w:rsidR="003B6F3D" w:rsidRDefault="00000000">
      <w:pPr>
        <w:spacing w:after="120" w:line="360" w:lineRule="auto"/>
      </w:pPr>
      <w:r>
        <w:t>Complete retrosynthetic pathway designs for all 15 kavalactone family members, including PKS module specifications, reaction conditions, building block identities, DORA-XGB feasibility scores, and thermodynamic data; GNN classifier training curves and AUPRC performance metrics; MCTS convergence analysis showing pathway discovery rate as a function of iteration count for representative targets (PDF).</w:t>
      </w:r>
    </w:p>
    <w:p w14:paraId="22B4C1E8" w14:textId="77777777" w:rsidR="003B6F3D" w:rsidRDefault="003B6F3D">
      <w:pPr>
        <w:spacing w:after="80"/>
      </w:pPr>
    </w:p>
    <w:p w14:paraId="0B7FA1B9" w14:textId="77777777" w:rsidR="003B6F3D" w:rsidRDefault="00000000">
      <w:pPr>
        <w:pStyle w:val="Heading2"/>
      </w:pPr>
      <w:r>
        <w:t>Author Information</w:t>
      </w:r>
    </w:p>
    <w:p w14:paraId="3A6BF1C7" w14:textId="77777777" w:rsidR="003B6F3D" w:rsidRDefault="00000000">
      <w:pPr>
        <w:spacing w:after="120" w:line="360" w:lineRule="auto"/>
      </w:pPr>
      <w:r>
        <w:rPr>
          <w:b/>
          <w:bCs/>
        </w:rPr>
        <w:t>Corresponding Author</w:t>
      </w:r>
    </w:p>
    <w:p w14:paraId="5A272247" w14:textId="77777777" w:rsidR="003B6F3D" w:rsidRDefault="00000000">
      <w:pPr>
        <w:spacing w:after="120" w:line="360" w:lineRule="auto"/>
      </w:pPr>
      <w:r>
        <w:rPr>
          <w:i/>
          <w:iCs/>
        </w:rPr>
        <w:t>[To be added]</w:t>
      </w:r>
    </w:p>
    <w:p w14:paraId="2A5AE678" w14:textId="77777777" w:rsidR="003B6F3D" w:rsidRDefault="003B6F3D">
      <w:pPr>
        <w:spacing w:after="80"/>
      </w:pPr>
    </w:p>
    <w:p w14:paraId="7C4859EA" w14:textId="77777777" w:rsidR="003B6F3D" w:rsidRDefault="00000000">
      <w:pPr>
        <w:spacing w:after="120" w:line="360" w:lineRule="auto"/>
      </w:pPr>
      <w:r>
        <w:rPr>
          <w:b/>
          <w:bCs/>
        </w:rPr>
        <w:t>Author Contributions</w:t>
      </w:r>
    </w:p>
    <w:p w14:paraId="7EAE5B6B" w14:textId="77777777" w:rsidR="003B6F3D" w:rsidRDefault="00000000">
      <w:pPr>
        <w:spacing w:after="120" w:line="360" w:lineRule="auto"/>
      </w:pPr>
      <w:r>
        <w:rPr>
          <w:i/>
          <w:iCs/>
        </w:rPr>
        <w:t>[To be added]</w:t>
      </w:r>
    </w:p>
    <w:p w14:paraId="01F609FE" w14:textId="77777777" w:rsidR="003B6F3D" w:rsidRDefault="003B6F3D">
      <w:pPr>
        <w:spacing w:after="80"/>
      </w:pPr>
    </w:p>
    <w:p w14:paraId="56E9FAF6" w14:textId="77777777" w:rsidR="003B6F3D" w:rsidRDefault="00000000">
      <w:pPr>
        <w:spacing w:after="120" w:line="360" w:lineRule="auto"/>
      </w:pPr>
      <w:r>
        <w:rPr>
          <w:b/>
          <w:bCs/>
        </w:rPr>
        <w:t>Notes</w:t>
      </w:r>
    </w:p>
    <w:p w14:paraId="694D9738" w14:textId="77777777" w:rsidR="003B6F3D" w:rsidRDefault="00000000">
      <w:pPr>
        <w:spacing w:after="120" w:line="360" w:lineRule="auto"/>
      </w:pPr>
      <w:r>
        <w:t>The authors declare no competing financial interest.</w:t>
      </w:r>
    </w:p>
    <w:p w14:paraId="60AF26BE" w14:textId="77777777" w:rsidR="003B6F3D" w:rsidRDefault="003B6F3D">
      <w:pPr>
        <w:spacing w:after="80"/>
      </w:pPr>
    </w:p>
    <w:p w14:paraId="3A6E3A57" w14:textId="77777777" w:rsidR="003B6F3D" w:rsidRDefault="00000000">
      <w:pPr>
        <w:pStyle w:val="Heading2"/>
      </w:pPr>
      <w:r>
        <w:t>Acknowledgments</w:t>
      </w:r>
    </w:p>
    <w:p w14:paraId="31C0E3FD" w14:textId="77777777" w:rsidR="003B6F3D" w:rsidRDefault="00000000">
      <w:pPr>
        <w:spacing w:after="120" w:line="360" w:lineRule="auto"/>
      </w:pPr>
      <w:r>
        <w:rPr>
          <w:i/>
          <w:iCs/>
        </w:rPr>
        <w:t>[To be added]</w:t>
      </w:r>
    </w:p>
    <w:p w14:paraId="4FF72638" w14:textId="77777777" w:rsidR="003B6F3D" w:rsidRDefault="00000000">
      <w:r>
        <w:br w:type="page"/>
      </w:r>
    </w:p>
    <w:p w14:paraId="57820CDB" w14:textId="77777777" w:rsidR="003B6F3D" w:rsidRDefault="00000000">
      <w:pPr>
        <w:pStyle w:val="Heading1"/>
      </w:pPr>
      <w:r>
        <w:lastRenderedPageBreak/>
        <w:t>References</w:t>
      </w:r>
    </w:p>
    <w:p w14:paraId="33341795" w14:textId="77777777" w:rsidR="003B6F3D" w:rsidRDefault="00000000">
      <w:pPr>
        <w:spacing w:after="120" w:line="360" w:lineRule="auto"/>
      </w:pPr>
      <w:r>
        <w:rPr>
          <w:i/>
          <w:iCs/>
        </w:rPr>
        <w:t xml:space="preserve">[References to be compiled. Key citations to include: Segler et al. 2018 (MCTS for retrosynthesis); Levin et al. 2022 (chemoenzymatic retrosynthesis); Chainani et al. 2025 (RetroTide, DORAnet, BioPKS); Chainani et al. 2023 (coupling chemistry and biology); Koch et al. 2019 (RetroPathRL); Yu et al. 2024 (bidirectional synthesis planning); Keatinge-Clay 2012 (PKS structures); Khosla 2009 (PKS mechanisms); Browne et al. 2012 (MCTS survey); Sutton &amp; Barto 1998 (RL textbook); Newman &amp; Cragg 2020 (natural products as drugs); Keasling 2010 (manufacturing molecules); Anand, Upadhyay &amp; </w:t>
      </w:r>
      <w:proofErr w:type="spellStart"/>
      <w:r>
        <w:rPr>
          <w:i/>
          <w:iCs/>
        </w:rPr>
        <w:t>Maranas</w:t>
      </w:r>
      <w:proofErr w:type="spellEnd"/>
      <w:r>
        <w:rPr>
          <w:i/>
          <w:iCs/>
        </w:rPr>
        <w:t xml:space="preserve"> 2025 (</w:t>
      </w:r>
      <w:proofErr w:type="spellStart"/>
      <w:r>
        <w:rPr>
          <w:i/>
          <w:iCs/>
        </w:rPr>
        <w:t>minChemBio</w:t>
      </w:r>
      <w:proofErr w:type="spellEnd"/>
      <w:r>
        <w:rPr>
          <w:i/>
          <w:iCs/>
        </w:rPr>
        <w:t xml:space="preserve">); Liu, Zhao &amp; Li 2025 (chemoenzymatic synthesis planning); Kreutter &amp; Reymond 2024 (chemoenzymatic retrosynthesis); Drewes, Horn &amp; Shaw 1995 (cryptofolione); Ni et al. 2021 (enzymatic reaction rules); </w:t>
      </w:r>
      <w:proofErr w:type="spellStart"/>
      <w:r>
        <w:rPr>
          <w:i/>
          <w:iCs/>
        </w:rPr>
        <w:t>Duigou</w:t>
      </w:r>
      <w:proofErr w:type="spellEnd"/>
      <w:r>
        <w:rPr>
          <w:i/>
          <w:iCs/>
        </w:rPr>
        <w:t xml:space="preserve"> et al. 2019 (RetroRules); Carbonell et al. 2014 (RetroPath); Tu et al. 2025 (ASKCOS)]</w:t>
      </w:r>
    </w:p>
    <w:sectPr w:rsidR="003B6F3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8A9A5" w14:textId="77777777" w:rsidR="00FC02C6" w:rsidRDefault="00FC02C6">
      <w:r>
        <w:separator/>
      </w:r>
    </w:p>
  </w:endnote>
  <w:endnote w:type="continuationSeparator" w:id="0">
    <w:p w14:paraId="38FBED99" w14:textId="77777777" w:rsidR="00FC02C6" w:rsidRDefault="00FC0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1BAAE" w14:textId="77777777" w:rsidR="003B6F3D"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58785A">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CF948" w14:textId="77777777" w:rsidR="00FC02C6" w:rsidRDefault="00FC02C6">
      <w:r>
        <w:separator/>
      </w:r>
    </w:p>
  </w:footnote>
  <w:footnote w:type="continuationSeparator" w:id="0">
    <w:p w14:paraId="1E6C40E6" w14:textId="77777777" w:rsidR="00FC02C6" w:rsidRDefault="00FC02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09C0F" w14:textId="77777777" w:rsidR="003B6F3D" w:rsidRDefault="00000000">
    <w:pPr>
      <w:jc w:val="right"/>
    </w:pPr>
    <w:r>
      <w:rPr>
        <w:i/>
        <w:iCs/>
        <w:color w:val="999999"/>
        <w:sz w:val="18"/>
        <w:szCs w:val="18"/>
      </w:rPr>
      <w:t>TridentSynthRL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B4029"/>
    <w:multiLevelType w:val="hybridMultilevel"/>
    <w:tmpl w:val="61D82C76"/>
    <w:lvl w:ilvl="0" w:tplc="0A500186">
      <w:start w:val="1"/>
      <w:numFmt w:val="bullet"/>
      <w:lvlText w:val="●"/>
      <w:lvlJc w:val="left"/>
      <w:pPr>
        <w:ind w:left="720" w:hanging="360"/>
      </w:pPr>
    </w:lvl>
    <w:lvl w:ilvl="1" w:tplc="ECA40AF6">
      <w:start w:val="1"/>
      <w:numFmt w:val="bullet"/>
      <w:lvlText w:val="○"/>
      <w:lvlJc w:val="left"/>
      <w:pPr>
        <w:ind w:left="1440" w:hanging="360"/>
      </w:pPr>
    </w:lvl>
    <w:lvl w:ilvl="2" w:tplc="EA8A61AA">
      <w:start w:val="1"/>
      <w:numFmt w:val="bullet"/>
      <w:lvlText w:val="■"/>
      <w:lvlJc w:val="left"/>
      <w:pPr>
        <w:ind w:left="2160" w:hanging="360"/>
      </w:pPr>
    </w:lvl>
    <w:lvl w:ilvl="3" w:tplc="1EBA2AEE">
      <w:start w:val="1"/>
      <w:numFmt w:val="bullet"/>
      <w:lvlText w:val="●"/>
      <w:lvlJc w:val="left"/>
      <w:pPr>
        <w:ind w:left="2880" w:hanging="360"/>
      </w:pPr>
    </w:lvl>
    <w:lvl w:ilvl="4" w:tplc="5DC2406A">
      <w:start w:val="1"/>
      <w:numFmt w:val="bullet"/>
      <w:lvlText w:val="○"/>
      <w:lvlJc w:val="left"/>
      <w:pPr>
        <w:ind w:left="3600" w:hanging="360"/>
      </w:pPr>
    </w:lvl>
    <w:lvl w:ilvl="5" w:tplc="8DC06A96">
      <w:start w:val="1"/>
      <w:numFmt w:val="bullet"/>
      <w:lvlText w:val="■"/>
      <w:lvlJc w:val="left"/>
      <w:pPr>
        <w:ind w:left="4320" w:hanging="360"/>
      </w:pPr>
    </w:lvl>
    <w:lvl w:ilvl="6" w:tplc="7A3CD11C">
      <w:start w:val="1"/>
      <w:numFmt w:val="bullet"/>
      <w:lvlText w:val="●"/>
      <w:lvlJc w:val="left"/>
      <w:pPr>
        <w:ind w:left="5040" w:hanging="360"/>
      </w:pPr>
    </w:lvl>
    <w:lvl w:ilvl="7" w:tplc="A55ADF98">
      <w:start w:val="1"/>
      <w:numFmt w:val="bullet"/>
      <w:lvlText w:val="●"/>
      <w:lvlJc w:val="left"/>
      <w:pPr>
        <w:ind w:left="5760" w:hanging="360"/>
      </w:pPr>
    </w:lvl>
    <w:lvl w:ilvl="8" w:tplc="5212F632">
      <w:start w:val="1"/>
      <w:numFmt w:val="bullet"/>
      <w:lvlText w:val="●"/>
      <w:lvlJc w:val="left"/>
      <w:pPr>
        <w:ind w:left="6480" w:hanging="360"/>
      </w:pPr>
    </w:lvl>
  </w:abstractNum>
  <w:num w:numId="1" w16cid:durableId="1006712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F3D"/>
    <w:rsid w:val="003B6F3D"/>
    <w:rsid w:val="0058785A"/>
    <w:rsid w:val="00772425"/>
    <w:rsid w:val="00FC0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B5ABC7"/>
  <w15:docId w15:val="{9FD8B555-FE6D-1445-9979-A8E1ACC39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unhideWhenUsed/>
    <w:qFormat/>
    <w:pPr>
      <w:spacing w:before="280" w:after="200"/>
      <w:outlineLvl w:val="1"/>
    </w:pPr>
    <w:rPr>
      <w:b/>
      <w:bCs/>
    </w:rPr>
  </w:style>
  <w:style w:type="paragraph" w:styleId="Heading3">
    <w:name w:val="heading 3"/>
    <w:uiPriority w:val="9"/>
    <w:semiHidden/>
    <w:unhideWhenUsed/>
    <w:qFormat/>
    <w:pPr>
      <w:spacing w:before="240" w:after="1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22</Pages>
  <Words>5917</Words>
  <Characters>38761</Characters>
  <Application>Microsoft Office Word</Application>
  <DocSecurity>0</DocSecurity>
  <Lines>570</Lines>
  <Paragraphs>216</Paragraphs>
  <ScaleCrop>false</ScaleCrop>
  <Company/>
  <LinksUpToDate>false</LinksUpToDate>
  <CharactersWithSpaces>44462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Mukesh Chainani</cp:lastModifiedBy>
  <cp:revision>2</cp:revision>
  <dcterms:created xsi:type="dcterms:W3CDTF">2026-02-17T18:15:00Z</dcterms:created>
  <dcterms:modified xsi:type="dcterms:W3CDTF">2026-02-19T23:07:00Z</dcterms:modified>
</cp:coreProperties>
</file>