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2"/>
          <w:szCs w:val="32"/>
        </w:rPr>
        <w:t xml:space="preserve">MANUSCRIPT OUTLINE</w:t>
      </w:r>
    </w:p>
    <w:p>
      <w:pPr>
        <w:spacing w:after="80"/>
        <w:jc w:val="center"/>
      </w:pPr>
      <w:r>
        <w:rPr>
          <w:rFonts w:ascii="Arial" w:cs="Arial" w:eastAsia="Arial" w:hAnsi="Arial"/>
          <w:b/>
          <w:bCs/>
          <w:sz w:val="26"/>
          <w:szCs w:val="26"/>
        </w:rPr>
        <w:t xml:space="preserve">Reinforcement Learning for Retrosynthesis with Chemoenzymatic</w:t>
      </w:r>
    </w:p>
    <w:p>
      <w:pPr>
        <w:spacing w:after="80"/>
        <w:jc w:val="center"/>
      </w:pPr>
      <w:r>
        <w:rPr>
          <w:rFonts w:ascii="Arial" w:cs="Arial" w:eastAsia="Arial" w:hAnsi="Arial"/>
          <w:b/>
          <w:bCs/>
          <w:sz w:val="26"/>
          <w:szCs w:val="26"/>
        </w:rPr>
        <w:t xml:space="preserve">Reactions and Type I Polyketide Synthases</w:t>
      </w:r>
    </w:p>
    <w:p>
      <w:pPr>
        <w:spacing w:after="200"/>
        <w:jc w:val="center"/>
      </w:pPr>
      <w:r>
        <w:rPr>
          <w:rFonts w:ascii="Arial" w:cs="Arial" w:eastAsia="Arial" w:hAnsi="Arial"/>
          <w:i/>
          <w:iCs/>
          <w:sz w:val="22"/>
          <w:szCs w:val="22"/>
        </w:rPr>
        <w:t xml:space="preserve">Target journal: ACS Synthetic Biology</w:t>
      </w:r>
    </w:p>
    <w:p>
      <w:pPr>
        <w:spacing w:after="400"/>
        <w:jc w:val="center"/>
      </w:pPr>
      <w:r>
        <w:rPr>
          <w:rFonts w:ascii="Arial" w:cs="Arial" w:eastAsia="Arial" w:hAnsi="Arial"/>
          <w:i/>
          <w:iCs/>
          <w:color w:val="666666"/>
          <w:sz w:val="20"/>
          <w:szCs w:val="20"/>
        </w:rPr>
        <w:t xml:space="preserve">Note: ACS Synthetic Biology places Results before Methods. This outline follows that convention.</w:t>
      </w:r>
    </w:p>
    <w:p>
      <w:pPr>
        <w:pStyle w:val="Heading1"/>
        <w:spacing w:before="360" w:after="200"/>
      </w:pPr>
      <w:r>
        <w:rPr>
          <w:rFonts w:ascii="Arial" w:cs="Arial" w:eastAsia="Arial" w:hAnsi="Arial"/>
          <w:b/>
          <w:bCs/>
          <w:sz w:val="28"/>
          <w:szCs w:val="28"/>
        </w:rPr>
        <w:t xml:space="preserve">Abstract</w:t>
      </w:r>
    </w:p>
    <w:p>
      <w:pPr>
        <w:spacing w:after="120" w:line="276"/>
      </w:pPr>
      <w:r>
        <w:rPr>
          <w:rFonts w:ascii="Arial" w:cs="Arial" w:eastAsia="Arial" w:hAnsi="Arial"/>
          <w:i/>
          <w:iCs/>
          <w:color w:val="666666"/>
          <w:sz w:val="20"/>
          <w:szCs w:val="20"/>
        </w:rPr>
        <w:t xml:space="preserve">Authoring note: Write last. ~150 words for ACS Synth. Biol. The abstract should concisely cover: (1) the problem—current retrosynthesis tools treat chemical and biological catalysis separately, missing chemoenzymatic routes; (2) the approach—TridentSynthRL, a hierarchical multi-agent MCTS framework unifying synthetic chemistry, monofunctional enzymes, and type I PKSs; (3) key methodological innovations—the GNN polyketide classifier, the two-agent hierarchy with RetroTide spawning, thermodynamic feasibility scoring; (4) results—successful pathway design for all 15 kavalactones and a shorter route to cryptofolione; (5) significance—first retrosynthesis planner to integrate chemoenzymatic reactions with PKS biosynthesis in a single search.</w:t>
      </w:r>
    </w:p>
    <w:p>
      <w:pPr>
        <w:spacing w:after="80"/>
      </w:pPr>
    </w:p>
    <w:p>
      <w:pPr>
        <w:pStyle w:val="Heading1"/>
        <w:spacing w:before="360" w:after="200"/>
      </w:pPr>
      <w:r>
        <w:rPr>
          <w:rFonts w:ascii="Arial" w:cs="Arial" w:eastAsia="Arial" w:hAnsi="Arial"/>
          <w:b/>
          <w:bCs/>
          <w:sz w:val="28"/>
          <w:szCs w:val="28"/>
        </w:rPr>
        <w:t xml:space="preserve">Introduction</w:t>
      </w:r>
    </w:p>
    <w:p>
      <w:pPr>
        <w:spacing w:after="120" w:line="276"/>
      </w:pPr>
      <w:r>
        <w:rPr>
          <w:rFonts w:ascii="Arial" w:cs="Arial" w:eastAsia="Arial" w:hAnsi="Arial"/>
          <w:i/>
          <w:iCs/>
          <w:color w:val="666666"/>
          <w:sz w:val="20"/>
          <w:szCs w:val="20"/>
        </w:rPr>
        <w:t xml:space="preserve">Authoring note: ~4–5 paragraphs. ACS Synth. Biol. introductions are concise. Each paragraph below maps to one paragraph in the final manuscript.</w:t>
      </w:r>
    </w:p>
    <w:p>
      <w:pPr>
        <w:spacing w:after="80"/>
      </w:pPr>
    </w:p>
    <w:p>
      <w:pPr>
        <w:pStyle w:val="Heading3"/>
        <w:spacing w:before="200" w:after="120"/>
      </w:pPr>
      <w:r>
        <w:rPr>
          <w:rFonts w:ascii="Arial" w:cs="Arial" w:eastAsia="Arial" w:hAnsi="Arial"/>
          <w:b/>
          <w:bCs/>
          <w:sz w:val="22"/>
          <w:szCs w:val="22"/>
        </w:rPr>
        <w:t xml:space="preserve">Paragraph 1: The retrosynthesis problem and computational approaches</w:t>
      </w:r>
    </w:p>
    <w:p>
      <w:pPr>
        <w:spacing w:after="160" w:line="276"/>
      </w:pPr>
      <w:r>
        <w:rPr>
          <w:rFonts w:ascii="Arial" w:cs="Arial" w:eastAsia="Arial" w:hAnsi="Arial"/>
          <w:sz w:val="22"/>
          <w:szCs w:val="22"/>
        </w:rPr>
        <w:t xml:space="preserve">Open with the fundamental challenge of retrosynthetic planning: given a target molecule, identify a sequence of reactions that builds it from available starting materials. Briefly survey existing computational approaches—template-based methods (e.g., ASKCOS/retroSim, Retro*), template-free transformer models (e.g., single-step RetroTranformers, Chemformer), and MCTS-based planners (e.g., Segler et al. 2018). Note that virtually all existing tools operate exclusively within the domain of </w:t>
      </w:r>
      <w:r>
        <w:rPr>
          <w:rFonts w:ascii="Arial" w:cs="Arial" w:eastAsia="Arial" w:hAnsi="Arial"/>
          <w:b/>
          <w:bCs/>
          <w:sz w:val="22"/>
          <w:szCs w:val="22"/>
        </w:rPr>
        <w:t xml:space="preserve">synthetic organic chemistry</w:t>
      </w:r>
      <w:r>
        <w:rPr>
          <w:rFonts w:ascii="Arial" w:cs="Arial" w:eastAsia="Arial" w:hAnsi="Arial"/>
          <w:sz w:val="22"/>
          <w:szCs w:val="22"/>
        </w:rPr>
        <w:t xml:space="preserve">, leaving biological catalysis unexplored.</w:t>
      </w:r>
    </w:p>
    <w:p>
      <w:pPr>
        <w:spacing w:after="80"/>
      </w:pPr>
    </w:p>
    <w:p>
      <w:pPr>
        <w:pStyle w:val="Heading3"/>
        <w:spacing w:before="200" w:after="120"/>
      </w:pPr>
      <w:r>
        <w:rPr>
          <w:rFonts w:ascii="Arial" w:cs="Arial" w:eastAsia="Arial" w:hAnsi="Arial"/>
          <w:b/>
          <w:bCs/>
          <w:sz w:val="22"/>
          <w:szCs w:val="22"/>
        </w:rPr>
        <w:t xml:space="preserve">Paragraph 2: The complementary strengths of chemical and enzymatic catalysis</w:t>
      </w:r>
    </w:p>
    <w:p>
      <w:pPr>
        <w:spacing w:after="160" w:line="276"/>
      </w:pPr>
      <w:r>
        <w:rPr>
          <w:rFonts w:ascii="Arial" w:cs="Arial" w:eastAsia="Arial" w:hAnsi="Arial"/>
          <w:sz w:val="22"/>
          <w:szCs w:val="22"/>
        </w:rPr>
        <w:t xml:space="preserve">Introduce the three synthesis modalities that TridentSynthRL unifies (</w:t>
      </w:r>
      <w:r>
        <w:rPr>
          <w:rFonts w:ascii="Arial" w:cs="Arial" w:eastAsia="Arial" w:hAnsi="Arial"/>
          <w:b/>
          <w:bCs/>
          <w:sz w:val="22"/>
          <w:szCs w:val="22"/>
        </w:rPr>
        <w:t xml:space="preserve">Fig. 1</w:t>
      </w:r>
      <w:r>
        <w:rPr>
          <w:rFonts w:ascii="Arial" w:cs="Arial" w:eastAsia="Arial" w:hAnsi="Arial"/>
          <w:sz w:val="22"/>
          <w:szCs w:val="22"/>
        </w:rPr>
        <w:t xml:space="preserve">). Synthetic chemistry handles conditions enzymes cannot—cytotoxic intermediates, extreme temperatures and pressures, and a broad repertoire of functional group transformations. Monofunctional enzymes (~30–40 kDa) excel at stereoselective and regioselective modifications of existing carbon backbones (e.g., alcohol dehydrogenases, decarboxylases, methyltransferases). Multifunctional enzymes like type I polyketide synthases (~2000 kDa, “molecular lego”) iteratively condense acyl-CoA substrates to construct elongated carbon backbones with precise stereochemical control. Argue that coupling all three modalities can access a wider chemical space than any single route alone.</w:t>
      </w:r>
    </w:p>
    <w:p>
      <w:pPr>
        <w:spacing w:after="80"/>
      </w:pPr>
    </w:p>
    <w:p>
      <w:pPr>
        <w:pStyle w:val="Heading3"/>
        <w:spacing w:before="200" w:after="120"/>
      </w:pPr>
      <w:r>
        <w:rPr>
          <w:rFonts w:ascii="Arial" w:cs="Arial" w:eastAsia="Arial" w:hAnsi="Arial"/>
          <w:b/>
          <w:bCs/>
          <w:sz w:val="22"/>
          <w:szCs w:val="22"/>
        </w:rPr>
        <w:t xml:space="preserve">Paragraph 3: Prior work—DORAnet, RetroTide, and DORA-XGB</w:t>
      </w:r>
    </w:p>
    <w:p>
      <w:pPr>
        <w:spacing w:after="160" w:line="276"/>
      </w:pPr>
      <w:r>
        <w:rPr>
          <w:rFonts w:ascii="Arial" w:cs="Arial" w:eastAsia="Arial" w:hAnsi="Arial"/>
          <w:sz w:val="22"/>
          <w:szCs w:val="22"/>
        </w:rPr>
        <w:t xml:space="preserve">Briefly introduce the prior tools this work builds upon. DORAnet is a reaction network that applies 386 synthetic and 3,604 enzymatic reaction templates for chemoenzymatic retrosynthesis. RetroTide is a forward PKS design tool that combinatorially assembles chimeric type I PKS modules </w:t>
      </w:r>
      <w:r>
        <w:rPr>
          <w:rFonts w:ascii="Arial" w:cs="Arial" w:eastAsia="Arial" w:hAnsi="Arial"/>
          <w:i/>
          <w:iCs/>
          <w:sz w:val="22"/>
          <w:szCs w:val="22"/>
        </w:rPr>
        <w:t xml:space="preserve">in silico</w:t>
      </w:r>
      <w:r>
        <w:rPr>
          <w:rFonts w:ascii="Arial" w:cs="Arial" w:eastAsia="Arial" w:hAnsi="Arial"/>
          <w:sz w:val="22"/>
          <w:szCs w:val="22"/>
        </w:rPr>
        <w:t xml:space="preserve">. DORA-XGB is a previously published gradient-boosted classifier for predicting enzymatic reaction feasibility. Note that while these tools existed independently, no prior framework integrated them into a unified retrosynthetic search.</w:t>
      </w:r>
    </w:p>
    <w:p>
      <w:pPr>
        <w:spacing w:after="80"/>
      </w:pPr>
    </w:p>
    <w:p>
      <w:pPr>
        <w:pStyle w:val="Heading3"/>
        <w:spacing w:before="200" w:after="120"/>
      </w:pPr>
      <w:r>
        <w:rPr>
          <w:rFonts w:ascii="Arial" w:cs="Arial" w:eastAsia="Arial" w:hAnsi="Arial"/>
          <w:b/>
          <w:bCs/>
          <w:sz w:val="22"/>
          <w:szCs w:val="22"/>
        </w:rPr>
        <w:t xml:space="preserve">Paragraph 4: The gap—no existing planner integrates chemoenzymatic retrosynthesis with PKS biosynthesis</w:t>
      </w:r>
    </w:p>
    <w:p>
      <w:pPr>
        <w:spacing w:after="160" w:line="276"/>
      </w:pPr>
      <w:r>
        <w:rPr>
          <w:rFonts w:ascii="Arial" w:cs="Arial" w:eastAsia="Arial" w:hAnsi="Arial"/>
          <w:sz w:val="22"/>
          <w:szCs w:val="22"/>
        </w:rPr>
        <w:t xml:space="preserve">Identify the specific gap: existing retrosynthesis planners cannot (a) jointly reason over synthetic and enzymatic reactions in the retrosynthetic direction, nor (b) spawn forward-synthesis verification of biosynthetic intermediates within the same search. This is precisely the gap TridentSynthRL fills.</w:t>
      </w:r>
    </w:p>
    <w:p>
      <w:pPr>
        <w:spacing w:after="80"/>
      </w:pPr>
    </w:p>
    <w:p>
      <w:pPr>
        <w:pStyle w:val="Heading3"/>
        <w:spacing w:before="200" w:after="120"/>
      </w:pPr>
      <w:r>
        <w:rPr>
          <w:rFonts w:ascii="Arial" w:cs="Arial" w:eastAsia="Arial" w:hAnsi="Arial"/>
          <w:b/>
          <w:bCs/>
          <w:sz w:val="22"/>
          <w:szCs w:val="22"/>
        </w:rPr>
        <w:t xml:space="preserve">Paragraph 5: This work—TridentSynthRL</w:t>
      </w:r>
    </w:p>
    <w:p>
      <w:pPr>
        <w:spacing w:after="160" w:line="276"/>
      </w:pPr>
      <w:r>
        <w:rPr>
          <w:rFonts w:ascii="Arial" w:cs="Arial" w:eastAsia="Arial" w:hAnsi="Arial"/>
          <w:sz w:val="22"/>
          <w:szCs w:val="22"/>
        </w:rPr>
        <w:t xml:space="preserve">State the contribution clearly: we present TridentSynthRL, a hierarchical multi-agent Monte Carlo tree search framework for retrosynthetic planning that unifies synthetic chemistry, monofunctional enzymatic catalysis, and type I polyketide synthase biosynthesis within a single search. Outline the key innovations: (i) formulating chemoenzymatic retrosynthesis as a Markov decision process (MDP) solved by MCTS; (ii) a hierarchical agent architecture where a retrosynthetic chemoenzymatic agent spawns forward-synthesis PKS agents when polyketide intermediates are detected; (iii) a supervised graph neural network trained on ~1M synthetically generated polyketides to detect PKS-synthesizable intermediates; (iv) thermodynamic and enzymatic feasibility scoring to bias the search toward executable pathways. Preview the results: successful pathway design for all 15 members of the kavalactone family from </w:t>
      </w:r>
      <w:r>
        <w:rPr>
          <w:rFonts w:ascii="Arial" w:cs="Arial" w:eastAsia="Arial" w:hAnsi="Arial"/>
          <w:i/>
          <w:iCs/>
          <w:sz w:val="22"/>
          <w:szCs w:val="22"/>
        </w:rPr>
        <w:t xml:space="preserve">Piper methysticum</w:t>
      </w:r>
      <w:r>
        <w:rPr>
          <w:rFonts w:ascii="Arial" w:cs="Arial" w:eastAsia="Arial" w:hAnsi="Arial"/>
          <w:sz w:val="22"/>
          <w:szCs w:val="22"/>
        </w:rPr>
        <w:t xml:space="preserve">, with each compound reachable via at least one PKS-involving route, and a more efficient pathway to cryptofolione using a shorter PKS than previously proposed.</w:t>
      </w:r>
    </w:p>
    <w:p>
      <w:pPr>
        <w:spacing w:after="80"/>
      </w:pPr>
    </w:p>
    <w:p>
      <w:r>
        <w:br w:type="page"/>
      </w:r>
    </w:p>
    <w:p>
      <w:pPr>
        <w:pStyle w:val="Heading1"/>
        <w:spacing w:before="360" w:after="200"/>
      </w:pPr>
      <w:r>
        <w:rPr>
          <w:rFonts w:ascii="Arial" w:cs="Arial" w:eastAsia="Arial" w:hAnsi="Arial"/>
          <w:b/>
          <w:bCs/>
          <w:sz w:val="28"/>
          <w:szCs w:val="28"/>
        </w:rPr>
        <w:t xml:space="preserve">Results and Discussion</w:t>
      </w:r>
    </w:p>
    <w:p>
      <w:pPr>
        <w:spacing w:after="80"/>
      </w:pPr>
    </w:p>
    <w:p>
      <w:pPr>
        <w:pStyle w:val="Heading2"/>
        <w:spacing w:before="280" w:after="160"/>
      </w:pPr>
      <w:r>
        <w:rPr>
          <w:rFonts w:ascii="Arial" w:cs="Arial" w:eastAsia="Arial" w:hAnsi="Arial"/>
          <w:b/>
          <w:bCs/>
          <w:sz w:val="24"/>
          <w:szCs w:val="24"/>
        </w:rPr>
        <w:t xml:space="preserve">1. Formulating Chemoenzymatic Retrosynthesis as a Markov Decision Process</w:t>
      </w:r>
    </w:p>
    <w:p>
      <w:pPr>
        <w:spacing w:after="160" w:line="276"/>
      </w:pPr>
      <w:r>
        <w:rPr>
          <w:rFonts w:ascii="Arial" w:cs="Arial" w:eastAsia="Arial" w:hAnsi="Arial"/>
          <w:sz w:val="22"/>
          <w:szCs w:val="22"/>
        </w:rPr>
        <w:t xml:space="preserve">Reference: </w:t>
      </w:r>
      <w:r>
        <w:rPr>
          <w:rFonts w:ascii="Arial" w:cs="Arial" w:eastAsia="Arial" w:hAnsi="Arial"/>
          <w:b/>
          <w:bCs/>
          <w:sz w:val="22"/>
          <w:szCs w:val="22"/>
        </w:rPr>
        <w:t xml:space="preserve">Fig. 2</w:t>
      </w:r>
    </w:p>
    <w:p>
      <w:pPr>
        <w:spacing w:after="80"/>
      </w:pPr>
    </w:p>
    <w:p>
      <w:pPr>
        <w:pStyle w:val="Heading3"/>
        <w:spacing w:before="200" w:after="120"/>
      </w:pPr>
      <w:r>
        <w:rPr>
          <w:rFonts w:ascii="Arial" w:cs="Arial" w:eastAsia="Arial" w:hAnsi="Arial"/>
          <w:b/>
          <w:bCs/>
          <w:sz w:val="22"/>
          <w:szCs w:val="22"/>
        </w:rPr>
        <w:t xml:space="preserve">Narrative arc</w:t>
      </w:r>
    </w:p>
    <w:p>
      <w:pPr>
        <w:spacing w:after="120" w:line="276"/>
      </w:pPr>
      <w:r>
        <w:rPr>
          <w:rFonts w:ascii="Arial" w:cs="Arial" w:eastAsia="Arial" w:hAnsi="Arial"/>
          <w:i/>
          <w:iCs/>
          <w:color w:val="666666"/>
          <w:sz w:val="20"/>
          <w:szCs w:val="20"/>
        </w:rPr>
        <w:t xml:space="preserve">This section introduces the core computational framework. It should feel like building up the MDP formulation piece by piece, then showing how MCTS solves it, and finally describing the hierarchical agent spawning that makes TridentSynthRL unique.</w:t>
      </w:r>
    </w:p>
    <w:p>
      <w:pPr>
        <w:spacing w:after="80"/>
      </w:pPr>
    </w:p>
    <w:p>
      <w:pPr>
        <w:pStyle w:val="Heading3"/>
        <w:spacing w:before="200" w:after="120"/>
      </w:pPr>
      <w:r>
        <w:rPr>
          <w:rFonts w:ascii="Arial" w:cs="Arial" w:eastAsia="Arial" w:hAnsi="Arial"/>
          <w:b/>
          <w:bCs/>
          <w:sz w:val="22"/>
          <w:szCs w:val="22"/>
        </w:rPr>
        <w:t xml:space="preserve">Key points to cover</w:t>
      </w:r>
    </w:p>
    <w:p>
      <w:pPr>
        <w:pStyle w:val="ListParagraph"/>
        <w:numPr>
          <w:ilvl w:val="0"/>
          <w:numId w:val="2"/>
        </w:numPr>
        <w:spacing w:after="120" w:line="276"/>
      </w:pPr>
      <w:r>
        <w:rPr>
          <w:rFonts w:ascii="Arial" w:cs="Arial" w:eastAsia="Arial" w:hAnsi="Arial"/>
          <w:b/>
          <w:bCs/>
          <w:sz w:val="22"/>
          <w:szCs w:val="22"/>
        </w:rPr>
        <w:t xml:space="preserve">State space. </w:t>
      </w:r>
      <w:r>
        <w:rPr>
          <w:rFonts w:ascii="Arial" w:cs="Arial" w:eastAsia="Arial" w:hAnsi="Arial"/>
          <w:sz w:val="22"/>
          <w:szCs w:val="22"/>
        </w:rPr>
        <w:t xml:space="preserve">Each node in the MCTS tree represents a single molecular compound (as an RDKit Mol object with canonical SMILES). The root node is the target molecule. Child nodes are retrosynthetic precursors generated by applying reaction templates in the reverse direction. The tree grows retrosynthetically from the target toward simpler building blocks.</w:t>
      </w:r>
    </w:p>
    <w:p>
      <w:pPr>
        <w:pStyle w:val="ListParagraph"/>
        <w:numPr>
          <w:ilvl w:val="0"/>
          <w:numId w:val="2"/>
        </w:numPr>
        <w:spacing w:after="120" w:line="276"/>
      </w:pPr>
      <w:r>
        <w:rPr>
          <w:rFonts w:ascii="Arial" w:cs="Arial" w:eastAsia="Arial" w:hAnsi="Arial"/>
          <w:b/>
          <w:bCs/>
          <w:sz w:val="22"/>
          <w:szCs w:val="22"/>
        </w:rPr>
        <w:t xml:space="preserve">Action space. </w:t>
      </w:r>
      <w:r>
        <w:rPr>
          <w:rFonts w:ascii="Arial" w:cs="Arial" w:eastAsia="Arial" w:hAnsi="Arial"/>
          <w:sz w:val="22"/>
          <w:szCs w:val="22"/>
        </w:rPr>
        <w:t xml:space="preserve">A total of 3,990 reaction templates from the DORAnet reaction network: 386 representing synthetic organic chemistry (e.g., esterifications, Suzuki couplings, dehydrohalogenations) and 3,604 representing enzymatic catalysis (e.g., decarboxylases, alcohol dehydrogenases, methyltransferases, monooxygenases). Each action applies one template retrosynthetically to the selected node, generating one or more precursor fragments.</w:t>
      </w:r>
    </w:p>
    <w:p>
      <w:pPr>
        <w:pStyle w:val="ListParagraph"/>
        <w:numPr>
          <w:ilvl w:val="0"/>
          <w:numId w:val="2"/>
        </w:numPr>
        <w:spacing w:after="120" w:line="276"/>
      </w:pPr>
      <w:r>
        <w:rPr>
          <w:rFonts w:ascii="Arial" w:cs="Arial" w:eastAsia="Arial" w:hAnsi="Arial"/>
          <w:b/>
          <w:bCs/>
          <w:sz w:val="22"/>
          <w:szCs w:val="22"/>
        </w:rPr>
        <w:t xml:space="preserve">Terminal states and building block databases. </w:t>
      </w:r>
      <w:r>
        <w:rPr>
          <w:rFonts w:ascii="Arial" w:cs="Arial" w:eastAsia="Arial" w:hAnsi="Arial"/>
          <w:sz w:val="22"/>
          <w:szCs w:val="22"/>
        </w:rPr>
        <w:t xml:space="preserve">A node is terminal when it matches: (a) a commercial chemical building block from the Enamine catalog (~278K compounds), (b) a biological building block from a curated set of ~334 common metabolites across 10 microorganisms, or (c) a detected polyketide intermediate (see Section 3). Prohibited or controlled substances (~652 hazardous compounds) are pruned immediately upon detection.</w:t>
      </w:r>
    </w:p>
    <w:p>
      <w:pPr>
        <w:pStyle w:val="ListParagraph"/>
        <w:numPr>
          <w:ilvl w:val="0"/>
          <w:numId w:val="2"/>
        </w:numPr>
        <w:spacing w:after="120" w:line="276"/>
      </w:pPr>
      <w:r>
        <w:rPr>
          <w:rFonts w:ascii="Arial" w:cs="Arial" w:eastAsia="Arial" w:hAnsi="Arial"/>
          <w:b/>
          <w:bCs/>
          <w:sz w:val="22"/>
          <w:szCs w:val="22"/>
        </w:rPr>
        <w:t xml:space="preserve">Reward function. </w:t>
      </w:r>
      <w:r>
        <w:rPr>
          <w:rFonts w:ascii="Arial" w:cs="Arial" w:eastAsia="Arial" w:hAnsi="Arial"/>
          <w:sz w:val="22"/>
          <w:szCs w:val="22"/>
        </w:rPr>
        <w:t xml:space="preserve">A configurable, modular reward policy. The default configuration uses: +1.0 for terminal states (chemical building blocks, biological building blocks, and verified polyketides); a rescaled synthetic accessibility (SA) score for non-terminal intermediates, providing dense reward signal to guide the search toward synthetically tractable intermediates; and optional thermodynamic feasibility scaling that downweights pathways containing enthalpically unfavorable steps (see Methods for details on DORA-XGB and pathermo scoring). Emphasize that the policy architecture is modular—users can substitute or compose alternative reward functions.</w:t>
      </w:r>
    </w:p>
    <w:p>
      <w:pPr>
        <w:pStyle w:val="ListParagraph"/>
        <w:numPr>
          <w:ilvl w:val="0"/>
          <w:numId w:val="2"/>
        </w:numPr>
        <w:spacing w:after="120" w:line="276"/>
      </w:pPr>
      <w:r>
        <w:rPr>
          <w:rFonts w:ascii="Arial" w:cs="Arial" w:eastAsia="Arial" w:hAnsi="Arial"/>
          <w:b/>
          <w:bCs/>
          <w:sz w:val="22"/>
          <w:szCs w:val="22"/>
        </w:rPr>
        <w:t xml:space="preserve">MCTS algorithm—three iterative phases. </w:t>
      </w:r>
      <w:r>
        <w:rPr>
          <w:rFonts w:ascii="Arial" w:cs="Arial" w:eastAsia="Arial" w:hAnsi="Arial"/>
          <w:sz w:val="22"/>
          <w:szCs w:val="22"/>
        </w:rPr>
        <w:t xml:space="preserve">Describe the Selection → Chemoenzymatic Expansion → Update loop depicted in Fig. 2:</w:t>
      </w:r>
    </w:p>
    <w:p>
      <w:pPr>
        <w:pStyle w:val="ListParagraph"/>
        <w:numPr>
          <w:ilvl w:val="1"/>
          <w:numId w:val="2"/>
        </w:numPr>
        <w:spacing w:after="120" w:line="276"/>
      </w:pPr>
      <w:r>
        <w:rPr>
          <w:rFonts w:ascii="Arial" w:cs="Arial" w:eastAsia="Arial" w:hAnsi="Arial"/>
          <w:b/>
          <w:bCs/>
          <w:sz w:val="22"/>
          <w:szCs w:val="22"/>
        </w:rPr>
        <w:t xml:space="preserve">Selection: </w:t>
      </w:r>
      <w:r>
        <w:rPr>
          <w:rFonts w:ascii="Arial" w:cs="Arial" w:eastAsia="Arial" w:hAnsi="Arial"/>
          <w:sz w:val="22"/>
          <w:szCs w:val="22"/>
        </w:rPr>
        <w:t xml:space="preserve">Traverse the tree from the root using the UCB1 selection policy (with an optional depth bias that encourages deeper exploration before exhaustive breadth search). Select a leaf node for expansion.</w:t>
      </w:r>
    </w:p>
    <w:p>
      <w:pPr>
        <w:pStyle w:val="ListParagraph"/>
        <w:numPr>
          <w:ilvl w:val="1"/>
          <w:numId w:val="2"/>
        </w:numPr>
        <w:spacing w:after="120" w:line="276"/>
      </w:pPr>
      <w:r>
        <w:rPr>
          <w:rFonts w:ascii="Arial" w:cs="Arial" w:eastAsia="Arial" w:hAnsi="Arial"/>
          <w:b/>
          <w:bCs/>
          <w:sz w:val="22"/>
          <w:szCs w:val="22"/>
        </w:rPr>
        <w:t xml:space="preserve">Chemoenzymatic Expansion: </w:t>
      </w:r>
      <w:r>
        <w:rPr>
          <w:rFonts w:ascii="Arial" w:cs="Arial" w:eastAsia="Arial" w:hAnsi="Arial"/>
          <w:sz w:val="22"/>
          <w:szCs w:val="22"/>
        </w:rPr>
        <w:t xml:space="preserve">Expand the selected leaf by applying all synthetic and enzymatic reaction templates via DORAnet in the retrosynthetic direction. Filter fragments by molecular weight (≤1.5× target MW), remove excluded cofactors and prohibited chemicals, and optionally downselect by thermodynamic feasibility. Create child nodes for each resulting precursor fragment.</w:t>
      </w:r>
    </w:p>
    <w:p>
      <w:pPr>
        <w:pStyle w:val="ListParagraph"/>
        <w:numPr>
          <w:ilvl w:val="1"/>
          <w:numId w:val="2"/>
        </w:numPr>
        <w:spacing w:after="120" w:line="276"/>
      </w:pPr>
      <w:r>
        <w:rPr>
          <w:rFonts w:ascii="Arial" w:cs="Arial" w:eastAsia="Arial" w:hAnsi="Arial"/>
          <w:b/>
          <w:bCs/>
          <w:sz w:val="22"/>
          <w:szCs w:val="22"/>
        </w:rPr>
        <w:t xml:space="preserve">Update (Backpropagation): </w:t>
      </w:r>
      <w:r>
        <w:rPr>
          <w:rFonts w:ascii="Arial" w:cs="Arial" w:eastAsia="Arial" w:hAnsi="Arial"/>
          <w:sz w:val="22"/>
          <w:szCs w:val="22"/>
        </w:rPr>
        <w:t xml:space="preserve">Compute rewards for newly created child nodes. If a child is a terminal state (building block or polyketide), assign terminal reward. If a child matches the PKS library, spawn a RetroTide MCTS sub-agent (see Section 2). Backpropagate rewards from the terminal/leaf nodes up to the root, updating visit counts and value estimates along the traversed path.</w:t>
      </w:r>
    </w:p>
    <w:p>
      <w:pPr>
        <w:pStyle w:val="ListParagraph"/>
        <w:numPr>
          <w:ilvl w:val="0"/>
          <w:numId w:val="2"/>
        </w:numPr>
        <w:spacing w:after="120" w:line="276"/>
      </w:pPr>
      <w:r>
        <w:rPr>
          <w:rFonts w:ascii="Arial" w:cs="Arial" w:eastAsia="Arial" w:hAnsi="Arial"/>
          <w:b/>
          <w:bCs/>
          <w:sz w:val="22"/>
          <w:szCs w:val="22"/>
        </w:rPr>
        <w:t xml:space="preserve">Hierarchical agent spawning. </w:t>
      </w:r>
      <w:r>
        <w:rPr>
          <w:rFonts w:ascii="Arial" w:cs="Arial" w:eastAsia="Arial" w:hAnsi="Arial"/>
          <w:sz w:val="22"/>
          <w:szCs w:val="22"/>
        </w:rPr>
        <w:t xml:space="preserve">The most distinctive feature of TridentSynthRL: when the chemoenzymatic agent encounters a fragment identified as a polyketide during expansion, it launches a separate MCTS agent specialized for PKS design (the RetroTide agent, described in Section 2). The PKS agent’s success or failure is fed back as a reward to the chemoenzymatic agent’s tree, creating a bidirectional feedback loop between retrosynthetic fragmentation and forward biosynthetic verification. This hierarchical design allows the system to verify that a proposed polyketide intermediate is actually constructible by a plausible PKS assembly line.</w:t>
      </w:r>
    </w:p>
    <w:p>
      <w:pPr>
        <w:pStyle w:val="ListParagraph"/>
        <w:numPr>
          <w:ilvl w:val="0"/>
          <w:numId w:val="2"/>
        </w:numPr>
        <w:spacing w:after="120" w:line="276"/>
      </w:pPr>
      <w:r>
        <w:rPr>
          <w:rFonts w:ascii="Arial" w:cs="Arial" w:eastAsia="Arial" w:hAnsi="Arial"/>
          <w:b/>
          <w:bCs/>
          <w:sz w:val="22"/>
          <w:szCs w:val="22"/>
        </w:rPr>
        <w:t xml:space="preserve">Parallel search. </w:t>
      </w:r>
      <w:r>
        <w:rPr>
          <w:rFonts w:ascii="Arial" w:cs="Arial" w:eastAsia="Arial" w:hAnsi="Arial"/>
          <w:sz w:val="22"/>
          <w:szCs w:val="22"/>
        </w:rPr>
        <w:t xml:space="preserve">Briefly mention that DORAnet expansion (the computational bottleneck) can be parallelized across multiple CPU workers using asynchronous expansion with virtual loss to prevent redundant node selection, enabling efficient use of multi-core architectures.</w:t>
      </w:r>
    </w:p>
    <w:p>
      <w:pPr>
        <w:spacing w:after="80"/>
      </w:pPr>
    </w:p>
    <w:p>
      <w:pPr>
        <w:pStyle w:val="Heading2"/>
        <w:spacing w:before="280" w:after="160"/>
      </w:pPr>
      <w:r>
        <w:rPr>
          <w:rFonts w:ascii="Arial" w:cs="Arial" w:eastAsia="Arial" w:hAnsi="Arial"/>
          <w:b/>
          <w:bCs/>
          <w:sz w:val="24"/>
          <w:szCs w:val="24"/>
        </w:rPr>
        <w:t xml:space="preserve">2. Formulating Polyketide Synthase Design as a Markov Decision Process</w:t>
      </w:r>
    </w:p>
    <w:p>
      <w:pPr>
        <w:spacing w:after="160" w:line="276"/>
      </w:pPr>
      <w:r>
        <w:rPr>
          <w:rFonts w:ascii="Arial" w:cs="Arial" w:eastAsia="Arial" w:hAnsi="Arial"/>
          <w:sz w:val="22"/>
          <w:szCs w:val="22"/>
        </w:rPr>
        <w:t xml:space="preserve">Reference: </w:t>
      </w:r>
      <w:r>
        <w:rPr>
          <w:rFonts w:ascii="Arial" w:cs="Arial" w:eastAsia="Arial" w:hAnsi="Arial"/>
          <w:b/>
          <w:bCs/>
          <w:sz w:val="22"/>
          <w:szCs w:val="22"/>
        </w:rPr>
        <w:t xml:space="preserve">Fig. 2</w:t>
      </w:r>
      <w:r>
        <w:rPr>
          <w:rFonts w:ascii="Arial" w:cs="Arial" w:eastAsia="Arial" w:hAnsi="Arial"/>
          <w:sz w:val="22"/>
          <w:szCs w:val="22"/>
        </w:rPr>
        <w:t xml:space="preserve"> (lower portion showing the PKS agent)</w:t>
      </w:r>
    </w:p>
    <w:p>
      <w:pPr>
        <w:spacing w:after="80"/>
      </w:pPr>
    </w:p>
    <w:p>
      <w:pPr>
        <w:pStyle w:val="Heading3"/>
        <w:spacing w:before="200" w:after="120"/>
      </w:pPr>
      <w:r>
        <w:rPr>
          <w:rFonts w:ascii="Arial" w:cs="Arial" w:eastAsia="Arial" w:hAnsi="Arial"/>
          <w:b/>
          <w:bCs/>
          <w:sz w:val="22"/>
          <w:szCs w:val="22"/>
        </w:rPr>
        <w:t xml:space="preserve">Narrative arc</w:t>
      </w:r>
    </w:p>
    <w:p>
      <w:pPr>
        <w:spacing w:after="120" w:line="276"/>
      </w:pPr>
      <w:r>
        <w:rPr>
          <w:rFonts w:ascii="Arial" w:cs="Arial" w:eastAsia="Arial" w:hAnsi="Arial"/>
          <w:i/>
          <w:iCs/>
          <w:color w:val="666666"/>
          <w:sz w:val="20"/>
          <w:szCs w:val="20"/>
        </w:rPr>
        <w:t xml:space="preserve">This section mirrors the structure of Section 1 but for the forward-synthesis PKS agent. Emphasize both the parallels (also an MDP solved by MCTS) and the key differences (forward direction, different state/action representations, subgraph-guided pruning).</w:t>
      </w:r>
    </w:p>
    <w:p>
      <w:pPr>
        <w:spacing w:after="80"/>
      </w:pPr>
    </w:p>
    <w:p>
      <w:pPr>
        <w:pStyle w:val="Heading3"/>
        <w:spacing w:before="200" w:after="120"/>
      </w:pPr>
      <w:r>
        <w:rPr>
          <w:rFonts w:ascii="Arial" w:cs="Arial" w:eastAsia="Arial" w:hAnsi="Arial"/>
          <w:b/>
          <w:bCs/>
          <w:sz w:val="22"/>
          <w:szCs w:val="22"/>
        </w:rPr>
        <w:t xml:space="preserve">Key points to cover</w:t>
      </w:r>
    </w:p>
    <w:p>
      <w:pPr>
        <w:pStyle w:val="ListParagraph"/>
        <w:numPr>
          <w:ilvl w:val="0"/>
          <w:numId w:val="3"/>
        </w:numPr>
        <w:spacing w:after="120" w:line="276"/>
      </w:pPr>
      <w:r>
        <w:rPr>
          <w:rFonts w:ascii="Arial" w:cs="Arial" w:eastAsia="Arial" w:hAnsi="Arial"/>
          <w:b/>
          <w:bCs/>
          <w:sz w:val="22"/>
          <w:szCs w:val="22"/>
        </w:rPr>
        <w:t xml:space="preserve">State space. </w:t>
      </w:r>
      <w:r>
        <w:rPr>
          <w:rFonts w:ascii="Arial" w:cs="Arial" w:eastAsia="Arial" w:hAnsi="Arial"/>
          <w:sz w:val="22"/>
          <w:szCs w:val="22"/>
        </w:rPr>
        <w:t xml:space="preserve">Unlike the chemoenzymatic agent where each node is a compound, here each node represents a complete PKS chimera design at a given stage of assembly. A node encodes: the current set of modules (loading module + extension modules assembled so far), the domain architecture within each module (KS, AT, ACP as mandatory; KR, DH, ER as optional tailoring domains), the starter unit (e.g., benzoyl-CoA, cinnamoyl-CoA) and extender units (e.g., malonyl-CoA, hydroxymalonyl-CoA), and the predicted PKS product at the current assembly stage (computed by RetroTide).</w:t>
      </w:r>
    </w:p>
    <w:p>
      <w:pPr>
        <w:pStyle w:val="ListParagraph"/>
        <w:numPr>
          <w:ilvl w:val="0"/>
          <w:numId w:val="3"/>
        </w:numPr>
        <w:spacing w:after="120" w:line="276"/>
      </w:pPr>
      <w:r>
        <w:rPr>
          <w:rFonts w:ascii="Arial" w:cs="Arial" w:eastAsia="Arial" w:hAnsi="Arial"/>
          <w:b/>
          <w:bCs/>
          <w:sz w:val="22"/>
          <w:szCs w:val="22"/>
        </w:rPr>
        <w:t xml:space="preserve">Action space. </w:t>
      </w:r>
      <w:r>
        <w:rPr>
          <w:rFonts w:ascii="Arial" w:cs="Arial" w:eastAsia="Arial" w:hAnsi="Arial"/>
          <w:sz w:val="22"/>
          <w:szCs w:val="22"/>
        </w:rPr>
        <w:t xml:space="preserve">Each action adds a single extension module to the existing PKS design. The action is defined by the Cartesian product of the set of possible module architectures </w:t>
      </w:r>
      <w:r>
        <w:rPr>
          <w:rFonts w:ascii="Arial" w:cs="Arial" w:eastAsia="Arial" w:hAnsi="Arial"/>
          <w:i/>
          <w:iCs/>
          <w:sz w:val="22"/>
          <w:szCs w:val="22"/>
        </w:rPr>
        <w:t xml:space="preserve">M</w:t>
      </w:r>
      <w:r>
        <w:rPr>
          <w:rFonts w:ascii="Arial" w:cs="Arial" w:eastAsia="Arial" w:hAnsi="Arial"/>
          <w:sz w:val="22"/>
          <w:szCs w:val="22"/>
        </w:rPr>
        <w:t xml:space="preserve"> (all combinations of mandatory KS-AT-ACP with optional KR, DH, ER tailoring domains) and the set of available acyl-CoA extender units </w:t>
      </w:r>
      <w:r>
        <w:rPr>
          <w:rFonts w:ascii="Arial" w:cs="Arial" w:eastAsia="Arial" w:hAnsi="Arial"/>
          <w:i/>
          <w:iCs/>
          <w:sz w:val="22"/>
          <w:szCs w:val="22"/>
        </w:rPr>
        <w:t xml:space="preserve">N</w:t>
      </w:r>
      <w:r>
        <w:rPr>
          <w:rFonts w:ascii="Arial" w:cs="Arial" w:eastAsia="Arial" w:hAnsi="Arial"/>
          <w:sz w:val="22"/>
          <w:szCs w:val="22"/>
        </w:rPr>
        <w:t xml:space="preserve"> (6 extender units). RetroTide generates up to 25 candidate designs per expansion round, ranked by maximum common substructure (MCS) similarity to the target fragment.</w:t>
      </w:r>
    </w:p>
    <w:p>
      <w:pPr>
        <w:pStyle w:val="ListParagraph"/>
        <w:numPr>
          <w:ilvl w:val="0"/>
          <w:numId w:val="3"/>
        </w:numPr>
        <w:spacing w:after="120" w:line="276"/>
      </w:pPr>
      <w:r>
        <w:rPr>
          <w:rFonts w:ascii="Arial" w:cs="Arial" w:eastAsia="Arial" w:hAnsi="Arial"/>
          <w:b/>
          <w:bCs/>
          <w:sz w:val="22"/>
          <w:szCs w:val="22"/>
        </w:rPr>
        <w:t xml:space="preserve">Termination and offloading. </w:t>
      </w:r>
      <w:r>
        <w:rPr>
          <w:rFonts w:ascii="Arial" w:cs="Arial" w:eastAsia="Arial" w:hAnsi="Arial"/>
          <w:sz w:val="22"/>
          <w:szCs w:val="22"/>
        </w:rPr>
        <w:t xml:space="preserve">At any point, the PKS product can be released from the assembly line via a terminal thioesterase (TE) domain. TridentSynthRL considers two offloading mechanisms: thiolysis (releasing a free carboxylic acid, suitable for linear polyketides) and lactonization/cyclization (forming macrolactone rings, critical for cyclic polyketides like kavalactones).</w:t>
      </w:r>
    </w:p>
    <w:p>
      <w:pPr>
        <w:pStyle w:val="ListParagraph"/>
        <w:numPr>
          <w:ilvl w:val="0"/>
          <w:numId w:val="3"/>
        </w:numPr>
        <w:spacing w:after="120" w:line="276"/>
      </w:pPr>
      <w:r>
        <w:rPr>
          <w:rFonts w:ascii="Arial" w:cs="Arial" w:eastAsia="Arial" w:hAnsi="Arial"/>
          <w:b/>
          <w:bCs/>
          <w:sz w:val="22"/>
          <w:szCs w:val="22"/>
        </w:rPr>
        <w:t xml:space="preserve">Reward function. </w:t>
      </w:r>
      <w:r>
        <w:rPr>
          <w:rFonts w:ascii="Arial" w:cs="Arial" w:eastAsia="Arial" w:hAnsi="Arial"/>
          <w:sz w:val="22"/>
          <w:szCs w:val="22"/>
        </w:rPr>
        <w:t xml:space="preserve">The PKS agent uses a dual reward signal: a sparse reward of +1.0 for exact graph isomorphism between the released PKS product (after thiolysis or cyclization) and the target fragment, and a dense reward based on MCS similarity for partial structural matches. This combination provides strong signal for exact solutions while still guiding exploration toward structurally promising designs.</w:t>
      </w:r>
    </w:p>
    <w:p>
      <w:pPr>
        <w:pStyle w:val="ListParagraph"/>
        <w:numPr>
          <w:ilvl w:val="0"/>
          <w:numId w:val="3"/>
        </w:numPr>
        <w:spacing w:after="120" w:line="276"/>
      </w:pPr>
      <w:r>
        <w:rPr>
          <w:rFonts w:ascii="Arial" w:cs="Arial" w:eastAsia="Arial" w:hAnsi="Arial"/>
          <w:b/>
          <w:bCs/>
          <w:sz w:val="22"/>
          <w:szCs w:val="22"/>
        </w:rPr>
        <w:t xml:space="preserve">Subgraph-guided selection. </w:t>
      </w:r>
      <w:r>
        <w:rPr>
          <w:rFonts w:ascii="Arial" w:cs="Arial" w:eastAsia="Arial" w:hAnsi="Arial"/>
          <w:sz w:val="22"/>
          <w:szCs w:val="22"/>
        </w:rPr>
        <w:t xml:space="preserve">A key innovation of the PKS MCTS: during the selection phase, unvisited child nodes are checked for subgraph isomorphism against a precomputed “bag of graphs” derived from the target molecule. Nodes whose PKS products contain target substructures receive infinite selection scores (forcing exploration), while nodes that do not match any target substructure receive negative-infinity scores (pruning). This dramatically reduces the search space by preventing exploration of PKS designs that cannot lead to the target. For visited nodes, standard UCB1 balances exploitation and exploration.</w:t>
      </w:r>
    </w:p>
    <w:p>
      <w:pPr>
        <w:pStyle w:val="ListParagraph"/>
        <w:numPr>
          <w:ilvl w:val="0"/>
          <w:numId w:val="3"/>
        </w:numPr>
        <w:spacing w:after="120" w:line="276"/>
      </w:pPr>
      <w:r>
        <w:rPr>
          <w:rFonts w:ascii="Arial" w:cs="Arial" w:eastAsia="Arial" w:hAnsi="Arial"/>
          <w:b/>
          <w:bCs/>
          <w:sz w:val="22"/>
          <w:szCs w:val="22"/>
        </w:rPr>
        <w:t xml:space="preserve">Connection back to the chemoenzymatic agent. </w:t>
      </w:r>
      <w:r>
        <w:rPr>
          <w:rFonts w:ascii="Arial" w:cs="Arial" w:eastAsia="Arial" w:hAnsi="Arial"/>
          <w:sz w:val="22"/>
          <w:szCs w:val="22"/>
        </w:rPr>
        <w:t xml:space="preserve">When the PKS agent finds a successful design (exact match to the target fragment), it returns a reward of +1.0 to the chemoenzymatic agent, which backpropagates this reward up its own tree. If the PKS agent fails to find a feasible design within its iteration budget, a reward of 0.0 is returned. This hierarchical reward flow allows the chemoenzymatic agent to learn which fragmentation strategies lead to PKS-synthesizable intermediates.</w:t>
      </w:r>
    </w:p>
    <w:p>
      <w:pPr>
        <w:spacing w:after="80"/>
      </w:pPr>
    </w:p>
    <w:p>
      <w:pPr>
        <w:pStyle w:val="Heading2"/>
        <w:spacing w:before="280" w:after="160"/>
      </w:pPr>
      <w:r>
        <w:rPr>
          <w:rFonts w:ascii="Arial" w:cs="Arial" w:eastAsia="Arial" w:hAnsi="Arial"/>
          <w:b/>
          <w:bCs/>
          <w:sz w:val="24"/>
          <w:szCs w:val="24"/>
        </w:rPr>
        <w:t xml:space="preserve">3. Training a Supervised Classifier to Detect Polyketides</w:t>
      </w:r>
    </w:p>
    <w:p>
      <w:pPr>
        <w:spacing w:after="160" w:line="276"/>
      </w:pPr>
      <w:r>
        <w:rPr>
          <w:rFonts w:ascii="Arial" w:cs="Arial" w:eastAsia="Arial" w:hAnsi="Arial"/>
          <w:sz w:val="22"/>
          <w:szCs w:val="22"/>
        </w:rPr>
        <w:t xml:space="preserve">References: </w:t>
      </w:r>
      <w:r>
        <w:rPr>
          <w:rFonts w:ascii="Arial" w:cs="Arial" w:eastAsia="Arial" w:hAnsi="Arial"/>
          <w:b/>
          <w:bCs/>
          <w:sz w:val="22"/>
          <w:szCs w:val="22"/>
        </w:rPr>
        <w:t xml:space="preserve">Fig. 3</w:t>
      </w:r>
      <w:r>
        <w:rPr>
          <w:rFonts w:ascii="Arial" w:cs="Arial" w:eastAsia="Arial" w:hAnsi="Arial"/>
          <w:sz w:val="22"/>
          <w:szCs w:val="22"/>
        </w:rPr>
        <w:t xml:space="preserve"> and </w:t>
      </w:r>
      <w:r>
        <w:rPr>
          <w:rFonts w:ascii="Arial" w:cs="Arial" w:eastAsia="Arial" w:hAnsi="Arial"/>
          <w:b/>
          <w:bCs/>
          <w:sz w:val="22"/>
          <w:szCs w:val="22"/>
        </w:rPr>
        <w:t xml:space="preserve">Fig. 4</w:t>
      </w:r>
    </w:p>
    <w:p>
      <w:pPr>
        <w:spacing w:after="80"/>
      </w:pPr>
    </w:p>
    <w:p>
      <w:pPr>
        <w:pStyle w:val="Heading3"/>
        <w:spacing w:before="200" w:after="120"/>
      </w:pPr>
      <w:r>
        <w:rPr>
          <w:rFonts w:ascii="Arial" w:cs="Arial" w:eastAsia="Arial" w:hAnsi="Arial"/>
          <w:b/>
          <w:bCs/>
          <w:sz w:val="22"/>
          <w:szCs w:val="22"/>
        </w:rPr>
        <w:t xml:space="preserve">Narrative arc</w:t>
      </w:r>
    </w:p>
    <w:p>
      <w:pPr>
        <w:spacing w:after="120" w:line="276"/>
      </w:pPr>
      <w:r>
        <w:rPr>
          <w:rFonts w:ascii="Arial" w:cs="Arial" w:eastAsia="Arial" w:hAnsi="Arial"/>
          <w:i/>
          <w:iCs/>
          <w:color w:val="666666"/>
          <w:sz w:val="20"/>
          <w:szCs w:val="20"/>
        </w:rPr>
        <w:t xml:space="preserve">This section motivates why a learned classifier is needed (SA score bias, PKS space too large for enumeration), describes how the training set was generated, and presents the GNN architecture. The narrative should build from the problem to the solution.</w:t>
      </w:r>
    </w:p>
    <w:p>
      <w:pPr>
        <w:spacing w:after="80"/>
      </w:pPr>
    </w:p>
    <w:p>
      <w:pPr>
        <w:pStyle w:val="Heading3"/>
        <w:spacing w:before="200" w:after="120"/>
      </w:pPr>
      <w:r>
        <w:rPr>
          <w:rFonts w:ascii="Arial" w:cs="Arial" w:eastAsia="Arial" w:hAnsi="Arial"/>
          <w:b/>
          <w:bCs/>
          <w:sz w:val="22"/>
          <w:szCs w:val="22"/>
        </w:rPr>
        <w:t xml:space="preserve">Key points to cover</w:t>
      </w:r>
    </w:p>
    <w:p>
      <w:pPr>
        <w:pStyle w:val="ListParagraph"/>
        <w:numPr>
          <w:ilvl w:val="0"/>
          <w:numId w:val="4"/>
        </w:numPr>
        <w:spacing w:after="120" w:line="276"/>
      </w:pPr>
      <w:r>
        <w:rPr>
          <w:rFonts w:ascii="Arial" w:cs="Arial" w:eastAsia="Arial" w:hAnsi="Arial"/>
          <w:b/>
          <w:bCs/>
          <w:sz w:val="22"/>
          <w:szCs w:val="22"/>
        </w:rPr>
        <w:t xml:space="preserve">Motivation: limitations of database lookup and SA score bias. </w:t>
      </w:r>
      <w:r>
        <w:rPr>
          <w:rFonts w:ascii="Arial" w:cs="Arial" w:eastAsia="Arial" w:hAnsi="Arial"/>
          <w:sz w:val="22"/>
          <w:szCs w:val="22"/>
        </w:rPr>
        <w:t xml:space="preserve">The SA score, while useful as a dense reward signal, is inherently biased toward the chemical building blocks it was trained on. It tends to assign low (favorable) synthesizability scores to compounds that resemble commercial chemical catalogs, and higher (unfavorable) scores to biomolecules, metabolites, and polyketide natural products—precisely the compounds we want TridentSynthRL to recognize as synthetically accessible via biological routes. Additionally, the polyketide chemical space is vast and cannot be exhaustively enumerated in a static database. We therefore need a learned model that generalizes from a representative training set to recognize the structural hallmarks of polyketide backbones, even for polyketides not explicitly in the training set.</w:t>
      </w:r>
    </w:p>
    <w:p>
      <w:pPr>
        <w:pStyle w:val="ListParagraph"/>
        <w:numPr>
          <w:ilvl w:val="0"/>
          <w:numId w:val="4"/>
        </w:numPr>
        <w:spacing w:after="120" w:line="276"/>
      </w:pPr>
      <w:r>
        <w:rPr>
          <w:rFonts w:ascii="Arial" w:cs="Arial" w:eastAsia="Arial" w:hAnsi="Arial"/>
          <w:b/>
          <w:bCs/>
          <w:sz w:val="22"/>
          <w:szCs w:val="22"/>
        </w:rPr>
        <w:t xml:space="preserve">Training set generation via RetroTide and DORAnet (Fig. 3). </w:t>
      </w:r>
      <w:r>
        <w:rPr>
          <w:rFonts w:ascii="Arial" w:cs="Arial" w:eastAsia="Arial" w:hAnsi="Arial"/>
          <w:sz w:val="22"/>
          <w:szCs w:val="22"/>
        </w:rPr>
        <w:t xml:space="preserve">Describe the two-step synthetic data generation pipeline:</w:t>
      </w:r>
    </w:p>
    <w:p>
      <w:pPr>
        <w:pStyle w:val="ListParagraph"/>
        <w:numPr>
          <w:ilvl w:val="1"/>
          <w:numId w:val="4"/>
        </w:numPr>
        <w:spacing w:after="120" w:line="276"/>
      </w:pPr>
      <w:r>
        <w:rPr>
          <w:rFonts w:ascii="Arial" w:cs="Arial" w:eastAsia="Arial" w:hAnsi="Arial"/>
          <w:b/>
          <w:bCs/>
          <w:sz w:val="22"/>
          <w:szCs w:val="22"/>
        </w:rPr>
        <w:t xml:space="preserve">Step 1 — Polyketide scaffold generation (~1M positives, labelled 1): </w:t>
      </w:r>
      <w:r>
        <w:rPr>
          <w:rFonts w:ascii="Arial" w:cs="Arial" w:eastAsia="Arial" w:hAnsi="Arial"/>
          <w:sz w:val="22"/>
          <w:szCs w:val="22"/>
        </w:rPr>
        <w:t xml:space="preserve">RetroTide was used to combinatorially assemble chimeric type I PKS designs </w:t>
      </w:r>
      <w:r>
        <w:rPr>
          <w:rFonts w:ascii="Arial" w:cs="Arial" w:eastAsia="Arial" w:hAnsi="Arial"/>
          <w:i/>
          <w:iCs/>
          <w:sz w:val="22"/>
          <w:szCs w:val="22"/>
        </w:rPr>
        <w:t xml:space="preserve">in silico</w:t>
      </w:r>
      <w:r>
        <w:rPr>
          <w:rFonts w:ascii="Arial" w:cs="Arial" w:eastAsia="Arial" w:hAnsi="Arial"/>
          <w:sz w:val="22"/>
          <w:szCs w:val="22"/>
        </w:rPr>
        <w:t xml:space="preserve"> comprising a single loading module (29 possible starter units), up to 3 extension modules (each with all possible domain architectures—KS-AT-ACP, KS-AT-KR-ACP, KS-AT-KR-DH-ACP, KS-AT-KR-DH-ER-ACP, crossed with 6 extender units), and a terminal thioesterase domain allowing both thiolysis and lactonization offloading. This enumeration yields ~1 million core polyketide structures. Note that limiting to 3 extension modules also biases the library toward shorter, more readily expressible PKS assembly lines.</w:t>
      </w:r>
    </w:p>
    <w:p>
      <w:pPr>
        <w:pStyle w:val="ListParagraph"/>
        <w:numPr>
          <w:ilvl w:val="1"/>
          <w:numId w:val="4"/>
        </w:numPr>
        <w:spacing w:after="120" w:line="276"/>
      </w:pPr>
      <w:r>
        <w:rPr>
          <w:rFonts w:ascii="Arial" w:cs="Arial" w:eastAsia="Arial" w:hAnsi="Arial"/>
          <w:b/>
          <w:bCs/>
          <w:sz w:val="22"/>
          <w:szCs w:val="22"/>
        </w:rPr>
        <w:t xml:space="preserve">Step 2 — Chemoenzymatic modification (~2M negatives, labelled 0): </w:t>
      </w:r>
      <w:r>
        <w:rPr>
          <w:rFonts w:ascii="Arial" w:cs="Arial" w:eastAsia="Arial" w:hAnsi="Arial"/>
          <w:sz w:val="22"/>
          <w:szCs w:val="22"/>
        </w:rPr>
        <w:t xml:space="preserve">Each polyketide was subjected to a single step of DORAnet expansion using all synthetic chemistry and all enzymatic reaction templates. For each polyketide, the most structurally similar product from the synthetic chemistry-modified set and the most structurally similar product from the enzymatic chemistry-modified set were selected, yielding ~2 million chemoenzymatically modified polyketide variants. These serve as hard negatives—molecules that are structurally close to polyketides but have undergone at least one non-PKS transformation, forcing the classifier to learn the precise structural features that distinguish PKS products from their chemoenzymatic derivatives.</w:t>
      </w:r>
    </w:p>
    <w:p>
      <w:pPr>
        <w:pStyle w:val="ListParagraph"/>
        <w:numPr>
          <w:ilvl w:val="0"/>
          <w:numId w:val="4"/>
        </w:numPr>
        <w:spacing w:after="120" w:line="276"/>
      </w:pPr>
      <w:r>
        <w:rPr>
          <w:rFonts w:ascii="Arial" w:cs="Arial" w:eastAsia="Arial" w:hAnsi="Arial"/>
          <w:b/>
          <w:bCs/>
          <w:sz w:val="22"/>
          <w:szCs w:val="22"/>
        </w:rPr>
        <w:t xml:space="preserve">GNN architecture (Fig. 4). </w:t>
      </w:r>
      <w:r>
        <w:rPr>
          <w:rFonts w:ascii="Arial" w:cs="Arial" w:eastAsia="Arial" w:hAnsi="Arial"/>
          <w:sz w:val="22"/>
          <w:szCs w:val="22"/>
        </w:rPr>
        <w:t xml:space="preserve">Describe the supervised GNN classifier: input SMILES are parsed via RDKit into molecular graphs. Each atom is encoded as a 40-dimensional feature vector (atomic number, degree, formal charge, hydrogen count, hybridization, aromaticity, ring membership). Each bond is encoded as a 5-dimensional feature vector (bond type or self-loop indicator). Node features are projected into a 256-dimensional hidden space via a learned linear transformation. The backbone consists of 3 stacked graph attention layers, each with 4 multi-head attention heads, residual connections, LayerNorm, ELU activation, and dropout (p = 0.1). Edge features are incorporated directly into the attention computation. After the final attention layer, node embeddings are mean-pooled to produce a single graph-level embedding, which is passed through a two-layer classification head (256 → 128 → 1) with sigmoid activation to yield the predicted polyketide synthesizability score.</w:t>
      </w:r>
    </w:p>
    <w:p>
      <w:pPr>
        <w:pStyle w:val="ListParagraph"/>
        <w:numPr>
          <w:ilvl w:val="0"/>
          <w:numId w:val="4"/>
        </w:numPr>
        <w:spacing w:after="120" w:line="276"/>
      </w:pPr>
      <w:r>
        <w:rPr>
          <w:rFonts w:ascii="Arial" w:cs="Arial" w:eastAsia="Arial" w:hAnsi="Arial"/>
          <w:b/>
          <w:bCs/>
          <w:sz w:val="22"/>
          <w:szCs w:val="22"/>
        </w:rPr>
        <w:t xml:space="preserve">Training details. </w:t>
      </w:r>
      <w:r>
        <w:rPr>
          <w:rFonts w:ascii="Arial" w:cs="Arial" w:eastAsia="Arial" w:hAnsi="Arial"/>
          <w:sz w:val="22"/>
          <w:szCs w:val="22"/>
        </w:rPr>
        <w:t xml:space="preserve">BCEWithLogitsLoss with pos_weight = 2.0 to compensate for 2:1 class imbalance (negatives:positives). AdamW optimizer (lr = 3×10⁻⁴, weight decay = 1×10⁻⁴). Optional cosine annealing LR scheduler with linear warmup. Evaluated by AUPRC. Supports distributed multi-GPU training via torchrun or SLURM.</w:t>
      </w:r>
    </w:p>
    <w:p>
      <w:pPr>
        <w:pStyle w:val="ListParagraph"/>
        <w:numPr>
          <w:ilvl w:val="0"/>
          <w:numId w:val="4"/>
        </w:numPr>
        <w:spacing w:after="120" w:line="276"/>
      </w:pPr>
      <w:r>
        <w:rPr>
          <w:rFonts w:ascii="Arial" w:cs="Arial" w:eastAsia="Arial" w:hAnsi="Arial"/>
          <w:b/>
          <w:bCs/>
          <w:sz w:val="22"/>
          <w:szCs w:val="22"/>
        </w:rPr>
        <w:t xml:space="preserve">Integration with TridentSynthRL. </w:t>
      </w:r>
      <w:r>
        <w:rPr>
          <w:rFonts w:ascii="Arial" w:cs="Arial" w:eastAsia="Arial" w:hAnsi="Arial"/>
          <w:sz w:val="22"/>
          <w:szCs w:val="22"/>
        </w:rPr>
        <w:t xml:space="preserve">The trained GNN replaces the static database lookup as the polyketide detection mechanism during MCTS expansion. When a new child node is created, its SMILES is fed through the GNN; if the predicted probability exceeds 0.5, the node is flagged as a polyketide and the RetroTide agent is spawned. Note that users also retain the option of using database lookup for deterministic matching, which is useful for validation and benchmarking. The GNN approach, however, generalizes to novel polyketide scaffolds not present in any precomputed library.</w:t>
      </w:r>
    </w:p>
    <w:p>
      <w:pPr>
        <w:spacing w:after="80"/>
      </w:pPr>
    </w:p>
    <w:p>
      <w:pPr>
        <w:pStyle w:val="Heading2"/>
        <w:spacing w:before="280" w:after="160"/>
      </w:pPr>
      <w:r>
        <w:rPr>
          <w:rFonts w:ascii="Arial" w:cs="Arial" w:eastAsia="Arial" w:hAnsi="Arial"/>
          <w:b/>
          <w:bCs/>
          <w:sz w:val="24"/>
          <w:szCs w:val="24"/>
        </w:rPr>
        <w:t xml:space="preserve">4. Deploying TridentSynthRL on the Kavalactone Family</w:t>
      </w:r>
    </w:p>
    <w:p>
      <w:pPr>
        <w:spacing w:after="160" w:line="276"/>
      </w:pPr>
      <w:r>
        <w:rPr>
          <w:rFonts w:ascii="Arial" w:cs="Arial" w:eastAsia="Arial" w:hAnsi="Arial"/>
          <w:sz w:val="22"/>
          <w:szCs w:val="22"/>
        </w:rPr>
        <w:t xml:space="preserve">References: </w:t>
      </w:r>
      <w:r>
        <w:rPr>
          <w:rFonts w:ascii="Arial" w:cs="Arial" w:eastAsia="Arial" w:hAnsi="Arial"/>
          <w:b/>
          <w:bCs/>
          <w:sz w:val="22"/>
          <w:szCs w:val="22"/>
        </w:rPr>
        <w:t xml:space="preserve">Fig. 5</w:t>
      </w:r>
      <w:r>
        <w:rPr>
          <w:rFonts w:ascii="Arial" w:cs="Arial" w:eastAsia="Arial" w:hAnsi="Arial"/>
          <w:sz w:val="22"/>
          <w:szCs w:val="22"/>
        </w:rPr>
        <w:t xml:space="preserve">, </w:t>
      </w:r>
      <w:r>
        <w:rPr>
          <w:rFonts w:ascii="Arial" w:cs="Arial" w:eastAsia="Arial" w:hAnsi="Arial"/>
          <w:b/>
          <w:bCs/>
          <w:sz w:val="22"/>
          <w:szCs w:val="22"/>
        </w:rPr>
        <w:t xml:space="preserve">Fig. 6</w:t>
      </w:r>
      <w:r>
        <w:rPr>
          <w:rFonts w:ascii="Arial" w:cs="Arial" w:eastAsia="Arial" w:hAnsi="Arial"/>
          <w:sz w:val="22"/>
          <w:szCs w:val="22"/>
        </w:rPr>
        <w:t xml:space="preserve">, </w:t>
      </w:r>
      <w:r>
        <w:rPr>
          <w:rFonts w:ascii="Arial" w:cs="Arial" w:eastAsia="Arial" w:hAnsi="Arial"/>
          <w:b/>
          <w:bCs/>
          <w:sz w:val="22"/>
          <w:szCs w:val="22"/>
        </w:rPr>
        <w:t xml:space="preserve">Fig. 7</w:t>
      </w:r>
      <w:r>
        <w:rPr>
          <w:rFonts w:ascii="Arial" w:cs="Arial" w:eastAsia="Arial" w:hAnsi="Arial"/>
          <w:sz w:val="22"/>
          <w:szCs w:val="22"/>
        </w:rPr>
        <w:t xml:space="preserve">, </w:t>
      </w:r>
      <w:r>
        <w:rPr>
          <w:rFonts w:ascii="Arial" w:cs="Arial" w:eastAsia="Arial" w:hAnsi="Arial"/>
          <w:b/>
          <w:bCs/>
          <w:sz w:val="22"/>
          <w:szCs w:val="22"/>
        </w:rPr>
        <w:t xml:space="preserve">Fig. 8</w:t>
      </w:r>
    </w:p>
    <w:p>
      <w:pPr>
        <w:spacing w:after="80"/>
      </w:pPr>
    </w:p>
    <w:p>
      <w:pPr>
        <w:pStyle w:val="Heading3"/>
        <w:spacing w:before="200" w:after="120"/>
      </w:pPr>
      <w:r>
        <w:rPr>
          <w:rFonts w:ascii="Arial" w:cs="Arial" w:eastAsia="Arial" w:hAnsi="Arial"/>
          <w:b/>
          <w:bCs/>
          <w:sz w:val="22"/>
          <w:szCs w:val="22"/>
        </w:rPr>
        <w:t xml:space="preserve">Narrative arc</w:t>
      </w:r>
    </w:p>
    <w:p>
      <w:pPr>
        <w:spacing w:after="120" w:line="276"/>
      </w:pPr>
      <w:r>
        <w:rPr>
          <w:rFonts w:ascii="Arial" w:cs="Arial" w:eastAsia="Arial" w:hAnsi="Arial"/>
          <w:i/>
          <w:iCs/>
          <w:color w:val="666666"/>
          <w:sz w:val="20"/>
          <w:szCs w:val="20"/>
        </w:rPr>
        <w:t xml:space="preserve">This is the main results showcase. Motivate the choice of kavalactones, present the overall success across 15 compounds, then walk through 3 representative pathways that illustrate different strengths of the framework: (i) a PKS-dominated route, (ii) a hybrid PKS + chemical coupling route, and (iii) a purely chemical route.</w:t>
      </w:r>
    </w:p>
    <w:p>
      <w:pPr>
        <w:spacing w:after="80"/>
      </w:pPr>
    </w:p>
    <w:p>
      <w:pPr>
        <w:pStyle w:val="Heading3"/>
        <w:spacing w:before="200" w:after="120"/>
      </w:pPr>
      <w:r>
        <w:rPr>
          <w:rFonts w:ascii="Arial" w:cs="Arial" w:eastAsia="Arial" w:hAnsi="Arial"/>
          <w:b/>
          <w:bCs/>
          <w:sz w:val="22"/>
          <w:szCs w:val="22"/>
        </w:rPr>
        <w:t xml:space="preserve">Key points to cover</w:t>
      </w:r>
    </w:p>
    <w:p>
      <w:pPr>
        <w:pStyle w:val="ListParagraph"/>
        <w:numPr>
          <w:ilvl w:val="0"/>
          <w:numId w:val="5"/>
        </w:numPr>
        <w:spacing w:after="120" w:line="276"/>
      </w:pPr>
      <w:r>
        <w:rPr>
          <w:rFonts w:ascii="Arial" w:cs="Arial" w:eastAsia="Arial" w:hAnsi="Arial"/>
          <w:b/>
          <w:bCs/>
          <w:sz w:val="22"/>
          <w:szCs w:val="22"/>
        </w:rPr>
        <w:t xml:space="preserve">Why kavalactones? </w:t>
      </w:r>
      <w:r>
        <w:rPr>
          <w:rFonts w:ascii="Arial" w:cs="Arial" w:eastAsia="Arial" w:hAnsi="Arial"/>
          <w:sz w:val="22"/>
          <w:szCs w:val="22"/>
        </w:rPr>
        <w:t xml:space="preserve">The kavalactone family from </w:t>
      </w:r>
      <w:r>
        <w:rPr>
          <w:rFonts w:ascii="Arial" w:cs="Arial" w:eastAsia="Arial" w:hAnsi="Arial"/>
          <w:i/>
          <w:iCs/>
          <w:sz w:val="22"/>
          <w:szCs w:val="22"/>
        </w:rPr>
        <w:t xml:space="preserve">Piper methysticum</w:t>
      </w:r>
      <w:r>
        <w:rPr>
          <w:rFonts w:ascii="Arial" w:cs="Arial" w:eastAsia="Arial" w:hAnsi="Arial"/>
          <w:sz w:val="22"/>
          <w:szCs w:val="22"/>
        </w:rPr>
        <w:t xml:space="preserve"> (kava) comprises therapeutically interesting compounds with demonstrated anxiolytic, analgesic, and neuroprotective properties. All 15 compounds share a core α-pyrone (lactone) scaffold but vary in their aromatic substitutions, degrees of saturation, and hydroxylation/methoxylation patterns (Fig. 5). This structural diversity within a common scaffold makes them an ideal test set: the shared α-pyrone core is a natural fit for PKS biosynthesis (since lactone ring formation can be achieved via thioesterase-mediated cyclization), while the peripheral modifications require the full flexibility of the chemoenzymatic template library. Additionally, argue that the kavalactone scaffold presents a synthetic challenge because the α-pyrone ring with its specific substitution pattern is difficult to achieve via purely chemical routes with appropriate stereoselectivity.</w:t>
      </w:r>
    </w:p>
    <w:p>
      <w:pPr>
        <w:pStyle w:val="ListParagraph"/>
        <w:numPr>
          <w:ilvl w:val="0"/>
          <w:numId w:val="5"/>
        </w:numPr>
        <w:spacing w:after="120" w:line="276"/>
      </w:pPr>
      <w:r>
        <w:rPr>
          <w:rFonts w:ascii="Arial" w:cs="Arial" w:eastAsia="Arial" w:hAnsi="Arial"/>
          <w:b/>
          <w:bCs/>
          <w:sz w:val="22"/>
          <w:szCs w:val="22"/>
        </w:rPr>
        <w:t xml:space="preserve">Overall results. </w:t>
      </w:r>
      <w:r>
        <w:rPr>
          <w:rFonts w:ascii="Arial" w:cs="Arial" w:eastAsia="Arial" w:hAnsi="Arial"/>
          <w:sz w:val="22"/>
          <w:szCs w:val="22"/>
        </w:rPr>
        <w:t xml:space="preserve">TridentSynthRL successfully identified thermodynamically feasible retrosynthetic pathways to all 15 members of the kavalactone family. For every compound, at least one pathway involves a type I PKS to construct the core carbon backbone, demonstrating the value of integrating PKS biosynthesis into the retrosynthetic search. Users can tune the number of pathways enumerated by adjusting the MCTS iteration count. Full pathway details for all 15 kavalactones are provided in the Supplementary Materials.</w:t>
      </w:r>
    </w:p>
    <w:p>
      <w:pPr>
        <w:pStyle w:val="ListParagraph"/>
        <w:numPr>
          <w:ilvl w:val="0"/>
          <w:numId w:val="5"/>
        </w:numPr>
        <w:spacing w:after="120" w:line="276"/>
      </w:pPr>
      <w:r>
        <w:rPr>
          <w:rFonts w:ascii="Arial" w:cs="Arial" w:eastAsia="Arial" w:hAnsi="Arial"/>
          <w:b/>
          <w:bCs/>
          <w:sz w:val="22"/>
          <w:szCs w:val="22"/>
        </w:rPr>
        <w:t xml:space="preserve">Representative pathway 1: 7,8-dihydrokavain — a PKS-dominated route (Fig. 6). </w:t>
      </w:r>
      <w:r>
        <w:rPr>
          <w:rFonts w:ascii="Arial" w:cs="Arial" w:eastAsia="Arial" w:hAnsi="Arial"/>
          <w:sz w:val="22"/>
          <w:szCs w:val="22"/>
        </w:rPr>
        <w:t xml:space="preserve">Walk through the pathway in detail. A chimeric PKS with a benzoyl-CoA starter unit and 3 extension modules (each using malonyl-CoA as extender, with module-specific tailoring domains including KR, DH, and ER) produces the core α-pyrone scaffold via thioesterase-mediated lactonization. This is followed by an enthalpically downhill dehydration reaction (ΔH = −6.27 kcal/mol) and an enzymatic </w:t>
      </w:r>
      <w:r>
        <w:rPr>
          <w:rFonts w:ascii="Arial" w:cs="Arial" w:eastAsia="Arial" w:hAnsi="Arial"/>
          <w:i/>
          <w:iCs/>
          <w:sz w:val="22"/>
          <w:szCs w:val="22"/>
        </w:rPr>
        <w:t xml:space="preserve">O</w:t>
      </w:r>
      <w:r>
        <w:rPr>
          <w:rFonts w:ascii="Arial" w:cs="Arial" w:eastAsia="Arial" w:hAnsi="Arial"/>
          <w:sz w:val="22"/>
          <w:szCs w:val="22"/>
        </w:rPr>
        <w:t xml:space="preserve">-methylation reaction predicted feasible by DORA-XGB (score = 0.955, using SAM as the methyl donor). Highlight that this route demonstrates TridentSynthRL’s ability to design complete pathways where the PKS handles the backbone and monofunctional enzymes handle the peripheral modifications.</w:t>
      </w:r>
    </w:p>
    <w:p>
      <w:pPr>
        <w:pStyle w:val="ListParagraph"/>
        <w:numPr>
          <w:ilvl w:val="0"/>
          <w:numId w:val="5"/>
        </w:numPr>
        <w:spacing w:after="120" w:line="276"/>
      </w:pPr>
      <w:r>
        <w:rPr>
          <w:rFonts w:ascii="Arial" w:cs="Arial" w:eastAsia="Arial" w:hAnsi="Arial"/>
          <w:b/>
          <w:bCs/>
          <w:sz w:val="22"/>
          <w:szCs w:val="22"/>
        </w:rPr>
        <w:t xml:space="preserve">Representative pathway 2: Desmethoxyyangonin — a hybrid PKS + chemical coupling route (Fig. 7). </w:t>
      </w:r>
      <w:r>
        <w:rPr>
          <w:rFonts w:ascii="Arial" w:cs="Arial" w:eastAsia="Arial" w:hAnsi="Arial"/>
          <w:sz w:val="22"/>
          <w:szCs w:val="22"/>
        </w:rPr>
        <w:t xml:space="preserve">A shorter 1-extension-module PKS (benzoyl-CoA starter, hydroxymalonyl-CoA extender) produces a polyketide fragment accounting for the aromatic moiety. TridentSynthRL then proposes coupling this fragment with the commercial chemical building block 4-hydroxy-2H-pyran-2-one (accounting for the six-membered lactone ring) via an enthalpically downhill electrophilic aromatic alkylation (ΔH = −11.38 kcal/mol). Three subsequent enzymatic reactions—</w:t>
      </w:r>
      <w:r>
        <w:rPr>
          <w:rFonts w:ascii="Arial" w:cs="Arial" w:eastAsia="Arial" w:hAnsi="Arial"/>
          <w:i/>
          <w:iCs/>
          <w:sz w:val="22"/>
          <w:szCs w:val="22"/>
        </w:rPr>
        <w:t xml:space="preserve">O</w:t>
      </w:r>
      <w:r>
        <w:rPr>
          <w:rFonts w:ascii="Arial" w:cs="Arial" w:eastAsia="Arial" w:hAnsi="Arial"/>
          <w:sz w:val="22"/>
          <w:szCs w:val="22"/>
        </w:rPr>
        <w:t xml:space="preserve">-methylation (DORA-XGB = 0.977), decarboxylation (DORA-XGB = 0.995), and dehydration (DORA-XGB = 0.964)—complete the synthesis. This route illustrates TridentSynthRL’s ability to combine a minimal PKS with chemical coupling and enzymatic tailoring.</w:t>
      </w:r>
    </w:p>
    <w:p>
      <w:pPr>
        <w:pStyle w:val="ListParagraph"/>
        <w:numPr>
          <w:ilvl w:val="0"/>
          <w:numId w:val="5"/>
        </w:numPr>
        <w:spacing w:after="120" w:line="276"/>
      </w:pPr>
      <w:r>
        <w:rPr>
          <w:rFonts w:ascii="Arial" w:cs="Arial" w:eastAsia="Arial" w:hAnsi="Arial"/>
          <w:b/>
          <w:bCs/>
          <w:sz w:val="22"/>
          <w:szCs w:val="22"/>
        </w:rPr>
        <w:t xml:space="preserve">Representative pathway 3: 5,6,7,8-tetrahydroyangonin — a purely chemical route (Fig. 8). </w:t>
      </w:r>
      <w:r>
        <w:rPr>
          <w:rFonts w:ascii="Arial" w:cs="Arial" w:eastAsia="Arial" w:hAnsi="Arial"/>
          <w:sz w:val="22"/>
          <w:szCs w:val="22"/>
        </w:rPr>
        <w:t xml:space="preserve">TridentSynthRL also discovers purely chemical routes when they are more efficient. Starting from two commercially available building blocks—1-(but-3-yn-1-yl)-4-methoxybenzene and 3-bromoprop-2-ynoic acid—a Suzuki coupling with alkynes, HBr addition, esterification with methanol, intramolecular cyclization, and dehydrohalogenation furnish 5,6,7,8-tetrahydroyangonin entirely through synthetic chemistry. This demonstrates that TridentSynthRL does not force biological routes where chemical ones suffice; the MCTS search naturally finds whichever modality produces the most efficient pathway.</w:t>
      </w:r>
    </w:p>
    <w:p>
      <w:pPr>
        <w:spacing w:after="80"/>
      </w:pPr>
    </w:p>
    <w:p>
      <w:pPr>
        <w:pStyle w:val="Heading2"/>
        <w:spacing w:before="280" w:after="160"/>
      </w:pPr>
      <w:r>
        <w:rPr>
          <w:rFonts w:ascii="Arial" w:cs="Arial" w:eastAsia="Arial" w:hAnsi="Arial"/>
          <w:b/>
          <w:bCs/>
          <w:sz w:val="24"/>
          <w:szCs w:val="24"/>
        </w:rPr>
        <w:t xml:space="preserve">5. A Shorter Pathway to Cryptofolione via Chemoenzymatic Retrosynthesis</w:t>
      </w:r>
    </w:p>
    <w:p>
      <w:pPr>
        <w:spacing w:after="160" w:line="276"/>
      </w:pPr>
      <w:r>
        <w:rPr>
          <w:rFonts w:ascii="Arial" w:cs="Arial" w:eastAsia="Arial" w:hAnsi="Arial"/>
          <w:sz w:val="22"/>
          <w:szCs w:val="22"/>
        </w:rPr>
        <w:t xml:space="preserve">Reference: </w:t>
      </w:r>
      <w:r>
        <w:rPr>
          <w:rFonts w:ascii="Arial" w:cs="Arial" w:eastAsia="Arial" w:hAnsi="Arial"/>
          <w:b/>
          <w:bCs/>
          <w:sz w:val="22"/>
          <w:szCs w:val="22"/>
        </w:rPr>
        <w:t xml:space="preserve">Fig. 9</w:t>
      </w:r>
    </w:p>
    <w:p>
      <w:pPr>
        <w:spacing w:after="80"/>
      </w:pPr>
    </w:p>
    <w:p>
      <w:pPr>
        <w:pStyle w:val="Heading3"/>
        <w:spacing w:before="200" w:after="120"/>
      </w:pPr>
      <w:r>
        <w:rPr>
          <w:rFonts w:ascii="Arial" w:cs="Arial" w:eastAsia="Arial" w:hAnsi="Arial"/>
          <w:b/>
          <w:bCs/>
          <w:sz w:val="22"/>
          <w:szCs w:val="22"/>
        </w:rPr>
        <w:t xml:space="preserve">Narrative arc</w:t>
      </w:r>
    </w:p>
    <w:p>
      <w:pPr>
        <w:spacing w:after="120" w:line="276"/>
      </w:pPr>
      <w:r>
        <w:rPr>
          <w:rFonts w:ascii="Arial" w:cs="Arial" w:eastAsia="Arial" w:hAnsi="Arial"/>
          <w:i/>
          <w:iCs/>
          <w:color w:val="666666"/>
          <w:sz w:val="20"/>
          <w:szCs w:val="20"/>
        </w:rPr>
        <w:t xml:space="preserve">This section serves as a compelling comparison to prior work (RetroTide alone), demonstrating that TridentSynthRL’s chemoenzymatic approach yields more efficient PKS designs by combining shorter PKSs with chemical coupling.</w:t>
      </w:r>
    </w:p>
    <w:p>
      <w:pPr>
        <w:spacing w:after="80"/>
      </w:pPr>
    </w:p>
    <w:p>
      <w:pPr>
        <w:pStyle w:val="Heading3"/>
        <w:spacing w:before="200" w:after="120"/>
      </w:pPr>
      <w:r>
        <w:rPr>
          <w:rFonts w:ascii="Arial" w:cs="Arial" w:eastAsia="Arial" w:hAnsi="Arial"/>
          <w:b/>
          <w:bCs/>
          <w:sz w:val="22"/>
          <w:szCs w:val="22"/>
        </w:rPr>
        <w:t xml:space="preserve">Key points to cover</w:t>
      </w:r>
    </w:p>
    <w:p>
      <w:pPr>
        <w:pStyle w:val="ListParagraph"/>
        <w:numPr>
          <w:ilvl w:val="0"/>
          <w:numId w:val="6"/>
        </w:numPr>
        <w:spacing w:after="120" w:line="276"/>
      </w:pPr>
      <w:r>
        <w:rPr>
          <w:rFonts w:ascii="Arial" w:cs="Arial" w:eastAsia="Arial" w:hAnsi="Arial"/>
          <w:b/>
          <w:bCs/>
          <w:sz w:val="22"/>
          <w:szCs w:val="22"/>
        </w:rPr>
        <w:t xml:space="preserve">Prior work: a long 5-module PKS. </w:t>
      </w:r>
      <w:r>
        <w:rPr>
          <w:rFonts w:ascii="Arial" w:cs="Arial" w:eastAsia="Arial" w:hAnsi="Arial"/>
          <w:sz w:val="22"/>
          <w:szCs w:val="22"/>
        </w:rPr>
        <w:t xml:space="preserve">In our previous work using RetroTide alone, a single chimeric PKS spanning 5 extension modules was proposed to synthesize the full cryptofolione scaffold in a single biosynthetic step. While conceptually valid, such long chimeric PKS assembly lines are challenging to express heterologously and are prone to reduced catalytic efficiency as module count increases.</w:t>
      </w:r>
    </w:p>
    <w:p>
      <w:pPr>
        <w:pStyle w:val="ListParagraph"/>
        <w:numPr>
          <w:ilvl w:val="0"/>
          <w:numId w:val="6"/>
        </w:numPr>
        <w:spacing w:after="120" w:line="276"/>
      </w:pPr>
      <w:r>
        <w:rPr>
          <w:rFonts w:ascii="Arial" w:cs="Arial" w:eastAsia="Arial" w:hAnsi="Arial"/>
          <w:b/>
          <w:bCs/>
          <w:sz w:val="22"/>
          <w:szCs w:val="22"/>
        </w:rPr>
        <w:t xml:space="preserve">TridentSynthRL: a shorter 2-module PKS + chemical coupling. </w:t>
      </w:r>
      <w:r>
        <w:rPr>
          <w:rFonts w:ascii="Arial" w:cs="Arial" w:eastAsia="Arial" w:hAnsi="Arial"/>
          <w:sz w:val="22"/>
          <w:szCs w:val="22"/>
        </w:rPr>
        <w:t xml:space="preserve">TridentSynthRL identifies a more efficient pathway: a chimeric PKS with only 2 extension modules (cinnamoyl-CoA starter unit, 2× malonyl-CoA extenders, both modules with KR tailoring domains) produces a fragment capturing the aromatic styryl moiety and 6-membered lactone ring of cryptofolione. This fragment is then coupled via an enthalpically downhill ring-opening metathesis reaction (ΔH = −1.40 kcal/mol) with cyclohex-3-ene-1,4-diol. Cyclohex-3-ene-1,4-diol is in turn obtained from an enzymatic monooxygenation of the commercial building block cyclohex-3-en-1-ol (DORA-XGB feasibility = 0.931).</w:t>
      </w:r>
    </w:p>
    <w:p>
      <w:pPr>
        <w:pStyle w:val="ListParagraph"/>
        <w:numPr>
          <w:ilvl w:val="0"/>
          <w:numId w:val="6"/>
        </w:numPr>
        <w:spacing w:after="120" w:line="276"/>
      </w:pPr>
      <w:r>
        <w:rPr>
          <w:rFonts w:ascii="Arial" w:cs="Arial" w:eastAsia="Arial" w:hAnsi="Arial"/>
          <w:b/>
          <w:bCs/>
          <w:sz w:val="22"/>
          <w:szCs w:val="22"/>
        </w:rPr>
        <w:t xml:space="preserve">Why this matters. </w:t>
      </w:r>
      <w:r>
        <w:rPr>
          <w:rFonts w:ascii="Arial" w:cs="Arial" w:eastAsia="Arial" w:hAnsi="Arial"/>
          <w:sz w:val="22"/>
          <w:szCs w:val="22"/>
        </w:rPr>
        <w:t xml:space="preserve">Reducing from 5 to 2 extension modules substantially improves the likelihood of successful heterologous PKS expression. The trade-off—introducing a chemical coupling step—is acceptable because the ring-opening metathesis is enthalpically favorable and well-established in synthetic chemistry. This exemplifies TridentSynthRL’s core advantage: by reasoning across synthesis modalities simultaneously, it can identify pathway designs that are globally more efficient than those found by any single-modality planner.</w:t>
      </w:r>
    </w:p>
    <w:p>
      <w:pPr>
        <w:spacing w:after="80"/>
      </w:pPr>
    </w:p>
    <w:p>
      <w:r>
        <w:br w:type="page"/>
      </w:r>
    </w:p>
    <w:p>
      <w:pPr>
        <w:pStyle w:val="Heading1"/>
        <w:spacing w:before="360" w:after="200"/>
      </w:pPr>
      <w:r>
        <w:rPr>
          <w:rFonts w:ascii="Arial" w:cs="Arial" w:eastAsia="Arial" w:hAnsi="Arial"/>
          <w:b/>
          <w:bCs/>
          <w:sz w:val="28"/>
          <w:szCs w:val="28"/>
        </w:rPr>
        <w:t xml:space="preserve">Methods</w:t>
      </w:r>
    </w:p>
    <w:p>
      <w:pPr>
        <w:spacing w:after="120" w:line="276"/>
      </w:pPr>
      <w:r>
        <w:rPr>
          <w:rFonts w:ascii="Arial" w:cs="Arial" w:eastAsia="Arial" w:hAnsi="Arial"/>
          <w:i/>
          <w:iCs/>
          <w:color w:val="666666"/>
          <w:sz w:val="20"/>
          <w:szCs w:val="20"/>
        </w:rPr>
        <w:t xml:space="preserve">Authoring note: ACS Synth. Biol. places Methods after Results and Discussion. This section provides technical depth beyond what is in the Results. Focus on reproducibility—parameter values, algorithmic details, data processing steps.</w:t>
      </w:r>
    </w:p>
    <w:p>
      <w:pPr>
        <w:spacing w:after="80"/>
      </w:pPr>
    </w:p>
    <w:p>
      <w:pPr>
        <w:pStyle w:val="Heading2"/>
        <w:spacing w:before="280" w:after="160"/>
      </w:pPr>
      <w:r>
        <w:rPr>
          <w:rFonts w:ascii="Arial" w:cs="Arial" w:eastAsia="Arial" w:hAnsi="Arial"/>
          <w:b/>
          <w:bCs/>
          <w:sz w:val="24"/>
          <w:szCs w:val="24"/>
        </w:rPr>
        <w:t xml:space="preserve">M1. Chemoenzymatic MCTS Agent</w:t>
      </w:r>
    </w:p>
    <w:p>
      <w:pPr>
        <w:spacing w:after="80"/>
      </w:pPr>
    </w:p>
    <w:p>
      <w:pPr>
        <w:pStyle w:val="ListParagraph"/>
        <w:numPr>
          <w:ilvl w:val="0"/>
          <w:numId w:val="7"/>
        </w:numPr>
        <w:spacing w:after="120" w:line="276"/>
      </w:pPr>
      <w:r>
        <w:rPr>
          <w:rFonts w:ascii="Arial" w:cs="Arial" w:eastAsia="Arial" w:hAnsi="Arial"/>
          <w:b/>
          <w:bCs/>
          <w:sz w:val="22"/>
          <w:szCs w:val="22"/>
        </w:rPr>
        <w:t xml:space="preserve">DORAnet reaction network. </w:t>
      </w:r>
      <w:r>
        <w:rPr>
          <w:rFonts w:ascii="Arial" w:cs="Arial" w:eastAsia="Arial" w:hAnsi="Arial"/>
          <w:sz w:val="22"/>
          <w:szCs w:val="22"/>
        </w:rPr>
        <w:t xml:space="preserve">Details on the 386 synthetic and 3,604 enzymatic SMARTS templates. How templates are applied retrosynthetically. Cite DORAnet.</w:t>
      </w:r>
    </w:p>
    <w:p>
      <w:pPr>
        <w:pStyle w:val="ListParagraph"/>
        <w:numPr>
          <w:ilvl w:val="0"/>
          <w:numId w:val="7"/>
        </w:numPr>
        <w:spacing w:after="120" w:line="276"/>
      </w:pPr>
      <w:r>
        <w:rPr>
          <w:rFonts w:ascii="Arial" w:cs="Arial" w:eastAsia="Arial" w:hAnsi="Arial"/>
          <w:b/>
          <w:bCs/>
          <w:sz w:val="22"/>
          <w:szCs w:val="22"/>
        </w:rPr>
        <w:t xml:space="preserve">Building block databases. </w:t>
      </w:r>
      <w:r>
        <w:rPr>
          <w:rFonts w:ascii="Arial" w:cs="Arial" w:eastAsia="Arial" w:hAnsi="Arial"/>
          <w:sz w:val="22"/>
          <w:szCs w:val="22"/>
        </w:rPr>
        <w:t xml:space="preserve">Chemical building blocks: ~278K compounds from the Enamine catalog. Biological building blocks: ~334 metabolites curated from BRENDA, KEGG, and MetaCyc across 10 model microorganisms (list species). Prohibited chemicals: 652 hazardous compounds excluded from all pathways.</w:t>
      </w:r>
    </w:p>
    <w:p>
      <w:pPr>
        <w:pStyle w:val="ListParagraph"/>
        <w:numPr>
          <w:ilvl w:val="0"/>
          <w:numId w:val="7"/>
        </w:numPr>
        <w:spacing w:after="120" w:line="276"/>
      </w:pPr>
      <w:r>
        <w:rPr>
          <w:rFonts w:ascii="Arial" w:cs="Arial" w:eastAsia="Arial" w:hAnsi="Arial"/>
          <w:b/>
          <w:bCs/>
          <w:sz w:val="22"/>
          <w:szCs w:val="22"/>
        </w:rPr>
        <w:t xml:space="preserve">Selection policy. </w:t>
      </w:r>
      <w:r>
        <w:rPr>
          <w:rFonts w:ascii="Arial" w:cs="Arial" w:eastAsia="Arial" w:hAnsi="Arial"/>
          <w:sz w:val="22"/>
          <w:szCs w:val="22"/>
        </w:rPr>
        <w:t xml:space="preserve">UCB1 formula: Q(s,a)/N(s,a) + c√(ln N(s)/N(s,a)). Depth-biased variant adds a depth bonus term: + α × depth. Default exploration constant c = √2. Default depth bonus coefficient α = 4.0. Describe the frontier fallback mechanism that maintains a max-heap of unexpanded non-terminal nodes to prevent wasted iterations when all children at a level are terminal.</w:t>
      </w:r>
    </w:p>
    <w:p>
      <w:pPr>
        <w:pStyle w:val="ListParagraph"/>
        <w:numPr>
          <w:ilvl w:val="0"/>
          <w:numId w:val="7"/>
        </w:numPr>
        <w:spacing w:after="120" w:line="276"/>
      </w:pPr>
      <w:r>
        <w:rPr>
          <w:rFonts w:ascii="Arial" w:cs="Arial" w:eastAsia="Arial" w:hAnsi="Arial"/>
          <w:b/>
          <w:bCs/>
          <w:sz w:val="22"/>
          <w:szCs w:val="22"/>
        </w:rPr>
        <w:t xml:space="preserve">Fragment filtering. </w:t>
      </w:r>
      <w:r>
        <w:rPr>
          <w:rFonts w:ascii="Arial" w:cs="Arial" w:eastAsia="Arial" w:hAnsi="Arial"/>
          <w:sz w:val="22"/>
          <w:szCs w:val="22"/>
        </w:rPr>
        <w:t xml:space="preserve">Post-expansion filtering: remove wildcard patterns, cofactors, molecules exceeding 1.5× target MW. Child downselection strategies: “most_thermo_feasible” (default) ranks fragments by thermodynamic feasibility score with priority bonuses for sink compounds (+1000) and PKS matches (+500).</w:t>
      </w:r>
    </w:p>
    <w:p>
      <w:pPr>
        <w:pStyle w:val="ListParagraph"/>
        <w:numPr>
          <w:ilvl w:val="0"/>
          <w:numId w:val="7"/>
        </w:numPr>
        <w:spacing w:after="120" w:line="276"/>
      </w:pPr>
      <w:r>
        <w:rPr>
          <w:rFonts w:ascii="Arial" w:cs="Arial" w:eastAsia="Arial" w:hAnsi="Arial"/>
          <w:b/>
          <w:bCs/>
          <w:sz w:val="22"/>
          <w:szCs w:val="22"/>
        </w:rPr>
        <w:t xml:space="preserve">Parallelization. </w:t>
      </w:r>
      <w:r>
        <w:rPr>
          <w:rFonts w:ascii="Arial" w:cs="Arial" w:eastAsia="Arial" w:hAnsi="Arial"/>
          <w:sz w:val="22"/>
          <w:szCs w:val="22"/>
        </w:rPr>
        <w:t xml:space="preserve">Async expansion architecture: DORAnet expansion offloaded to a ProcessPoolExecutor while selection, rollout, reward computation, and backpropagation remain on the main process. Virtual loss prevents redundant node selection. Configurable number of workers and max in-flight expansions.</w:t>
      </w:r>
    </w:p>
    <w:p>
      <w:pPr>
        <w:pStyle w:val="ListParagraph"/>
        <w:numPr>
          <w:ilvl w:val="0"/>
          <w:numId w:val="7"/>
        </w:numPr>
        <w:spacing w:after="120" w:line="276"/>
      </w:pPr>
      <w:r>
        <w:rPr>
          <w:rFonts w:ascii="Arial" w:cs="Arial" w:eastAsia="Arial" w:hAnsi="Arial"/>
          <w:b/>
          <w:bCs/>
          <w:sz w:val="22"/>
          <w:szCs w:val="22"/>
        </w:rPr>
        <w:t xml:space="preserve">Caching. </w:t>
      </w:r>
      <w:r>
        <w:rPr>
          <w:rFonts w:ascii="Arial" w:cs="Arial" w:eastAsia="Arial" w:hAnsi="Arial"/>
          <w:sz w:val="22"/>
          <w:szCs w:val="22"/>
        </w:rPr>
        <w:t xml:space="preserve">SMILES canonicalization: LRU cache (50K entries). Fragment expansion results: disk-based pickle cache in .cache/. PKS library and building block sets: pickle cache with content hash invalidation.</w:t>
      </w:r>
    </w:p>
    <w:p>
      <w:pPr>
        <w:pStyle w:val="ListParagraph"/>
        <w:numPr>
          <w:ilvl w:val="0"/>
          <w:numId w:val="7"/>
        </w:numPr>
        <w:spacing w:after="120" w:line="276"/>
      </w:pPr>
      <w:r>
        <w:rPr>
          <w:rFonts w:ascii="Arial" w:cs="Arial" w:eastAsia="Arial" w:hAnsi="Arial"/>
          <w:b/>
          <w:bCs/>
          <w:sz w:val="22"/>
          <w:szCs w:val="22"/>
        </w:rPr>
        <w:t xml:space="preserve">Default MCTS parameters for kavalactone experiments. </w:t>
      </w:r>
      <w:r>
        <w:rPr>
          <w:rFonts w:ascii="Arial" w:cs="Arial" w:eastAsia="Arial" w:hAnsi="Arial"/>
          <w:sz w:val="22"/>
          <w:szCs w:val="22"/>
        </w:rPr>
        <w:t xml:space="preserve">Specify: total_iterations, max_depth, max_children_per_expand, selection_policy, and any other parameters used in the reported experiments.</w:t>
      </w:r>
    </w:p>
    <w:p>
      <w:pPr>
        <w:spacing w:after="80"/>
      </w:pPr>
    </w:p>
    <w:p>
      <w:pPr>
        <w:pStyle w:val="Heading2"/>
        <w:spacing w:before="280" w:after="160"/>
      </w:pPr>
      <w:r>
        <w:rPr>
          <w:rFonts w:ascii="Arial" w:cs="Arial" w:eastAsia="Arial" w:hAnsi="Arial"/>
          <w:b/>
          <w:bCs/>
          <w:sz w:val="24"/>
          <w:szCs w:val="24"/>
        </w:rPr>
        <w:t xml:space="preserve">M2. Polyketide Synthase MCTS Agent</w:t>
      </w:r>
    </w:p>
    <w:p>
      <w:pPr>
        <w:spacing w:after="80"/>
      </w:pPr>
    </w:p>
    <w:p>
      <w:pPr>
        <w:pStyle w:val="ListParagraph"/>
        <w:numPr>
          <w:ilvl w:val="0"/>
          <w:numId w:val="8"/>
        </w:numPr>
        <w:spacing w:after="120" w:line="276"/>
      </w:pPr>
      <w:r>
        <w:rPr>
          <w:rFonts w:ascii="Arial" w:cs="Arial" w:eastAsia="Arial" w:hAnsi="Arial"/>
          <w:b/>
          <w:bCs/>
          <w:sz w:val="22"/>
          <w:szCs w:val="22"/>
        </w:rPr>
        <w:t xml:space="preserve">RetroTide forward synthesis engine. </w:t>
      </w:r>
      <w:r>
        <w:rPr>
          <w:rFonts w:ascii="Arial" w:cs="Arial" w:eastAsia="Arial" w:hAnsi="Arial"/>
          <w:sz w:val="22"/>
          <w:szCs w:val="22"/>
        </w:rPr>
        <w:t xml:space="preserve">Describe how RetroTide’s designPKS_onestep() function is called during expansion to add one extension module at a time, and designPKS() is called during simulation for full rollouts. Cite RetroTide.</w:t>
      </w:r>
    </w:p>
    <w:p>
      <w:pPr>
        <w:pStyle w:val="ListParagraph"/>
        <w:numPr>
          <w:ilvl w:val="0"/>
          <w:numId w:val="8"/>
        </w:numPr>
        <w:spacing w:after="120" w:line="276"/>
      </w:pPr>
      <w:r>
        <w:rPr>
          <w:rFonts w:ascii="Arial" w:cs="Arial" w:eastAsia="Arial" w:hAnsi="Arial"/>
          <w:b/>
          <w:bCs/>
          <w:sz w:val="22"/>
          <w:szCs w:val="22"/>
        </w:rPr>
        <w:t xml:space="preserve">Starter and extender unit libraries. </w:t>
      </w:r>
      <w:r>
        <w:rPr>
          <w:rFonts w:ascii="Arial" w:cs="Arial" w:eastAsia="Arial" w:hAnsi="Arial"/>
          <w:sz w:val="22"/>
          <w:szCs w:val="22"/>
        </w:rPr>
        <w:t xml:space="preserve">29 starter units (acyl-CoA variants) for the loading module. 6 extender units for extension modules. List representative examples of each.</w:t>
      </w:r>
    </w:p>
    <w:p>
      <w:pPr>
        <w:pStyle w:val="ListParagraph"/>
        <w:numPr>
          <w:ilvl w:val="0"/>
          <w:numId w:val="8"/>
        </w:numPr>
        <w:spacing w:after="120" w:line="276"/>
      </w:pPr>
      <w:r>
        <w:rPr>
          <w:rFonts w:ascii="Arial" w:cs="Arial" w:eastAsia="Arial" w:hAnsi="Arial"/>
          <w:b/>
          <w:bCs/>
          <w:sz w:val="22"/>
          <w:szCs w:val="22"/>
        </w:rPr>
        <w:t xml:space="preserve">Domain architectures. </w:t>
      </w:r>
      <w:r>
        <w:rPr>
          <w:rFonts w:ascii="Arial" w:cs="Arial" w:eastAsia="Arial" w:hAnsi="Arial"/>
          <w:sz w:val="22"/>
          <w:szCs w:val="22"/>
        </w:rPr>
        <w:t xml:space="preserve">Mandatory domains: KS (ketosynthase, C–C bond formation), AT (acyltransferase, extender unit selection), ACP (acyl carrier protein). Optional tailoring domains: KR (ketoreductase, ketone → hydroxyl), DH (dehydratase, hydroxyl → double bond), ER (enoylreductase, double bond → saturated). Enumerate the 4 possible domain architecture combinations per module.</w:t>
      </w:r>
    </w:p>
    <w:p>
      <w:pPr>
        <w:pStyle w:val="ListParagraph"/>
        <w:numPr>
          <w:ilvl w:val="0"/>
          <w:numId w:val="8"/>
        </w:numPr>
        <w:spacing w:after="120" w:line="276"/>
      </w:pPr>
      <w:r>
        <w:rPr>
          <w:rFonts w:ascii="Arial" w:cs="Arial" w:eastAsia="Arial" w:hAnsi="Arial"/>
          <w:b/>
          <w:bCs/>
          <w:sz w:val="22"/>
          <w:szCs w:val="22"/>
        </w:rPr>
        <w:t xml:space="preserve">Offloading reactions. </w:t>
      </w:r>
      <w:r>
        <w:rPr>
          <w:rFonts w:ascii="Arial" w:cs="Arial" w:eastAsia="Arial" w:hAnsi="Arial"/>
          <w:sz w:val="22"/>
          <w:szCs w:val="22"/>
        </w:rPr>
        <w:t xml:space="preserve">Thiolysis: cleaves thioester bond, releases free carboxylic acid. Lactonization/cyclization: intramolecular esterification forming macrolactone rings of variable size. Both mechanisms are tested during simulation.</w:t>
      </w:r>
    </w:p>
    <w:p>
      <w:pPr>
        <w:pStyle w:val="ListParagraph"/>
        <w:numPr>
          <w:ilvl w:val="0"/>
          <w:numId w:val="8"/>
        </w:numPr>
        <w:spacing w:after="120" w:line="276"/>
      </w:pPr>
      <w:r>
        <w:rPr>
          <w:rFonts w:ascii="Arial" w:cs="Arial" w:eastAsia="Arial" w:hAnsi="Arial"/>
          <w:b/>
          <w:bCs/>
          <w:sz w:val="22"/>
          <w:szCs w:val="22"/>
        </w:rPr>
        <w:t xml:space="preserve">Bag-of-graphs construction and subgraph-guided pruning. </w:t>
      </w:r>
      <w:r>
        <w:rPr>
          <w:rFonts w:ascii="Arial" w:cs="Arial" w:eastAsia="Arial" w:hAnsi="Arial"/>
          <w:sz w:val="22"/>
          <w:szCs w:val="22"/>
        </w:rPr>
        <w:t xml:space="preserve">Detail how target molecule substructures are extracted at multiple radii to create a reference set. For lactone targets, ring-opening is performed to enable matching of ring-opened intermediates. Describe how subgraph isomorphism checks are used during selection to prune or prioritize branches.</w:t>
      </w:r>
    </w:p>
    <w:p>
      <w:pPr>
        <w:pStyle w:val="ListParagraph"/>
        <w:numPr>
          <w:ilvl w:val="0"/>
          <w:numId w:val="8"/>
        </w:numPr>
        <w:spacing w:after="120" w:line="276"/>
      </w:pPr>
      <w:r>
        <w:rPr>
          <w:rFonts w:ascii="Arial" w:cs="Arial" w:eastAsia="Arial" w:hAnsi="Arial"/>
          <w:b/>
          <w:bCs/>
          <w:sz w:val="22"/>
          <w:szCs w:val="22"/>
        </w:rPr>
        <w:t xml:space="preserve">Default PKS MCTS parameters. </w:t>
      </w:r>
      <w:r>
        <w:rPr>
          <w:rFonts w:ascii="Arial" w:cs="Arial" w:eastAsia="Arial" w:hAnsi="Arial"/>
          <w:sz w:val="22"/>
          <w:szCs w:val="22"/>
        </w:rPr>
        <w:t xml:space="preserve">Specify: total_iterations, max_depth, maxPKSDesignsRetroTide.</w:t>
      </w:r>
    </w:p>
    <w:p>
      <w:pPr>
        <w:spacing w:after="80"/>
      </w:pPr>
    </w:p>
    <w:p>
      <w:pPr>
        <w:pStyle w:val="Heading2"/>
        <w:spacing w:before="280" w:after="160"/>
      </w:pPr>
      <w:r>
        <w:rPr>
          <w:rFonts w:ascii="Arial" w:cs="Arial" w:eastAsia="Arial" w:hAnsi="Arial"/>
          <w:b/>
          <w:bCs/>
          <w:sz w:val="24"/>
          <w:szCs w:val="24"/>
        </w:rPr>
        <w:t xml:space="preserve">M3. Supervised GNN Classifier for Polyketide Detection</w:t>
      </w:r>
    </w:p>
    <w:p>
      <w:pPr>
        <w:spacing w:after="80"/>
      </w:pPr>
    </w:p>
    <w:p>
      <w:pPr>
        <w:pStyle w:val="ListParagraph"/>
        <w:numPr>
          <w:ilvl w:val="0"/>
          <w:numId w:val="9"/>
        </w:numPr>
        <w:spacing w:after="120" w:line="276"/>
      </w:pPr>
      <w:r>
        <w:rPr>
          <w:rFonts w:ascii="Arial" w:cs="Arial" w:eastAsia="Arial" w:hAnsi="Arial"/>
          <w:b/>
          <w:bCs/>
          <w:sz w:val="22"/>
          <w:szCs w:val="22"/>
        </w:rPr>
        <w:t xml:space="preserve">Training set generation details. </w:t>
      </w:r>
      <w:r>
        <w:rPr>
          <w:rFonts w:ascii="Arial" w:cs="Arial" w:eastAsia="Arial" w:hAnsi="Arial"/>
          <w:sz w:val="22"/>
          <w:szCs w:val="22"/>
        </w:rPr>
        <w:t xml:space="preserve">Exact counts of polyketide scaffolds generated. How MCS similarity was computed for selecting the most similar chemoenzymatically modified product per polyketide. Final dataset sizes (train/val split). Parquet data format.</w:t>
      </w:r>
    </w:p>
    <w:p>
      <w:pPr>
        <w:pStyle w:val="ListParagraph"/>
        <w:numPr>
          <w:ilvl w:val="0"/>
          <w:numId w:val="9"/>
        </w:numPr>
        <w:spacing w:after="120" w:line="276"/>
      </w:pPr>
      <w:r>
        <w:rPr>
          <w:rFonts w:ascii="Arial" w:cs="Arial" w:eastAsia="Arial" w:hAnsi="Arial"/>
          <w:b/>
          <w:bCs/>
          <w:sz w:val="22"/>
          <w:szCs w:val="22"/>
        </w:rPr>
        <w:t xml:space="preserve">Molecular graph featurization. </w:t>
      </w:r>
      <w:r>
        <w:rPr>
          <w:rFonts w:ascii="Arial" w:cs="Arial" w:eastAsia="Arial" w:hAnsi="Arial"/>
          <w:sz w:val="22"/>
          <w:szCs w:val="22"/>
        </w:rPr>
        <w:t xml:space="preserve">40-dimensional atom features: 13 (atomic number one-hot with unknown bucket) + 7 (degree) + 6 (formal charge) + 6 (H count) + 6 (hybridization) + 1 (aromaticity) + 1 (ring membership). 5-dimensional bond features: 4 (bond type one-hot) + 1 (self-loop indicator). Self-loops added for all atoms.</w:t>
      </w:r>
    </w:p>
    <w:p>
      <w:pPr>
        <w:pStyle w:val="ListParagraph"/>
        <w:numPr>
          <w:ilvl w:val="0"/>
          <w:numId w:val="9"/>
        </w:numPr>
        <w:spacing w:after="120" w:line="276"/>
      </w:pPr>
      <w:r>
        <w:rPr>
          <w:rFonts w:ascii="Arial" w:cs="Arial" w:eastAsia="Arial" w:hAnsi="Arial"/>
          <w:b/>
          <w:bCs/>
          <w:sz w:val="22"/>
          <w:szCs w:val="22"/>
        </w:rPr>
        <w:t xml:space="preserve">Model architecture details. </w:t>
      </w:r>
      <w:r>
        <w:rPr>
          <w:rFonts w:ascii="Arial" w:cs="Arial" w:eastAsia="Arial" w:hAnsi="Arial"/>
          <w:sz w:val="22"/>
          <w:szCs w:val="22"/>
        </w:rPr>
        <w:t xml:space="preserve">Input projection: 40 → 256. Three GraphAttentionLayer modules, each with 4 attention heads. Each layer: multi-head attention with edge feature projection → LayerNorm → ELU → dropout (p=0.1) → residual connection. Mean pooling over nodes. Classification head: 256 → 128 (ReLU) → 1 (sigmoid). Report total parameter count.</w:t>
      </w:r>
    </w:p>
    <w:p>
      <w:pPr>
        <w:pStyle w:val="ListParagraph"/>
        <w:numPr>
          <w:ilvl w:val="0"/>
          <w:numId w:val="9"/>
        </w:numPr>
        <w:spacing w:after="120" w:line="276"/>
      </w:pPr>
      <w:r>
        <w:rPr>
          <w:rFonts w:ascii="Arial" w:cs="Arial" w:eastAsia="Arial" w:hAnsi="Arial"/>
          <w:b/>
          <w:bCs/>
          <w:sz w:val="22"/>
          <w:szCs w:val="22"/>
        </w:rPr>
        <w:t xml:space="preserve">Training procedure. </w:t>
      </w:r>
      <w:r>
        <w:rPr>
          <w:rFonts w:ascii="Arial" w:cs="Arial" w:eastAsia="Arial" w:hAnsi="Arial"/>
          <w:sz w:val="22"/>
          <w:szCs w:val="22"/>
        </w:rPr>
        <w:t xml:space="preserve">Loss: BCEWithLogitsLoss with pos_weight = 2.0. Optimizer: AdamW (lr = 3×10⁻⁴, weight decay = 1×10⁻⁴). Gradient clipping at norm 1.0. Optional cosine annealing with linear warmup (5% of epochs). Batch size per GPU: 64. Distributed training via DistributedDataParallel. Evaluation metric: area under precision-recall curve (AUPRC). Best model selected by validation loss.</w:t>
      </w:r>
    </w:p>
    <w:p>
      <w:pPr>
        <w:pStyle w:val="ListParagraph"/>
        <w:numPr>
          <w:ilvl w:val="0"/>
          <w:numId w:val="9"/>
        </w:numPr>
        <w:spacing w:after="120" w:line="276"/>
      </w:pPr>
      <w:r>
        <w:rPr>
          <w:rFonts w:ascii="Arial" w:cs="Arial" w:eastAsia="Arial" w:hAnsi="Arial"/>
          <w:b/>
          <w:bCs/>
          <w:sz w:val="22"/>
          <w:szCs w:val="22"/>
        </w:rPr>
        <w:t xml:space="preserve">Validation against database lookup. </w:t>
      </w:r>
      <w:r>
        <w:rPr>
          <w:rFonts w:ascii="Arial" w:cs="Arial" w:eastAsia="Arial" w:hAnsi="Arial"/>
          <w:sz w:val="22"/>
          <w:szCs w:val="22"/>
        </w:rPr>
        <w:t xml:space="preserve">Describe how the GNN’s predictions were validated against the existing PKS building block database to confirm that all database-confirmed polyketides are correctly classified by the model.</w:t>
      </w:r>
    </w:p>
    <w:p>
      <w:pPr>
        <w:spacing w:after="80"/>
      </w:pPr>
    </w:p>
    <w:p>
      <w:pPr>
        <w:pStyle w:val="Heading2"/>
        <w:spacing w:before="280" w:after="160"/>
      </w:pPr>
      <w:r>
        <w:rPr>
          <w:rFonts w:ascii="Arial" w:cs="Arial" w:eastAsia="Arial" w:hAnsi="Arial"/>
          <w:b/>
          <w:bCs/>
          <w:sz w:val="24"/>
          <w:szCs w:val="24"/>
        </w:rPr>
        <w:t xml:space="preserve">M4. Reaction Feasibility Scoring</w:t>
      </w:r>
    </w:p>
    <w:p>
      <w:pPr>
        <w:spacing w:after="80"/>
      </w:pPr>
    </w:p>
    <w:p>
      <w:pPr>
        <w:pStyle w:val="ListParagraph"/>
        <w:numPr>
          <w:ilvl w:val="0"/>
          <w:numId w:val="10"/>
        </w:numPr>
        <w:spacing w:after="120" w:line="276"/>
      </w:pPr>
      <w:r>
        <w:rPr>
          <w:rFonts w:ascii="Arial" w:cs="Arial" w:eastAsia="Arial" w:hAnsi="Arial"/>
          <w:b/>
          <w:bCs/>
          <w:sz w:val="22"/>
          <w:szCs w:val="22"/>
        </w:rPr>
        <w:t xml:space="preserve">DORA-XGB for enzymatic reactions. </w:t>
      </w:r>
      <w:r>
        <w:rPr>
          <w:rFonts w:ascii="Arial" w:cs="Arial" w:eastAsia="Arial" w:hAnsi="Arial"/>
          <w:sz w:val="22"/>
          <w:szCs w:val="22"/>
        </w:rPr>
        <w:t xml:space="preserve">Describe DORA-XGB as a previously published gradient-boosted tree classifier (cite prior publication). Predicts probability of enzymatic reaction feasibility on a 0–1 scale. Applied to all enzymatic reactions in the retrosynthetic tree. Binary label: feasible (≥0.5) / infeasible (&lt;0.5). Note that DORA-XGB operates on the forward reaction (retro-reaction is reversed before scoring).</w:t>
      </w:r>
    </w:p>
    <w:p>
      <w:pPr>
        <w:pStyle w:val="ListParagraph"/>
        <w:numPr>
          <w:ilvl w:val="0"/>
          <w:numId w:val="10"/>
        </w:numPr>
        <w:spacing w:after="120" w:line="276"/>
      </w:pPr>
      <w:r>
        <w:rPr>
          <w:rFonts w:ascii="Arial" w:cs="Arial" w:eastAsia="Arial" w:hAnsi="Arial"/>
          <w:b/>
          <w:bCs/>
          <w:sz w:val="22"/>
          <w:szCs w:val="22"/>
        </w:rPr>
        <w:t xml:space="preserve">Thermodynamic scoring via pathermo. </w:t>
      </w:r>
      <w:r>
        <w:rPr>
          <w:rFonts w:ascii="Arial" w:cs="Arial" w:eastAsia="Arial" w:hAnsi="Arial"/>
          <w:sz w:val="22"/>
          <w:szCs w:val="22"/>
        </w:rPr>
        <w:t xml:space="preserve">Describe pathermo as a Benson group additivity method for estimating enthalpies of formation. Enthalpy of reaction (ΔH) computed for forward reactions. Feasibility threshold: ΔH &lt; 15 kcal/mol. Sigmoid transformation to convert ΔH to a 0–1 score: 1/(1 + exp(0.2 × (ΔH − 15))). Applied to all synthetic reactions.</w:t>
      </w:r>
    </w:p>
    <w:p>
      <w:pPr>
        <w:pStyle w:val="ListParagraph"/>
        <w:numPr>
          <w:ilvl w:val="0"/>
          <w:numId w:val="10"/>
        </w:numPr>
        <w:spacing w:after="120" w:line="276"/>
      </w:pPr>
      <w:r>
        <w:rPr>
          <w:rFonts w:ascii="Arial" w:cs="Arial" w:eastAsia="Arial" w:hAnsi="Arial"/>
          <w:b/>
          <w:bCs/>
          <w:sz w:val="22"/>
          <w:szCs w:val="22"/>
        </w:rPr>
        <w:t xml:space="preserve">Thermodynamic reward scaling. </w:t>
      </w:r>
      <w:r>
        <w:rPr>
          <w:rFonts w:ascii="Arial" w:cs="Arial" w:eastAsia="Arial" w:hAnsi="Arial"/>
          <w:sz w:val="22"/>
          <w:szCs w:val="22"/>
        </w:rPr>
        <w:t xml:space="preserve">Describe the ThermodynamicScaledRewardPolicy wrapper: pathway feasibility is aggregated via geometric mean of per-step feasibility scores (normalizing for path length). Final reward = base_reward × ((1 − w) + w × pathway_feasibility), where w = 0.8 by default. This soft scaling downweights thermodynamically unfavorable pathways without completely zeroing their rewards.</w:t>
      </w:r>
    </w:p>
    <w:p>
      <w:pPr>
        <w:spacing w:after="80"/>
      </w:pPr>
    </w:p>
    <w:p>
      <w:r>
        <w:br w:type="page"/>
      </w:r>
    </w:p>
    <w:p>
      <w:pPr>
        <w:pStyle w:val="Heading1"/>
        <w:spacing w:before="360" w:after="200"/>
      </w:pPr>
      <w:r>
        <w:rPr>
          <w:rFonts w:ascii="Arial" w:cs="Arial" w:eastAsia="Arial" w:hAnsi="Arial"/>
          <w:b/>
          <w:bCs/>
          <w:sz w:val="28"/>
          <w:szCs w:val="28"/>
        </w:rPr>
        <w:t xml:space="preserve">Conclusion</w:t>
      </w:r>
    </w:p>
    <w:p>
      <w:pPr>
        <w:spacing w:after="120" w:line="276"/>
      </w:pPr>
      <w:r>
        <w:rPr>
          <w:rFonts w:ascii="Arial" w:cs="Arial" w:eastAsia="Arial" w:hAnsi="Arial"/>
          <w:i/>
          <w:iCs/>
          <w:color w:val="666666"/>
          <w:sz w:val="20"/>
          <w:szCs w:val="20"/>
        </w:rPr>
        <w:t xml:space="preserve">Authoring note: ~2 paragraphs. Summarize contributions and look forward.</w:t>
      </w:r>
    </w:p>
    <w:p>
      <w:pPr>
        <w:spacing w:after="80"/>
      </w:pPr>
    </w:p>
    <w:p>
      <w:pPr>
        <w:pStyle w:val="Heading3"/>
        <w:spacing w:before="200" w:after="120"/>
      </w:pPr>
      <w:r>
        <w:rPr>
          <w:rFonts w:ascii="Arial" w:cs="Arial" w:eastAsia="Arial" w:hAnsi="Arial"/>
          <w:b/>
          <w:bCs/>
          <w:sz w:val="22"/>
          <w:szCs w:val="22"/>
        </w:rPr>
        <w:t xml:space="preserve">Paragraph 1: Summary of contributions</w:t>
      </w:r>
    </w:p>
    <w:p>
      <w:pPr>
        <w:spacing w:after="160" w:line="276"/>
      </w:pPr>
      <w:r>
        <w:rPr>
          <w:rFonts w:ascii="Arial" w:cs="Arial" w:eastAsia="Arial" w:hAnsi="Arial"/>
          <w:sz w:val="22"/>
          <w:szCs w:val="22"/>
        </w:rPr>
        <w:t xml:space="preserve">Restate what TridentSynthRL achieves: the first retrosynthetic planning framework to unify synthetic chemistry, monofunctional enzymes, and type I PKS biosynthesis within a single hierarchical MCTS search. Summarize the key methodological contributions: the two-agent hierarchy, the GNN polyketide classifier, and the thermodynamic feasibility scoring. Summarize the key results: successful pathway design for all 15 kavalactones (each with at least one PKS-involving route) and a more efficient 2-module pathway to cryptofolione compared to a prior 5-module design.</w:t>
      </w:r>
    </w:p>
    <w:p>
      <w:pPr>
        <w:spacing w:after="80"/>
      </w:pPr>
    </w:p>
    <w:p>
      <w:pPr>
        <w:pStyle w:val="Heading3"/>
        <w:spacing w:before="200" w:after="120"/>
      </w:pPr>
      <w:r>
        <w:rPr>
          <w:rFonts w:ascii="Arial" w:cs="Arial" w:eastAsia="Arial" w:hAnsi="Arial"/>
          <w:b/>
          <w:bCs/>
          <w:sz w:val="22"/>
          <w:szCs w:val="22"/>
        </w:rPr>
        <w:t xml:space="preserve">Paragraph 2: Future directions</w:t>
      </w:r>
    </w:p>
    <w:p>
      <w:pPr>
        <w:spacing w:after="160" w:line="276"/>
      </w:pPr>
      <w:r>
        <w:rPr>
          <w:rFonts w:ascii="Arial" w:cs="Arial" w:eastAsia="Arial" w:hAnsi="Arial"/>
          <w:sz w:val="22"/>
          <w:szCs w:val="22"/>
        </w:rPr>
        <w:t xml:space="preserve">Potential extensions: (a) expanding the reaction template library to include additional enzyme classes; (b) incorporating learned value functions (e.g., neural network-based node evaluation) to replace or augment UCB1 selection; (c) integrating reaction condition compatibility checking to ensure sequential steps use compatible solvents, temperatures, and catalysts; (d) extending to other natural product families beyond kavalactones and cryptofolione; (e) experimental validation of proposed pathways; (f) scaling to longer PKS assembly lines and exploring iterative deepening for deeper retrosynthetic trees.</w:t>
      </w:r>
    </w:p>
    <w:p>
      <w:pPr>
        <w:spacing w:after="80"/>
      </w:pPr>
    </w:p>
    <w:p>
      <w:r>
        <w:br w:type="page"/>
      </w:r>
    </w:p>
    <w:p>
      <w:pPr>
        <w:pStyle w:val="Heading1"/>
        <w:spacing w:before="360" w:after="200"/>
      </w:pPr>
      <w:r>
        <w:rPr>
          <w:rFonts w:ascii="Arial" w:cs="Arial" w:eastAsia="Arial" w:hAnsi="Arial"/>
          <w:b/>
          <w:bCs/>
          <w:sz w:val="28"/>
          <w:szCs w:val="28"/>
        </w:rPr>
        <w:t xml:space="preserve">Associated Content</w:t>
      </w:r>
    </w:p>
    <w:p>
      <w:pPr>
        <w:pStyle w:val="Heading2"/>
        <w:spacing w:before="280" w:after="160"/>
      </w:pPr>
      <w:r>
        <w:rPr>
          <w:rFonts w:ascii="Arial" w:cs="Arial" w:eastAsia="Arial" w:hAnsi="Arial"/>
          <w:b/>
          <w:bCs/>
          <w:sz w:val="24"/>
          <w:szCs w:val="24"/>
        </w:rPr>
        <w:t xml:space="preserve">Supporting Information</w:t>
      </w:r>
    </w:p>
    <w:p>
      <w:pPr>
        <w:spacing w:after="160" w:line="276"/>
      </w:pPr>
      <w:r>
        <w:rPr>
          <w:rFonts w:ascii="Arial" w:cs="Arial" w:eastAsia="Arial" w:hAnsi="Arial"/>
          <w:sz w:val="22"/>
          <w:szCs w:val="22"/>
        </w:rPr>
        <w:t xml:space="preserve">The Supporting Information is available free of charge on the ACS Publications website.</w:t>
      </w:r>
    </w:p>
    <w:p>
      <w:pPr>
        <w:spacing w:after="80"/>
      </w:pPr>
    </w:p>
    <w:p>
      <w:pPr>
        <w:pStyle w:val="ListParagraph"/>
        <w:numPr>
          <w:ilvl w:val="0"/>
          <w:numId w:val="11"/>
        </w:numPr>
        <w:spacing w:after="120" w:line="276"/>
      </w:pPr>
      <w:r>
        <w:rPr>
          <w:rFonts w:ascii="Arial" w:cs="Arial" w:eastAsia="Arial" w:hAnsi="Arial"/>
          <w:sz w:val="22"/>
          <w:szCs w:val="22"/>
        </w:rPr>
        <w:t xml:space="preserve">Complete retrosynthetic pathway designs for all 15 kavalactone family members, including PKS module specifications, reaction conditions, building block identities, DORA-XGB feasibility scores, and thermodynamic data (PDF)</w:t>
      </w:r>
    </w:p>
    <w:p>
      <w:pPr>
        <w:pStyle w:val="ListParagraph"/>
        <w:numPr>
          <w:ilvl w:val="0"/>
          <w:numId w:val="11"/>
        </w:numPr>
        <w:spacing w:after="120" w:line="276"/>
      </w:pPr>
      <w:r>
        <w:rPr>
          <w:rFonts w:ascii="Arial" w:cs="Arial" w:eastAsia="Arial" w:hAnsi="Arial"/>
          <w:sz w:val="22"/>
          <w:szCs w:val="22"/>
        </w:rPr>
        <w:t xml:space="preserve">GNN classifier training curves, AUPRC performance metrics, and validation against the PKS building block database (PDF)</w:t>
      </w:r>
    </w:p>
    <w:p>
      <w:pPr>
        <w:pStyle w:val="ListParagraph"/>
        <w:numPr>
          <w:ilvl w:val="0"/>
          <w:numId w:val="11"/>
        </w:numPr>
        <w:spacing w:after="120" w:line="276"/>
      </w:pPr>
      <w:r>
        <w:rPr>
          <w:rFonts w:ascii="Arial" w:cs="Arial" w:eastAsia="Arial" w:hAnsi="Arial"/>
          <w:sz w:val="22"/>
          <w:szCs w:val="22"/>
        </w:rPr>
        <w:t xml:space="preserve">MCTS convergence analysis: pathway discovery rate vs. iteration count for representative targets (PDF)</w:t>
      </w:r>
    </w:p>
    <w:p>
      <w:pPr>
        <w:spacing w:after="80"/>
      </w:pPr>
    </w:p>
    <w:p>
      <w:r>
        <w:br w:type="page"/>
      </w:r>
    </w:p>
    <w:p>
      <w:pPr>
        <w:pStyle w:val="Heading1"/>
        <w:spacing w:before="360" w:after="200"/>
      </w:pPr>
      <w:r>
        <w:rPr>
          <w:rFonts w:ascii="Arial" w:cs="Arial" w:eastAsia="Arial" w:hAnsi="Arial"/>
          <w:b/>
          <w:bCs/>
          <w:sz w:val="28"/>
          <w:szCs w:val="28"/>
        </w:rPr>
        <w:t xml:space="preserve">Figure Placement Guide</w:t>
      </w:r>
    </w:p>
    <w:p>
      <w:pPr>
        <w:spacing w:after="120" w:line="276"/>
      </w:pPr>
      <w:r>
        <w:rPr>
          <w:rFonts w:ascii="Arial" w:cs="Arial" w:eastAsia="Arial" w:hAnsi="Arial"/>
          <w:i/>
          <w:iCs/>
          <w:color w:val="666666"/>
          <w:sz w:val="20"/>
          <w:szCs w:val="20"/>
        </w:rPr>
        <w:t xml:space="preserve">Reference for where each figure is first cited in the 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Figure</w:t>
            </w:r>
          </w:p>
        </w:tc>
        <w:tc>
          <w:tcPr>
            <w:tcW w:type="dxa" w:w="1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67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Content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Introduction (¶2)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Three complementary synthesis modalities (synthetic chemistry, monofunctional enzymes, multifunctional PKSs)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MCTS overview: Selection → Chemoenzymatic Expansion → Update with PKS agent spawning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Two-step PKS library generation pipeline for GNN training data (RetroTide enumeration + DORAnet modification)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Supervised GNN architecture for polyketide synthesizability classification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Kavalactone family: 15 compounds from Piper methysticum with core α-pyrone scaffold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Pathway to 7,8-dihydrokavain: 3-module PKS + dehydration + O-methylation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Pathway to desmethoxyyangonin: 1-module PKS + electrophilic alkylation + enzymatic modifications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Purely chemical pathway to 5,6,7,8-tetrahydroyangonin (Suzuki coupling route)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Fig. 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Shorter pathway to cryptofolione: 2-module PKS + ring-opening metathesis (vs. prior 5-module design)</w:t>
            </w:r>
          </w:p>
        </w:tc>
      </w:tr>
    </w:tbl>
    <w:p>
      <w:pPr>
        <w:spacing w:after="8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TridentSynthRL — Manuscript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2026-02-17T19:32:31.137Z</dcterms:created>
  <dcterms:modified xsi:type="dcterms:W3CDTF">2026-02-17T19:32:31.137Z</dcterms:modified>
</cp:coreProperties>
</file>

<file path=docProps/custom.xml><?xml version="1.0" encoding="utf-8"?>
<Properties xmlns="http://schemas.openxmlformats.org/officeDocument/2006/custom-properties" xmlns:vt="http://schemas.openxmlformats.org/officeDocument/2006/docPropsVTypes"/>
</file>