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 be filled by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Healthcare Risk Analysis Dashboard using Tableau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.5078232226188"/>
        <w:gridCol w:w="2015.5503705737033"/>
        <w:gridCol w:w="3357.970903101839"/>
        <w:gridCol w:w="3357.970903101839"/>
        <w:tblGridChange w:id="0">
          <w:tblGrid>
            <w:gridCol w:w="592.5078232226188"/>
            <w:gridCol w:w="2015.5503705737033"/>
            <w:gridCol w:w="3357.970903101839"/>
            <w:gridCol w:w="3357.970903101839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Data Access &amp; Integration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Connect to the supplied smart_healthcare_dataset (1).csv containing age, gender, BMI, exercise_level, smoking, alcohol, blood_pressure, cholesterol, glucose, fatigue, chest_pain, dizziness, heart_disease, diabetes, stroke and health_risk_score.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Data Processing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Check 5,000 rows and 16 fields; set numeric and categorical data types correctly; inspect missing/duplicate values; verify binary disease/symptom fields; create age bands if needed; validate the constant health_risk_score field.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rPr>
          <w:cantSplit w:val="0"/>
          <w:trHeight w:val="760.6640625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Business Analysis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Calculate total records and counts/percentages for heart_disease, diabetes and stroke; compare outcomes by age band and gender; summarize BMI, blood pressure, cholesterol and glucose; compare lifestyle and symptom categories without implying causation.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Business Insights &amp; Analytical Outputs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Provide KPI cards, disease-by-age/gender charts, clinical-indicator distributions, lifestyle comparisons and symptom breakdowns with clear titles, units, legends and tooltips.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User Interaction &amp; Analysis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Allow filters for gender, age/age band, smoking, alcohol, exercise level and disease status where appropriate; enable tooltips and highlight selections for comparison.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Data Update &amp; Reporting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For the current static CSV, refresh the Tableau data source when a revised file is supplied; show the last refresh date in the dashboard and export views to PDF/image when required.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NFR-1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Usability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Use readable titles, consistent colors, clear legends, meaningful tooltips and a logical dashboard layout. Avoid overcrowding and label counts/percentages clearly.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NFR-2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Security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Use only approved, anonymized data. Do not publish identifiable or sensitive records publicly; follow course and organizational data-sharing rules.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NFR-3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Reliability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Check source row counts, field types, binary values and aggregation logic. Validate all KPI calculations against the source CSV.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NFR-4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Performance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Keep charts focused, avoid unnecessary high-cardinality dimensions and use filters carefully so dashboard interactions remain responsive.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NFR-5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Availability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Dashboard is available in the Tableau workbook; if published, access depends on Tableau Public/Server availability and publication settings.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NFR-6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Scalability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Design worksheets and calculations so the source can later be moved to a database or larger data warehouse if row counts grow.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>
      <w:pPr>
        <w:spacing w:before="120" w:after="60"/>
      </w:pPr>
      <w:r>
        <w:rPr>
          <w:rFonts w:ascii="Arial" w:hAnsi="Arial"/>
          <w:b/>
          <w:color w:val="1F4E79"/>
          <w:sz w:val="24"/>
        </w:rPr>
        <w:t>Completed Solution Requirements — Healthcare Tableau Dashboard</w:t>
      </w:r>
    </w:p>
    <w:p>
      <w:r>
        <w:t>The proposed solution is a descriptive dashboard for exploring recorded disease indicators and their relationships with demographic, lifestyle, symptom and clinical fields. It is not a diagnostic tool.</w:t>
      </w:r>
    </w:p>
    <w:p>
      <w:r>
        <w:t>Current source size: 5,000 rows. Positive labels in the dataset: heart_disease=1,499, diabetes=1,746, stroke=1,243.</w:t>
      </w:r>
    </w:p>
    <w:p>
      <w:r>
        <w:t>Important limitation: health_risk_score is constant at 100.0 in the supplied file. Treat it as a data-quality issue until the source definition is confirmed.</w:t>
      </w:r>
    </w:p>
    <w:sectPr>
      <w:headerReference r:id="rId7" w:type="default"/>
      <w:pgSz w:h="16838" w:w="11906" w:orient="portrait"/>
      <w:pgMar w:bottom="792" w:top="792" w:left="792" w:right="79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18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Arial" w:hAnsi="Arial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Arial" w:hAnsi="Arial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Arial" w:hAnsi="Arial"/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UUeL6gfR5/Qz0TjJIy8Jp2E9g==">CgMxLjA4AHIhMVlsN2l3RGk0cGpKNnI4VkhQaFBDTTI0OWcxT2pzMVRf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