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Project Initialization and Planning Phase</w:t>
      </w:r>
      <w:r w:rsidDel="00000000" w:rsidR="00000000" w:rsidRPr="00000000">
        <w:rPr>
          <w:rtl w:val="0"/>
        </w:rPr>
      </w:r>
    </w:p>
    <w:p w:rsidR="00000000" w:rsidDel="00000000" w:rsidP="00000000" w:rsidRDefault="00000000" w:rsidRPr="00000000" w14:paraId="00000002">
      <w:pPr>
        <w:widowControl w:val="1"/>
        <w:spacing w:after="160" w:line="12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pPr>
              <w:spacing w:after="40"/>
            </w:pPr>
            <w:r/>
            <w:r>
              <w:rPr>
                <w:rFonts w:ascii="Arial" w:hAnsi="Arial"/>
                <w:b w:val="0"/>
                <w:sz w:val="18"/>
              </w:rPr>
              <w:t>28 October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shd w:fill="auto" w:val="clear"/>
            <w:tcMar>
              <w:top w:w="100.0" w:type="dxa"/>
              <w:left w:w="100.0" w:type="dxa"/>
              <w:bottom w:w="100.0" w:type="dxa"/>
              <w:right w:w="100.0" w:type="dxa"/>
            </w:tcMar>
            <w:vAlign w:val="top"/>
          </w:tcPr>
          <w:p>
            <w:pPr>
              <w:spacing w:after="40"/>
            </w:pPr>
            <w:r/>
            <w:r>
              <w:rPr>
                <w:rFonts w:ascii="Arial" w:hAnsi="Arial"/>
                <w:b w:val="0"/>
                <w:sz w:val="18"/>
              </w:rPr>
              <w:t>To be filled by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shd w:fill="auto" w:val="clear"/>
            <w:tcMar>
              <w:top w:w="100.0" w:type="dxa"/>
              <w:left w:w="100.0" w:type="dxa"/>
              <w:bottom w:w="100.0" w:type="dxa"/>
              <w:right w:w="100.0" w:type="dxa"/>
            </w:tcMar>
            <w:vAlign w:val="top"/>
          </w:tcPr>
          <w:p>
            <w:pPr>
              <w:spacing w:after="40"/>
            </w:pPr>
            <w:r/>
            <w:r>
              <w:rPr>
                <w:rFonts w:ascii="Arial" w:hAnsi="Arial"/>
                <w:b w:val="0"/>
                <w:sz w:val="18"/>
              </w:rPr>
              <w:t>Healthcare Risk Analysis Dashboard using Tableau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Marks</w:t>
            </w:r>
          </w:p>
        </w:tc>
      </w:tr>
    </w:tbl>
    <w:p w:rsidR="00000000" w:rsidDel="00000000" w:rsidP="00000000" w:rsidRDefault="00000000" w:rsidRPr="00000000" w14:paraId="0000000B">
      <w:pPr>
        <w:widowControl w:val="1"/>
        <w:spacing w:after="160" w:lin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Proposal (Proposed Solution) template</w:t>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945"/>
        <w:tblGridChange w:id="0">
          <w:tblGrid>
            <w:gridCol w:w="2415"/>
            <w:gridCol w:w="6945"/>
          </w:tblGrid>
        </w:tblGridChange>
      </w:tblGrid>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Overview</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shd w:fill="auto" w:val="clear"/>
            <w:tcMar>
              <w:top w:w="100.0" w:type="dxa"/>
              <w:left w:w="100.0" w:type="dxa"/>
              <w:bottom w:w="100.0" w:type="dxa"/>
              <w:right w:w="100.0" w:type="dxa"/>
            </w:tcMar>
            <w:vAlign w:val="top"/>
          </w:tcPr>
          <w:p>
            <w:pPr>
              <w:spacing w:after="40"/>
            </w:pPr>
            <w:r/>
            <w:r>
              <w:rPr>
                <w:rFonts w:ascii="Arial" w:hAnsi="Arial"/>
                <w:b w:val="0"/>
                <w:sz w:val="16"/>
              </w:rPr>
              <w:t>Create an interactive Tableau dashboard that summarizes the supplied healthcare dataset and helps users explore recorded disease labels alongside demographic, clinical, lifestyle and symptom fields.</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w:t>
            </w:r>
          </w:p>
        </w:tc>
        <w:tc>
          <w:tcPr>
            <w:shd w:fill="auto" w:val="clear"/>
            <w:tcMar>
              <w:top w:w="100.0" w:type="dxa"/>
              <w:left w:w="100.0" w:type="dxa"/>
              <w:bottom w:w="100.0" w:type="dxa"/>
              <w:right w:w="100.0" w:type="dxa"/>
            </w:tcMar>
            <w:vAlign w:val="top"/>
          </w:tcPr>
          <w:p>
            <w:pPr>
              <w:spacing w:after="40"/>
            </w:pPr>
            <w:r/>
            <w:r>
              <w:rPr>
                <w:rFonts w:ascii="Arial" w:hAnsi="Arial"/>
                <w:b w:val="0"/>
                <w:sz w:val="16"/>
              </w:rPr>
              <w:t>Includes data validation, descriptive analysis, Tableau worksheets, KPI cards, filters and a combined dashboard. Excludes clinical diagnosis, treatment recommendations, causal claims and patient-level risk prediction.</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pPr>
              <w:spacing w:after="40"/>
            </w:pPr>
            <w:r/>
            <w:r>
              <w:rPr>
                <w:rFonts w:ascii="Arial" w:hAnsi="Arial"/>
                <w:b w:val="0"/>
                <w:sz w:val="16"/>
              </w:rPr>
              <w:t>The healthcare CSV contains multiple health indicators, symptoms and disease labels. Reviewing these fields in separate tables or charts can make comparisons across age, gender and lifestyle categories harder.</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w:t>
            </w:r>
          </w:p>
        </w:tc>
        <w:tc>
          <w:tcPr>
            <w:shd w:fill="auto" w:val="clear"/>
            <w:tcMar>
              <w:top w:w="100.0" w:type="dxa"/>
              <w:left w:w="100.0" w:type="dxa"/>
              <w:bottom w:w="100.0" w:type="dxa"/>
              <w:right w:w="100.0" w:type="dxa"/>
            </w:tcMar>
            <w:vAlign w:val="top"/>
          </w:tcPr>
          <w:p>
            <w:pPr>
              <w:spacing w:after="40"/>
            </w:pPr>
            <w:r/>
            <w:r>
              <w:rPr>
                <w:rFonts w:ascii="Arial" w:hAnsi="Arial"/>
                <w:b w:val="0"/>
                <w:sz w:val="16"/>
              </w:rPr>
              <w:t>A consolidated dashboard can make the dataset easier to explore, reveal descriptive patterns for further investigation, and support clearer project reporting. Findings depend on data quality and should not be interpreted as medical conclusions.</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Solution</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w:t>
            </w:r>
          </w:p>
        </w:tc>
        <w:tc>
          <w:tcPr>
            <w:shd w:fill="auto" w:val="clear"/>
            <w:tcMar>
              <w:top w:w="100.0" w:type="dxa"/>
              <w:left w:w="100.0" w:type="dxa"/>
              <w:bottom w:w="100.0" w:type="dxa"/>
              <w:right w:w="100.0" w:type="dxa"/>
            </w:tcMar>
            <w:vAlign w:val="top"/>
          </w:tcPr>
          <w:p>
            <w:pPr>
              <w:spacing w:after="40"/>
            </w:pPr>
            <w:r/>
            <w:r>
              <w:rPr>
                <w:rFonts w:ascii="Arial" w:hAnsi="Arial"/>
                <w:b w:val="0"/>
                <w:sz w:val="16"/>
              </w:rPr>
              <w:t>Connect Tableau to the supplied CSV; validate row/field types and disease-label values; create consistent counts and percentages; build KPI and comparison worksheets; add interactive filters; verify dashboard values against the source file.</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w:t>
            </w:r>
          </w:p>
        </w:tc>
        <w:tc>
          <w:tcPr>
            <w:shd w:fill="auto" w:val="clear"/>
            <w:tcMar>
              <w:top w:w="100.0" w:type="dxa"/>
              <w:left w:w="100.0" w:type="dxa"/>
              <w:bottom w:w="100.0" w:type="dxa"/>
              <w:right w:w="100.0" w:type="dxa"/>
            </w:tcMar>
            <w:vAlign w:val="top"/>
          </w:tcPr>
          <w:p>
            <w:pPr>
              <w:spacing w:after="40"/>
            </w:pPr>
            <w:r/>
            <w:r>
              <w:rPr>
                <w:rFonts w:ascii="Arial" w:hAnsi="Arial"/>
                <w:b w:val="0"/>
                <w:sz w:val="16"/>
              </w:rPr>
              <w:t>Total record KPI; heart disease, diabetes and stroke counts; age and gender comparisons; BMI, blood pressure, cholesterol and glucose views; lifestyle and symptom comparisons; filters and tooltips; data-quality notes.</w:t>
            </w:r>
          </w:p>
        </w:tc>
      </w:tr>
    </w:tbl>
    <w:p w:rsidR="00000000" w:rsidDel="00000000" w:rsidP="00000000" w:rsidRDefault="00000000" w:rsidRPr="00000000" w14:paraId="00000020">
      <w:pPr>
        <w:widowControl w:val="1"/>
        <w:spacing w:after="160" w:lin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Requirements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Type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Specification/Allocation</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rFonts w:ascii="Arial" w:hAnsi="Arial"/>
                <w:b w:val="0"/>
                <w:sz w:val="16"/>
              </w:rPr>
              <w:t>Laptop/desktop computer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Computing 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rFonts w:ascii="Arial" w:hAnsi="Arial"/>
                <w:b w:val="0"/>
                <w:sz w:val="16"/>
              </w:rPr>
              <w:t>Computing 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rFonts w:ascii="Arial" w:hAnsi="Arial"/>
                <w:b w:val="0"/>
                <w:sz w:val="14"/>
              </w:rPr>
              <w:t>Personal laptop/desktop capable of running Tableau Public/Desktop; no GPU required for this descriptive dashboard.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rFonts w:ascii="Arial" w:hAnsi="Arial"/>
                <w:b w:val="0"/>
                <w:sz w:val="16"/>
              </w:rPr>
              <w:t>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rFonts w:ascii="Arial" w:hAnsi="Arial"/>
                <w:b w:val="0"/>
                <w:sz w:val="14"/>
              </w:rPr>
              <w:t>Use the available system RAM; 8 GB or more is a practical target for smoother Tableau work, not a strict project requirement.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rFonts w:ascii="Arial" w:hAnsi="Arial"/>
                <w:b w:val="0"/>
                <w:sz w:val="16"/>
              </w:rPr>
              <w:t>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rFonts w:ascii="Arial" w:hAnsi="Arial"/>
                <w:b w:val="0"/>
                <w:sz w:val="14"/>
              </w:rPr>
              <w:t>Keep the source CSV and Tableau workbook in a project folder; allow space for exports and backup copies.</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rFonts w:ascii="Arial" w:hAnsi="Arial"/>
                <w:b w:val="0"/>
                <w:sz w:val="16"/>
              </w:rPr>
              <w:t>Tableau Public/Desktop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rFonts w:ascii="Arial" w:hAnsi="Arial"/>
                <w:b w:val="0"/>
                <w:sz w:val="16"/>
              </w:rPr>
              <w:t>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rFonts w:ascii="Arial" w:hAnsi="Arial"/>
                <w:b w:val="0"/>
                <w:sz w:val="14"/>
              </w:rPr>
              <w:t>Tableau Public or Tableau Desktop for data connection, calculations, worksheets and dashboards.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rFonts w:ascii="Arial" w:hAnsi="Arial"/>
                <w:b w:val="0"/>
                <w:sz w:val="16"/>
              </w:rPr>
              <w:t>Libraries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rFonts w:ascii="Arial" w:hAnsi="Arial"/>
                <w:b w:val="0"/>
                <w:sz w:val="14"/>
              </w:rPr>
              <w:t>No additional libraries required for the Tableau-only workflow. Optional Python/pandas may be used for data-quality checks.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rFonts w:ascii="Arial" w:hAnsi="Arial"/>
                <w:b w:val="0"/>
                <w:sz w:val="16"/>
              </w:rPr>
              <w:t>Development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rFonts w:ascii="Arial" w:hAnsi="Arial"/>
                <w:b w:val="0"/>
                <w:sz w:val="14"/>
              </w:rPr>
              <w:t>Tableau Public/Desktop; CSV editor or spreadsheet software for inspecting the source; versioned backup copies of workbook and documents.</w:t>
            </w:r>
          </w:p>
        </w:tc>
      </w:tr>
      <w:tr>
        <w:trPr>
          <w:cantSplit w:val="0"/>
          <w:trHeight w:val="44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rFonts w:ascii="Arial" w:hAnsi="Arial"/>
                <w:b w:val="0"/>
                <w:sz w:val="16"/>
              </w:rPr>
              <w:t>CSV healthcare dataset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rFonts w:ascii="Arial" w:hAnsi="Arial"/>
                <w:b w:val="0"/>
                <w:sz w:val="16"/>
              </w:rPr>
              <w:t>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pPr>
              <w:spacing w:after="40"/>
            </w:pPr>
            <w:r/>
            <w:r>
              <w:rPr>
                <w:rFonts w:ascii="Arial" w:hAnsi="Arial"/>
                <w:b w:val="0"/>
                <w:sz w:val="14"/>
              </w:rPr>
              <w:t>Supplied smart healthcare CSV; 5,000 records and 16 fields (as inspected in the supplied file); CSV format. Fields include Age, Gender, BMI, Blood Pressure, Cholesterol, Glucose, Smoking, Alcohol, Exercise Level, Fatigue, Chest Pain, Dizziness, Heart Disease, Diabetes, Stroke and Health Risk Score.</w:t>
            </w:r>
          </w:p>
        </w:tc>
      </w:tr>
    </w:tbl>
    <w:p w:rsidR="00000000" w:rsidDel="00000000" w:rsidP="00000000" w:rsidRDefault="00000000" w:rsidRPr="00000000" w14:paraId="00000043">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1"/>
        <w:spacing w:after="160" w:line="259" w:lineRule="auto"/>
        <w:rPr>
          <w:rFonts w:ascii="Times New Roman" w:cs="Times New Roman" w:eastAsia="Times New Roman" w:hAnsi="Times New Roman"/>
        </w:rPr>
      </w:pPr>
      <w:r w:rsidDel="00000000" w:rsidR="00000000" w:rsidRPr="00000000">
        <w:rPr>
          <w:rtl w:val="0"/>
        </w:rPr>
      </w:r>
    </w:p>
    <w:p>
      <w:r>
        <w:t>Data quality note: in the supplied file, health_risk_score is constant at 100.0 across records. Do not use it to compare or rank risk until its definition and source calculation are verified.</w:t>
      </w:r>
    </w:p>
    <w:sectPr>
      <w:headerReference r:id="rId7" w:type="default"/>
      <w:pgSz w:h="15840" w:w="12240" w:orient="portrait"/>
      <w:pgMar w:bottom="864" w:top="86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57150</wp:posOffset>
          </wp:positionH>
          <wp:positionV relativeFrom="page">
            <wp:posOffset>-28574</wp:posOffset>
          </wp:positionV>
          <wp:extent cx="1376363" cy="58987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anchor>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18"/>
    </w:rPr>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Uk3kQTvcTqUwDapIDbiUhPWEg==">CgMxLjA4AHIhMUtaZy1FRWt5M2pCYlJrekowR18zelpDTWxuWklQaGUt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