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Phase-I</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Solution Architecture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pPr>
              <w:spacing w:after="40"/>
            </w:pPr>
            <w:r/>
            <w:r>
              <w:rPr>
                <w:rFonts w:ascii="Arial" w:hAnsi="Arial"/>
                <w:b w:val="0"/>
                <w:sz w:val="18"/>
              </w:rPr>
              <w:t>28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pPr>
              <w:spacing w:after="40"/>
            </w:pPr>
            <w:r/>
            <w:r>
              <w:rPr>
                <w:rFonts w:ascii="Arial" w:hAnsi="Arial"/>
                <w:b w:val="0"/>
                <w:sz w:val="18"/>
              </w:rPr>
              <w:t>To be filled by team</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pPr>
              <w:spacing w:after="40"/>
            </w:pPr>
            <w:r/>
            <w:r>
              <w:rPr>
                <w:rFonts w:ascii="Arial" w:hAnsi="Arial"/>
                <w:b w:val="0"/>
                <w:sz w:val="18"/>
              </w:rPr>
              <w:t>Healthcare Risk Analysis Dashboard using Tableau</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Solution Architecture:</w:t>
      </w:r>
    </w:p>
    <w:p w:rsidR="00000000" w:rsidDel="00000000" w:rsidP="00000000" w:rsidRDefault="00000000" w:rsidRPr="00000000" w14:paraId="0000000E">
      <w:pPr>
        <w:shd w:fill="ffffff" w:val="clear"/>
        <w:spacing w:after="375"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Solution architecture is a complex process – with many sub-processes – that bridges the gap between business problems and technology solutions. Its goals are to:</w:t>
      </w:r>
    </w:p>
    <w:p w:rsidR="00000000" w:rsidDel="00000000" w:rsidP="00000000" w:rsidRDefault="00000000" w:rsidRPr="00000000" w14:paraId="0000000F">
      <w:pPr>
        <w:numPr>
          <w:ilvl w:val="0"/>
          <w:numId w:val="1"/>
        </w:numPr>
        <w:shd w:fill="ffffff" w:val="clear"/>
        <w:spacing w:after="150" w:before="280" w:line="240" w:lineRule="auto"/>
        <w:ind w:left="720" w:hanging="360"/>
        <w:rPr>
          <w:color w:val="000000"/>
        </w:rPr>
      </w:pPr>
      <w:r w:rsidDel="00000000" w:rsidR="00000000" w:rsidRPr="00000000">
        <w:rPr>
          <w:rFonts w:ascii="Arial" w:cs="Arial" w:eastAsia="Arial" w:hAnsi="Arial"/>
          <w:color w:val="000000"/>
          <w:sz w:val="24"/>
          <w:szCs w:val="24"/>
          <w:rtl w:val="0"/>
        </w:rPr>
        <w:t xml:space="preserve">Find the best tech solution to solve existing business problems.</w:t>
      </w:r>
    </w:p>
    <w:p w:rsidR="00000000" w:rsidDel="00000000" w:rsidP="00000000" w:rsidRDefault="00000000" w:rsidRPr="00000000" w14:paraId="00000010">
      <w:pPr>
        <w:numPr>
          <w:ilvl w:val="0"/>
          <w:numId w:val="1"/>
        </w:numPr>
        <w:shd w:fill="ffffff" w:val="clear"/>
        <w:spacing w:after="150" w:before="0" w:line="240" w:lineRule="auto"/>
        <w:ind w:left="720" w:hanging="360"/>
        <w:rPr>
          <w:color w:val="000000"/>
        </w:rPr>
      </w:pPr>
      <w:r w:rsidDel="00000000" w:rsidR="00000000" w:rsidRPr="00000000">
        <w:rPr>
          <w:rFonts w:ascii="Arial" w:cs="Arial" w:eastAsia="Arial" w:hAnsi="Arial"/>
          <w:color w:val="000000"/>
          <w:sz w:val="24"/>
          <w:szCs w:val="24"/>
          <w:rtl w:val="0"/>
        </w:rPr>
        <w:t xml:space="preserve">Describe the structure, characteristics, behavior, and other aspects of the software to project stakeholders.</w:t>
      </w:r>
    </w:p>
    <w:p w:rsidR="00000000" w:rsidDel="00000000" w:rsidP="00000000" w:rsidRDefault="00000000" w:rsidRPr="00000000" w14:paraId="00000011">
      <w:pPr>
        <w:numPr>
          <w:ilvl w:val="0"/>
          <w:numId w:val="1"/>
        </w:numPr>
        <w:shd w:fill="ffffff" w:val="clear"/>
        <w:spacing w:after="150" w:before="0" w:line="240" w:lineRule="auto"/>
        <w:ind w:left="720" w:hanging="360"/>
        <w:rPr>
          <w:color w:val="000000"/>
        </w:rPr>
      </w:pPr>
      <w:r w:rsidDel="00000000" w:rsidR="00000000" w:rsidRPr="00000000">
        <w:rPr>
          <w:rFonts w:ascii="Arial" w:cs="Arial" w:eastAsia="Arial" w:hAnsi="Arial"/>
          <w:color w:val="000000"/>
          <w:sz w:val="24"/>
          <w:szCs w:val="24"/>
          <w:rtl w:val="0"/>
        </w:rPr>
        <w:t xml:space="preserve">Define features, development phases, and solution requirements.</w:t>
      </w:r>
    </w:p>
    <w:p w:rsidR="00000000" w:rsidDel="00000000" w:rsidP="00000000" w:rsidRDefault="00000000" w:rsidRPr="00000000" w14:paraId="00000012">
      <w:pPr>
        <w:numPr>
          <w:ilvl w:val="0"/>
          <w:numId w:val="1"/>
        </w:numPr>
        <w:shd w:fill="ffffff" w:val="clear"/>
        <w:spacing w:after="150" w:before="0" w:line="240" w:lineRule="auto"/>
        <w:ind w:left="720" w:hanging="360"/>
        <w:rPr>
          <w:color w:val="000000"/>
        </w:rPr>
      </w:pPr>
      <w:r w:rsidDel="00000000" w:rsidR="00000000" w:rsidRPr="00000000">
        <w:rPr>
          <w:rFonts w:ascii="Arial" w:cs="Arial" w:eastAsia="Arial" w:hAnsi="Arial"/>
          <w:color w:val="000000"/>
          <w:sz w:val="24"/>
          <w:szCs w:val="24"/>
          <w:rtl w:val="0"/>
        </w:rPr>
        <w:t xml:space="preserve">Provide specifications according to which the solution is defined, managed, and delivered.</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Fonts w:ascii="Arial" w:cs="Arial" w:eastAsia="Arial" w:hAnsi="Arial"/>
          <w:b w:val="1"/>
          <w:bCs w:val="1"/>
          <w:sz w:val="24"/>
          <w:szCs w:val="24"/>
          <w:rtl w:val="0"/>
        </w:rPr>
        <w:t xml:space="preserve">Sample </w:t>
      </w:r>
      <w:r w:rsidDel="00000000" w:rsidR="00000000" w:rsidRPr="00000000">
        <w:rPr>
          <w:rFonts w:ascii="Arial" w:cs="Arial" w:eastAsia="Arial" w:hAnsi="Arial"/>
          <w:b w:val="1"/>
          <w:bCs w:val="1"/>
          <w:color w:val="000000"/>
          <w:sz w:val="24"/>
          <w:szCs w:val="24"/>
          <w:rtl w:val="0"/>
        </w:rPr>
        <w:t xml:space="preserve">Solution Architecture Diagram</w:t>
      </w:r>
      <w:r w:rsidDel="00000000" w:rsidR="00000000" w:rsidRPr="00000000">
        <w:rPr>
          <w:b w:val="1"/>
          <w:bCs w:val="1"/>
          <w:rtl w:val="0"/>
        </w:rPr>
        <w:t xml:space="preserve">: </w:t>
      </w:r>
    </w:p>
    <w:p w:rsidR="00000000" w:rsidDel="00000000" w:rsidP="00000000" w:rsidRDefault="00000000" w:rsidRPr="00000000" w14:paraId="00000015">
      <w:pPr>
        <w:tabs>
          <w:tab w:val="left" w:leader="none" w:pos="5529"/>
        </w:tabs>
        <w:ind w:left="2160" w:firstLine="0"/>
        <w:rPr>
          <w:b w:val="1"/>
          <w:bCs w:val="1"/>
        </w:rPr>
      </w:pPr>
      <w:r w:rsidDel="00000000" w:rsidR="00000000" w:rsidRPr="00000000">
        <w:rPr/>
        <w:drawing>
          <wp:inline distB="114300" distT="114300" distL="114300" distR="114300">
            <wp:extent cx="2914650" cy="4065101"/>
            <wp:effectExtent b="0" l="0" r="0" t="0"/>
            <wp:docPr id="3" name="image3.png"/>
            <a:graphic>
              <a:graphicData uri="http://schemas.openxmlformats.org/drawingml/2006/picture">
                <pic:pic>
                  <pic:nvPicPr>
                    <pic:cNvPr id="0" name="image3.png"/>
                    <pic:cNvPicPr preferRelativeResize="0"/>
                  </pic:nvPicPr>
                  <pic:blipFill>
                    <a:blip r:embed="rId7"/>
                    <a:srcRect b="0" l="0" r="0" t="7066"/>
                    <a:stretch>
                      <a:fillRect/>
                    </a:stretch>
                  </pic:blipFill>
                  <pic:spPr>
                    <a:xfrm>
                      <a:off x="0" y="0"/>
                      <a:ext cx="2914650" cy="406510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Component Description Table</w:t>
      </w:r>
    </w:p>
    <w:sdt>
      <w:sdtPr>
        <w:lock w:val="contentLocked"/>
        <w:id w:val="-439335461"/>
        <w:tag w:val="goog_rdk_0"/>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3990"/>
            <w:gridCol w:w="3000"/>
            <w:tblGridChange w:id="0">
              <w:tblGrid>
                <w:gridCol w:w="2010"/>
                <w:gridCol w:w="3990"/>
                <w:gridCol w:w="300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jc w:val="center"/>
                  <w:rPr>
                    <w:b w:val="1"/>
                    <w:bCs w:val="1"/>
                  </w:rPr>
                </w:pPr>
                <w:r w:rsidDel="00000000" w:rsidR="00000000" w:rsidRPr="00000000">
                  <w:rPr>
                    <w:b w:val="1"/>
                    <w:bCs w:val="1"/>
                    <w:rtl w:val="0"/>
                  </w:rPr>
                  <w:t xml:space="preserve">Component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 / Role in 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Technology Used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sdtContent>
    </w:sdt>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
        <w:br w:type="page"/>
      </w:r>
    </w:p>
    <w:p>
      <w:pPr>
        <w:pStyle w:val="Heading1"/>
      </w:pPr>
      <w:r>
        <w:t>Healthcare Tableau Dashboard — Proposed Architecture</w:t>
      </w:r>
    </w:p>
    <w:p>
      <w:r>
        <w:t>This architecture describes the current project as a local CSV-to-Tableau analytical workflow. It does not assume a separate web application, API or database.</w:t>
      </w:r>
    </w:p>
    <w:p>
      <w:pPr>
        <w:pStyle w:val="Heading2"/>
      </w:pPr>
      <w:r>
        <w:t>Logical Data Flow</w:t>
      </w:r>
    </w:p>
    <w:tbl>
      <w:tblPr>
        <w:tblStyle w:val="TableGrid"/>
        <w:tblW w:type="auto" w:w="0"/>
        <w:tblLook w:firstColumn="1" w:firstRow="1" w:lastColumn="0" w:lastRow="0" w:noHBand="0" w:noVBand="1" w:val="04A0"/>
      </w:tblPr>
      <w:tblGrid>
        <w:gridCol w:w="3009"/>
        <w:gridCol w:w="3009"/>
        <w:gridCol w:w="3009"/>
      </w:tblGrid>
      <w:tr>
        <w:tc>
          <w:tcPr>
            <w:tcW w:type="dxa" w:w="3009"/>
            <w:shd w:fill="1F4E79"/>
          </w:tcPr>
          <w:p>
            <w:pPr>
              <w:spacing w:after="40"/>
            </w:pPr>
            <w:r/>
            <w:r>
              <w:rPr>
                <w:rFonts w:ascii="Arial" w:hAnsi="Arial"/>
                <w:b/>
                <w:sz w:val="16"/>
              </w:rPr>
              <w:t>Layer</w:t>
            </w:r>
          </w:p>
        </w:tc>
        <w:tc>
          <w:tcPr>
            <w:tcW w:type="dxa" w:w="3009"/>
            <w:shd w:fill="1F4E79"/>
          </w:tcPr>
          <w:p>
            <w:pPr>
              <w:spacing w:after="40"/>
            </w:pPr>
            <w:r/>
            <w:r>
              <w:rPr>
                <w:rFonts w:ascii="Arial" w:hAnsi="Arial"/>
                <w:b/>
                <w:sz w:val="16"/>
              </w:rPr>
              <w:t>Component</w:t>
            </w:r>
          </w:p>
        </w:tc>
        <w:tc>
          <w:tcPr>
            <w:tcW w:type="dxa" w:w="3009"/>
            <w:shd w:fill="1F4E79"/>
          </w:tcPr>
          <w:p>
            <w:pPr>
              <w:spacing w:after="40"/>
            </w:pPr>
            <w:r/>
            <w:r>
              <w:rPr>
                <w:rFonts w:ascii="Arial" w:hAnsi="Arial"/>
                <w:b/>
                <w:sz w:val="16"/>
              </w:rPr>
              <w:t>Responsibility</w:t>
            </w:r>
          </w:p>
        </w:tc>
      </w:tr>
      <w:tr>
        <w:tc>
          <w:tcPr>
            <w:tcW w:type="dxa" w:w="3009"/>
          </w:tcPr>
          <w:p>
            <w:pPr>
              <w:spacing w:after="40"/>
            </w:pPr>
            <w:r/>
            <w:r>
              <w:rPr>
                <w:rFonts w:ascii="Arial" w:hAnsi="Arial"/>
                <w:b w:val="0"/>
                <w:sz w:val="16"/>
              </w:rPr>
              <w:t>1. Source</w:t>
            </w:r>
          </w:p>
        </w:tc>
        <w:tc>
          <w:tcPr>
            <w:tcW w:type="dxa" w:w="3009"/>
          </w:tcPr>
          <w:p>
            <w:pPr>
              <w:spacing w:after="40"/>
            </w:pPr>
            <w:r/>
            <w:r>
              <w:rPr>
                <w:rFonts w:ascii="Arial" w:hAnsi="Arial"/>
                <w:b w:val="0"/>
                <w:sz w:val="16"/>
              </w:rPr>
              <w:t>Healthcare CSV (5,000 rows; 16 fields)</w:t>
            </w:r>
          </w:p>
        </w:tc>
        <w:tc>
          <w:tcPr>
            <w:tcW w:type="dxa" w:w="3009"/>
          </w:tcPr>
          <w:p>
            <w:pPr>
              <w:spacing w:after="40"/>
            </w:pPr>
            <w:r/>
            <w:r>
              <w:rPr>
                <w:rFonts w:ascii="Arial" w:hAnsi="Arial"/>
                <w:b w:val="0"/>
                <w:sz w:val="16"/>
              </w:rPr>
              <w:t>Stores the supplied records and fields.</w:t>
            </w:r>
          </w:p>
        </w:tc>
      </w:tr>
      <w:tr>
        <w:tc>
          <w:tcPr>
            <w:tcW w:type="dxa" w:w="3009"/>
          </w:tcPr>
          <w:p>
            <w:pPr>
              <w:spacing w:after="40"/>
            </w:pPr>
            <w:r/>
            <w:r>
              <w:rPr>
                <w:rFonts w:ascii="Arial" w:hAnsi="Arial"/>
                <w:b w:val="0"/>
                <w:sz w:val="16"/>
              </w:rPr>
              <w:t>2. Validation</w:t>
            </w:r>
          </w:p>
        </w:tc>
        <w:tc>
          <w:tcPr>
            <w:tcW w:type="dxa" w:w="3009"/>
          </w:tcPr>
          <w:p>
            <w:pPr>
              <w:spacing w:after="40"/>
            </w:pPr>
            <w:r/>
            <w:r>
              <w:rPr>
                <w:rFonts w:ascii="Arial" w:hAnsi="Arial"/>
                <w:b w:val="0"/>
                <w:sz w:val="16"/>
              </w:rPr>
              <w:t>Tableau data source / optional spreadsheet check</w:t>
            </w:r>
          </w:p>
        </w:tc>
        <w:tc>
          <w:tcPr>
            <w:tcW w:type="dxa" w:w="3009"/>
          </w:tcPr>
          <w:p>
            <w:pPr>
              <w:spacing w:after="40"/>
            </w:pPr>
            <w:r/>
            <w:r>
              <w:rPr>
                <w:rFonts w:ascii="Arial" w:hAnsi="Arial"/>
                <w:b w:val="0"/>
                <w:sz w:val="16"/>
              </w:rPr>
              <w:t>Confirm field types, missing values, category values and row count.</w:t>
            </w:r>
          </w:p>
        </w:tc>
      </w:tr>
      <w:tr>
        <w:tc>
          <w:tcPr>
            <w:tcW w:type="dxa" w:w="3009"/>
          </w:tcPr>
          <w:p>
            <w:pPr>
              <w:spacing w:after="40"/>
            </w:pPr>
            <w:r/>
            <w:r>
              <w:rPr>
                <w:rFonts w:ascii="Arial" w:hAnsi="Arial"/>
                <w:b w:val="0"/>
                <w:sz w:val="16"/>
              </w:rPr>
              <w:t>3. Analytics</w:t>
            </w:r>
          </w:p>
        </w:tc>
        <w:tc>
          <w:tcPr>
            <w:tcW w:type="dxa" w:w="3009"/>
          </w:tcPr>
          <w:p>
            <w:pPr>
              <w:spacing w:after="40"/>
            </w:pPr>
            <w:r/>
            <w:r>
              <w:rPr>
                <w:rFonts w:ascii="Arial" w:hAnsi="Arial"/>
                <w:b w:val="0"/>
                <w:sz w:val="16"/>
              </w:rPr>
              <w:t>Tableau calculated fields and aggregations</w:t>
            </w:r>
          </w:p>
        </w:tc>
        <w:tc>
          <w:tcPr>
            <w:tcW w:type="dxa" w:w="3009"/>
          </w:tcPr>
          <w:p>
            <w:pPr>
              <w:spacing w:after="40"/>
            </w:pPr>
            <w:r/>
            <w:r>
              <w:rPr>
                <w:rFonts w:ascii="Arial" w:hAnsi="Arial"/>
                <w:b w:val="0"/>
                <w:sz w:val="16"/>
              </w:rPr>
              <w:t>Create counts, percentages, averages and age bands where appropriate.</w:t>
            </w:r>
          </w:p>
        </w:tc>
      </w:tr>
      <w:tr>
        <w:tc>
          <w:tcPr>
            <w:tcW w:type="dxa" w:w="3009"/>
          </w:tcPr>
          <w:p>
            <w:pPr>
              <w:spacing w:after="40"/>
            </w:pPr>
            <w:r/>
            <w:r>
              <w:rPr>
                <w:rFonts w:ascii="Arial" w:hAnsi="Arial"/>
                <w:b w:val="0"/>
                <w:sz w:val="16"/>
              </w:rPr>
              <w:t>4. Visualization</w:t>
            </w:r>
          </w:p>
        </w:tc>
        <w:tc>
          <w:tcPr>
            <w:tcW w:type="dxa" w:w="3009"/>
          </w:tcPr>
          <w:p>
            <w:pPr>
              <w:spacing w:after="40"/>
            </w:pPr>
            <w:r/>
            <w:r>
              <w:rPr>
                <w:rFonts w:ascii="Arial" w:hAnsi="Arial"/>
                <w:b w:val="0"/>
                <w:sz w:val="16"/>
              </w:rPr>
              <w:t>Tableau worksheets</w:t>
            </w:r>
          </w:p>
        </w:tc>
        <w:tc>
          <w:tcPr>
            <w:tcW w:type="dxa" w:w="3009"/>
          </w:tcPr>
          <w:p>
            <w:pPr>
              <w:spacing w:after="40"/>
            </w:pPr>
            <w:r/>
            <w:r>
              <w:rPr>
                <w:rFonts w:ascii="Arial" w:hAnsi="Arial"/>
                <w:b w:val="0"/>
                <w:sz w:val="16"/>
              </w:rPr>
              <w:t>Build KPI cards and charts for disease, age, gender, clinical indicators, lifestyle and symptoms.</w:t>
            </w:r>
          </w:p>
        </w:tc>
      </w:tr>
      <w:tr>
        <w:tc>
          <w:tcPr>
            <w:tcW w:type="dxa" w:w="3009"/>
          </w:tcPr>
          <w:p>
            <w:pPr>
              <w:spacing w:after="40"/>
            </w:pPr>
            <w:r/>
            <w:r>
              <w:rPr>
                <w:rFonts w:ascii="Arial" w:hAnsi="Arial"/>
                <w:b w:val="0"/>
                <w:sz w:val="16"/>
              </w:rPr>
              <w:t>5. Presentation</w:t>
            </w:r>
          </w:p>
        </w:tc>
        <w:tc>
          <w:tcPr>
            <w:tcW w:type="dxa" w:w="3009"/>
          </w:tcPr>
          <w:p>
            <w:pPr>
              <w:spacing w:after="40"/>
            </w:pPr>
            <w:r/>
            <w:r>
              <w:rPr>
                <w:rFonts w:ascii="Arial" w:hAnsi="Arial"/>
                <w:b w:val="0"/>
                <w:sz w:val="16"/>
              </w:rPr>
              <w:t>Tableau dashboard</w:t>
            </w:r>
          </w:p>
        </w:tc>
        <w:tc>
          <w:tcPr>
            <w:tcW w:type="dxa" w:w="3009"/>
          </w:tcPr>
          <w:p>
            <w:pPr>
              <w:spacing w:after="40"/>
            </w:pPr>
            <w:r/>
            <w:r>
              <w:rPr>
                <w:rFonts w:ascii="Arial" w:hAnsi="Arial"/>
                <w:b w:val="0"/>
                <w:sz w:val="16"/>
              </w:rPr>
              <w:t>Combine views, filters, legends, titles and tooltips into an interactive report.</w:t>
            </w:r>
          </w:p>
        </w:tc>
      </w:tr>
      <w:tr>
        <w:tc>
          <w:tcPr>
            <w:tcW w:type="dxa" w:w="3009"/>
          </w:tcPr>
          <w:p>
            <w:pPr>
              <w:spacing w:after="40"/>
            </w:pPr>
            <w:r/>
            <w:r>
              <w:rPr>
                <w:rFonts w:ascii="Arial" w:hAnsi="Arial"/>
                <w:b w:val="0"/>
                <w:sz w:val="16"/>
              </w:rPr>
              <w:t>6. User</w:t>
            </w:r>
          </w:p>
        </w:tc>
        <w:tc>
          <w:tcPr>
            <w:tcW w:type="dxa" w:w="3009"/>
          </w:tcPr>
          <w:p>
            <w:pPr>
              <w:spacing w:after="40"/>
            </w:pPr>
            <w:r/>
            <w:r>
              <w:rPr>
                <w:rFonts w:ascii="Arial" w:hAnsi="Arial"/>
                <w:b w:val="0"/>
                <w:sz w:val="16"/>
              </w:rPr>
              <w:t>Analyst / project reviewer</w:t>
            </w:r>
          </w:p>
        </w:tc>
        <w:tc>
          <w:tcPr>
            <w:tcW w:type="dxa" w:w="3009"/>
          </w:tcPr>
          <w:p>
            <w:pPr>
              <w:spacing w:after="40"/>
            </w:pPr>
            <w:r/>
            <w:r>
              <w:rPr>
                <w:rFonts w:ascii="Arial" w:hAnsi="Arial"/>
                <w:b w:val="0"/>
                <w:sz w:val="16"/>
              </w:rPr>
              <w:t>Explore patterns and export views for reporting.</w:t>
            </w:r>
          </w:p>
        </w:tc>
      </w:tr>
    </w:tbl>
    <w:p>
      <w:pPr>
        <w:pStyle w:val="Heading2"/>
      </w:pPr>
      <w:r>
        <w:t>Component Description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fill="1F4E79"/>
          </w:tcPr>
          <w:p>
            <w:pPr>
              <w:spacing w:after="40"/>
            </w:pPr>
            <w:r/>
            <w:r>
              <w:rPr>
                <w:rFonts w:ascii="Arial" w:hAnsi="Arial"/>
                <w:b/>
                <w:sz w:val="16"/>
              </w:rPr>
              <w:t>Component</w:t>
            </w:r>
          </w:p>
        </w:tc>
        <w:tc>
          <w:tcPr>
            <w:tcW w:type="dxa" w:w="2256"/>
            <w:shd w:fill="1F4E79"/>
          </w:tcPr>
          <w:p>
            <w:pPr>
              <w:spacing w:after="40"/>
            </w:pPr>
            <w:r/>
            <w:r>
              <w:rPr>
                <w:rFonts w:ascii="Arial" w:hAnsi="Arial"/>
                <w:b/>
                <w:sz w:val="16"/>
              </w:rPr>
              <w:t>Input</w:t>
            </w:r>
          </w:p>
        </w:tc>
        <w:tc>
          <w:tcPr>
            <w:tcW w:type="dxa" w:w="2256"/>
            <w:shd w:fill="1F4E79"/>
          </w:tcPr>
          <w:p>
            <w:pPr>
              <w:spacing w:after="40"/>
            </w:pPr>
            <w:r/>
            <w:r>
              <w:rPr>
                <w:rFonts w:ascii="Arial" w:hAnsi="Arial"/>
                <w:b/>
                <w:sz w:val="16"/>
              </w:rPr>
              <w:t>Processing / responsibility</w:t>
            </w:r>
          </w:p>
        </w:tc>
        <w:tc>
          <w:tcPr>
            <w:tcW w:type="dxa" w:w="2256"/>
            <w:shd w:fill="1F4E79"/>
          </w:tcPr>
          <w:p>
            <w:pPr>
              <w:spacing w:after="40"/>
            </w:pPr>
            <w:r/>
            <w:r>
              <w:rPr>
                <w:rFonts w:ascii="Arial" w:hAnsi="Arial"/>
                <w:b/>
                <w:sz w:val="16"/>
              </w:rPr>
              <w:t>Output</w:t>
            </w:r>
          </w:p>
        </w:tc>
      </w:tr>
      <w:tr>
        <w:tc>
          <w:tcPr>
            <w:tcW w:type="dxa" w:w="2256"/>
          </w:tcPr>
          <w:p>
            <w:pPr>
              <w:spacing w:after="40"/>
            </w:pPr>
            <w:r/>
            <w:r>
              <w:rPr>
                <w:rFonts w:ascii="Arial" w:hAnsi="Arial"/>
                <w:b w:val="0"/>
                <w:sz w:val="14"/>
              </w:rPr>
              <w:t>CSV source</w:t>
            </w:r>
          </w:p>
        </w:tc>
        <w:tc>
          <w:tcPr>
            <w:tcW w:type="dxa" w:w="2256"/>
          </w:tcPr>
          <w:p>
            <w:pPr>
              <w:spacing w:after="40"/>
            </w:pPr>
            <w:r/>
            <w:r>
              <w:rPr>
                <w:rFonts w:ascii="Arial" w:hAnsi="Arial"/>
                <w:b w:val="0"/>
                <w:sz w:val="14"/>
              </w:rPr>
              <w:t>Healthcare dataset file</w:t>
            </w:r>
          </w:p>
        </w:tc>
        <w:tc>
          <w:tcPr>
            <w:tcW w:type="dxa" w:w="2256"/>
          </w:tcPr>
          <w:p>
            <w:pPr>
              <w:spacing w:after="40"/>
            </w:pPr>
            <w:r/>
            <w:r>
              <w:rPr>
                <w:rFonts w:ascii="Arial" w:hAnsi="Arial"/>
                <w:b w:val="0"/>
                <w:sz w:val="14"/>
              </w:rPr>
              <w:t>Read the 5,000 records and 16 fields.</w:t>
            </w:r>
          </w:p>
        </w:tc>
        <w:tc>
          <w:tcPr>
            <w:tcW w:type="dxa" w:w="2256"/>
          </w:tcPr>
          <w:p>
            <w:pPr>
              <w:spacing w:after="40"/>
            </w:pPr>
            <w:r/>
            <w:r>
              <w:rPr>
                <w:rFonts w:ascii="Arial" w:hAnsi="Arial"/>
                <w:b w:val="0"/>
                <w:sz w:val="14"/>
              </w:rPr>
              <w:t>Source records</w:t>
            </w:r>
          </w:p>
        </w:tc>
      </w:tr>
      <w:tr>
        <w:tc>
          <w:tcPr>
            <w:tcW w:type="dxa" w:w="2256"/>
          </w:tcPr>
          <w:p>
            <w:pPr>
              <w:spacing w:after="40"/>
            </w:pPr>
            <w:r/>
            <w:r>
              <w:rPr>
                <w:rFonts w:ascii="Arial" w:hAnsi="Arial"/>
                <w:b w:val="0"/>
                <w:sz w:val="14"/>
              </w:rPr>
              <w:t>Data validation</w:t>
            </w:r>
          </w:p>
        </w:tc>
        <w:tc>
          <w:tcPr>
            <w:tcW w:type="dxa" w:w="2256"/>
          </w:tcPr>
          <w:p>
            <w:pPr>
              <w:spacing w:after="40"/>
            </w:pPr>
            <w:r/>
            <w:r>
              <w:rPr>
                <w:rFonts w:ascii="Arial" w:hAnsi="Arial"/>
                <w:b w:val="0"/>
                <w:sz w:val="14"/>
              </w:rPr>
              <w:t>Source records</w:t>
            </w:r>
          </w:p>
        </w:tc>
        <w:tc>
          <w:tcPr>
            <w:tcW w:type="dxa" w:w="2256"/>
          </w:tcPr>
          <w:p>
            <w:pPr>
              <w:spacing w:after="40"/>
            </w:pPr>
            <w:r/>
            <w:r>
              <w:rPr>
                <w:rFonts w:ascii="Arial" w:hAnsi="Arial"/>
                <w:b w:val="0"/>
                <w:sz w:val="14"/>
              </w:rPr>
              <w:t>Check data types, missing values, labels and data-quality exceptions.</w:t>
            </w:r>
          </w:p>
        </w:tc>
        <w:tc>
          <w:tcPr>
            <w:tcW w:type="dxa" w:w="2256"/>
          </w:tcPr>
          <w:p>
            <w:pPr>
              <w:spacing w:after="40"/>
            </w:pPr>
            <w:r/>
            <w:r>
              <w:rPr>
                <w:rFonts w:ascii="Arial" w:hAnsi="Arial"/>
                <w:b w:val="0"/>
                <w:sz w:val="14"/>
              </w:rPr>
              <w:t>Validated source for analysis</w:t>
            </w:r>
          </w:p>
        </w:tc>
      </w:tr>
      <w:tr>
        <w:tc>
          <w:tcPr>
            <w:tcW w:type="dxa" w:w="2256"/>
          </w:tcPr>
          <w:p>
            <w:pPr>
              <w:spacing w:after="40"/>
            </w:pPr>
            <w:r/>
            <w:r>
              <w:rPr>
                <w:rFonts w:ascii="Arial" w:hAnsi="Arial"/>
                <w:b w:val="0"/>
                <w:sz w:val="14"/>
              </w:rPr>
              <w:t>Calculated measures</w:t>
            </w:r>
          </w:p>
        </w:tc>
        <w:tc>
          <w:tcPr>
            <w:tcW w:type="dxa" w:w="2256"/>
          </w:tcPr>
          <w:p>
            <w:pPr>
              <w:spacing w:after="40"/>
            </w:pPr>
            <w:r/>
            <w:r>
              <w:rPr>
                <w:rFonts w:ascii="Arial" w:hAnsi="Arial"/>
                <w:b w:val="0"/>
                <w:sz w:val="14"/>
              </w:rPr>
              <w:t>Validated fields</w:t>
            </w:r>
          </w:p>
        </w:tc>
        <w:tc>
          <w:tcPr>
            <w:tcW w:type="dxa" w:w="2256"/>
          </w:tcPr>
          <w:p>
            <w:pPr>
              <w:spacing w:after="40"/>
            </w:pPr>
            <w:r/>
            <w:r>
              <w:rPr>
                <w:rFonts w:ascii="Arial" w:hAnsi="Arial"/>
                <w:b w:val="0"/>
                <w:sz w:val="14"/>
              </w:rPr>
              <w:t>Count records and positive disease labels; calculate percentages or averages where appropriate.</w:t>
            </w:r>
          </w:p>
        </w:tc>
        <w:tc>
          <w:tcPr>
            <w:tcW w:type="dxa" w:w="2256"/>
          </w:tcPr>
          <w:p>
            <w:pPr>
              <w:spacing w:after="40"/>
            </w:pPr>
            <w:r/>
            <w:r>
              <w:rPr>
                <w:rFonts w:ascii="Arial" w:hAnsi="Arial"/>
                <w:b w:val="0"/>
                <w:sz w:val="14"/>
              </w:rPr>
              <w:t>Consistent analytical measures</w:t>
            </w:r>
          </w:p>
        </w:tc>
      </w:tr>
      <w:tr>
        <w:tc>
          <w:tcPr>
            <w:tcW w:type="dxa" w:w="2256"/>
          </w:tcPr>
          <w:p>
            <w:pPr>
              <w:spacing w:after="40"/>
            </w:pPr>
            <w:r/>
            <w:r>
              <w:rPr>
                <w:rFonts w:ascii="Arial" w:hAnsi="Arial"/>
                <w:b w:val="0"/>
                <w:sz w:val="14"/>
              </w:rPr>
              <w:t>Worksheets</w:t>
            </w:r>
          </w:p>
        </w:tc>
        <w:tc>
          <w:tcPr>
            <w:tcW w:type="dxa" w:w="2256"/>
          </w:tcPr>
          <w:p>
            <w:pPr>
              <w:spacing w:after="40"/>
            </w:pPr>
            <w:r/>
            <w:r>
              <w:rPr>
                <w:rFonts w:ascii="Arial" w:hAnsi="Arial"/>
                <w:b w:val="0"/>
                <w:sz w:val="14"/>
              </w:rPr>
              <w:t>Measures and dimensions</w:t>
            </w:r>
          </w:p>
        </w:tc>
        <w:tc>
          <w:tcPr>
            <w:tcW w:type="dxa" w:w="2256"/>
          </w:tcPr>
          <w:p>
            <w:pPr>
              <w:spacing w:after="40"/>
            </w:pPr>
            <w:r/>
            <w:r>
              <w:rPr>
                <w:rFonts w:ascii="Arial" w:hAnsi="Arial"/>
                <w:b w:val="0"/>
                <w:sz w:val="14"/>
              </w:rPr>
              <w:t>Create age/gender comparisons, clinical distributions, lifestyle comparisons and symptom views.</w:t>
            </w:r>
          </w:p>
        </w:tc>
        <w:tc>
          <w:tcPr>
            <w:tcW w:type="dxa" w:w="2256"/>
          </w:tcPr>
          <w:p>
            <w:pPr>
              <w:spacing w:after="40"/>
            </w:pPr>
            <w:r/>
            <w:r>
              <w:rPr>
                <w:rFonts w:ascii="Arial" w:hAnsi="Arial"/>
                <w:b w:val="0"/>
                <w:sz w:val="14"/>
              </w:rPr>
              <w:t>Individual charts</w:t>
            </w:r>
          </w:p>
        </w:tc>
      </w:tr>
      <w:tr>
        <w:tc>
          <w:tcPr>
            <w:tcW w:type="dxa" w:w="2256"/>
          </w:tcPr>
          <w:p>
            <w:pPr>
              <w:spacing w:after="40"/>
            </w:pPr>
            <w:r/>
            <w:r>
              <w:rPr>
                <w:rFonts w:ascii="Arial" w:hAnsi="Arial"/>
                <w:b w:val="0"/>
                <w:sz w:val="14"/>
              </w:rPr>
              <w:t>Dashboard</w:t>
            </w:r>
          </w:p>
        </w:tc>
        <w:tc>
          <w:tcPr>
            <w:tcW w:type="dxa" w:w="2256"/>
          </w:tcPr>
          <w:p>
            <w:pPr>
              <w:spacing w:after="40"/>
            </w:pPr>
            <w:r/>
            <w:r>
              <w:rPr>
                <w:rFonts w:ascii="Arial" w:hAnsi="Arial"/>
                <w:b w:val="0"/>
                <w:sz w:val="14"/>
              </w:rPr>
              <w:t>Worksheets and filters</w:t>
            </w:r>
          </w:p>
        </w:tc>
        <w:tc>
          <w:tcPr>
            <w:tcW w:type="dxa" w:w="2256"/>
          </w:tcPr>
          <w:p>
            <w:pPr>
              <w:spacing w:after="40"/>
            </w:pPr>
            <w:r/>
            <w:r>
              <w:rPr>
                <w:rFonts w:ascii="Arial" w:hAnsi="Arial"/>
                <w:b w:val="0"/>
                <w:sz w:val="14"/>
              </w:rPr>
              <w:t>Arrange KPI cards and charts; synchronize relevant filters; use clear titles and tooltips.</w:t>
            </w:r>
          </w:p>
        </w:tc>
        <w:tc>
          <w:tcPr>
            <w:tcW w:type="dxa" w:w="2256"/>
          </w:tcPr>
          <w:p>
            <w:pPr>
              <w:spacing w:after="40"/>
            </w:pPr>
            <w:r/>
            <w:r>
              <w:rPr>
                <w:rFonts w:ascii="Arial" w:hAnsi="Arial"/>
                <w:b w:val="0"/>
                <w:sz w:val="14"/>
              </w:rPr>
              <w:t>Interactive dashboard</w:t>
            </w:r>
          </w:p>
        </w:tc>
      </w:tr>
      <w:tr>
        <w:tc>
          <w:tcPr>
            <w:tcW w:type="dxa" w:w="2256"/>
          </w:tcPr>
          <w:p>
            <w:pPr>
              <w:spacing w:after="40"/>
            </w:pPr>
            <w:r/>
            <w:r>
              <w:rPr>
                <w:rFonts w:ascii="Arial" w:hAnsi="Arial"/>
                <w:b w:val="0"/>
                <w:sz w:val="14"/>
              </w:rPr>
              <w:t>Quality and interpretation notes</w:t>
            </w:r>
          </w:p>
        </w:tc>
        <w:tc>
          <w:tcPr>
            <w:tcW w:type="dxa" w:w="2256"/>
          </w:tcPr>
          <w:p>
            <w:pPr>
              <w:spacing w:after="40"/>
            </w:pPr>
            <w:r/>
            <w:r>
              <w:rPr>
                <w:rFonts w:ascii="Arial" w:hAnsi="Arial"/>
                <w:b w:val="0"/>
                <w:sz w:val="14"/>
              </w:rPr>
              <w:t>Validation results</w:t>
            </w:r>
          </w:p>
        </w:tc>
        <w:tc>
          <w:tcPr>
            <w:tcW w:type="dxa" w:w="2256"/>
          </w:tcPr>
          <w:p>
            <w:pPr>
              <w:spacing w:after="40"/>
            </w:pPr>
            <w:r/>
            <w:r>
              <w:rPr>
                <w:rFonts w:ascii="Arial" w:hAnsi="Arial"/>
                <w:b w:val="0"/>
                <w:sz w:val="14"/>
              </w:rPr>
              <w:t>Flag constant health_risk_score and avoid causal/diagnostic claims.</w:t>
            </w:r>
          </w:p>
        </w:tc>
        <w:tc>
          <w:tcPr>
            <w:tcW w:type="dxa" w:w="2256"/>
          </w:tcPr>
          <w:p>
            <w:pPr>
              <w:spacing w:after="40"/>
            </w:pPr>
            <w:r/>
            <w:r>
              <w:rPr>
                <w:rFonts w:ascii="Arial" w:hAnsi="Arial"/>
                <w:b w:val="0"/>
                <w:sz w:val="14"/>
              </w:rPr>
              <w:t>Responsible project reporting</w:t>
            </w:r>
          </w:p>
        </w:tc>
      </w:tr>
    </w:tbl>
    <w:p>
      <w:pPr>
        <w:pStyle w:val="Heading2"/>
      </w:pPr>
      <w:r>
        <w:t>Key Design Decisions</w:t>
      </w:r>
    </w:p>
    <w:p>
      <w:r>
        <w:t>• Use Tableau Public/Desktop as the visualization and dashboard layer because the project is already being developed in Tableau.</w:t>
      </w:r>
    </w:p>
    <w:p>
      <w:r>
        <w:t>• Use counts for record totals and disease cases; use averages/distributions for continuous clinical measures where appropriate. Do not sum measurements such as BMI or blood pressure as if they were totals.</w:t>
      </w:r>
    </w:p>
    <w:p>
      <w:r>
        <w:t>• Use consistent disease labels (for example Yes/No) and clearly identify whether charts show counts or percentages.</w:t>
      </w:r>
    </w:p>
    <w:p>
      <w:r>
        <w:t>• Keep the dashboard descriptive. Associations in this dataset do not prove that a lifestyle factor causes a disease.</w:t>
      </w:r>
    </w:p>
    <w:p>
      <w:r>
        <w:t>• Validate health_risk_score before using it: the supplied file shows a constant value of 100.0, which cannot distinguish records.</w:t>
      </w:r>
    </w:p>
    <w:p>
      <w:pPr>
        <w:pStyle w:val="Heading2"/>
      </w:pPr>
      <w:r>
        <w:t>Assumptions and Constraints</w:t>
      </w:r>
    </w:p>
    <w:p>
      <w:r>
        <w:t>The current design assumes a static CSV source and a local Tableau workbook. If the dataset is updated, refresh the data source and recheck KPI values. Public sharing should only be used if the data is approved for public release and contains no identifiable or sensitive information.</w:t>
      </w:r>
    </w:p>
    <w:sectPr>
      <w:headerReference r:id="rId8" w:type="default"/>
      <w:pgSz w:h="16838" w:w="11906" w:orient="portrait"/>
      <w:pgMar w:bottom="864" w:top="864"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6553200</wp:posOffset>
          </wp:positionH>
          <wp:positionV relativeFrom="page">
            <wp:posOffset>239913</wp:posOffset>
          </wp:positionV>
          <wp:extent cx="864691" cy="395288"/>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76200</wp:posOffset>
          </wp:positionH>
          <wp:positionV relativeFrom="page">
            <wp:posOffset>144663</wp:posOffset>
          </wp:positionV>
          <wp:extent cx="1376363" cy="589870"/>
          <wp:effectExtent b="0" l="0" r="0" t="0"/>
          <wp:wrapNone/>
          <wp:docPr id="4"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sz w:val="18"/>
    </w:rPr>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NormalWeb">
    <w:name w:val="Normal (Web)"/>
    <w:basedOn w:val="Normal"/>
    <w:uiPriority w:val="99"/>
    <w:semiHidden w:val="1"/>
    <w:unhideWhenUsed w:val="1"/>
    <w:rsid w:val="009067B1"/>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Emphasis">
    <w:name w:val="Emphasis"/>
    <w:basedOn w:val="DefaultParagraphFont"/>
    <w:uiPriority w:val="20"/>
    <w:qFormat w:val="1"/>
    <w:rsid w:val="008E20B8"/>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kzLwCLXBqfgnFrwvmWhfF8j69Q==">CgMxLjAaHwoBMBIaChgICVIUChJ0YWJsZS5hcTFjZTE5ZmY4dHM4AHIhMXZzTEYwOHlxOEhxWnRKT05LektVLVNTNGdOcGdjczVO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2022-10-03T08:27:00Z</dcterms:created>
  <dc:creator>Amarender Katkam</dc:creator>
</cp:coreProperties>
</file>