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Healthcare Risk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Category Leads in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Technology category is generating the highest profit among all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Seasonal Sales 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Sales peak in November, while February sees the lowest sales, indicating a possible seasonal trend.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Segment Dominates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Consumer segment contributes to the highest percentage of sales, accounting for 50.56%.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Revenue-Generating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Chairs from the Furniture category generate the highest revenue, totaling 1.66M.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Storyline: Exploring Chronic Disease Patterns</w:t>
      </w:r>
    </w:p>
    <w:p>
      <w:r>
        <w:t>Use Tableau Story points to guide a reviewer from the overall dataset to demographic patterns, clinical indicators, lifestyle/symptom comparisons, and limitations.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Suggested story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1F4E7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Story Point</w:t>
            </w:r>
          </w:p>
        </w:tc>
        <w:tc>
          <w:tcPr>
            <w:tcW w:type="dxa" w:w="3345"/>
            <w:shd w:fill="1F4E7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View / Caption</w:t>
            </w:r>
          </w:p>
        </w:tc>
        <w:tc>
          <w:tcPr>
            <w:tcW w:type="dxa" w:w="3345"/>
            <w:shd w:fill="1F4E7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Narrative</w:t>
            </w:r>
          </w:p>
        </w:tc>
      </w:tr>
      <w:tr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1. Dataset Overview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KPI cards: total records and positive disease labels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Introduce the 5,000-row dataset and explain that counts describe records in this file.</w:t>
            </w:r>
          </w:p>
        </w:tc>
      </w:tr>
      <w:tr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2. Demographic Patterns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Disease labels by age band and gender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Explore how recorded disease labels vary across demographic groups.</w:t>
            </w:r>
          </w:p>
        </w:tc>
      </w:tr>
      <w:tr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3. Clinical Indicators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BMI, blood pressure, cholesterol and glucose distributions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Compare distributions across labels; note unusual values and missingness checks.</w:t>
            </w:r>
          </w:p>
        </w:tc>
      </w:tr>
      <w:tr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4. Lifestyle Factors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Smoking, alcohol and exercise comparisons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Review patterns without claiming that these variables cause disease.</w:t>
            </w:r>
          </w:p>
        </w:tc>
      </w:tr>
      <w:tr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5. Symptoms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Fatigue, chest pain and dizziness compared with disease labels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Explore co-occurrence in the dataset and clarify that this is not a diagnostic rule.</w:t>
            </w:r>
          </w:p>
        </w:tc>
      </w:tr>
      <w:tr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6. Data Quality &amp; Caveats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Data quality summary and risk-score warning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Explain that there are no missing cells or exact duplicate rows in the supplied file, while health_risk_score is constant at 100.0.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Observations to validate with the final charts</w:t>
      </w:r>
    </w:p>
    <w:p>
      <w:pPr>
        <w:spacing w:after="40"/>
        <w:ind w:left="288" w:hanging="216"/>
      </w:pPr>
      <w:r>
        <w:t>•  Source file contains 5,000 records and 16 fields.</w:t>
      </w:r>
    </w:p>
    <w:p>
      <w:pPr>
        <w:spacing w:after="40"/>
        <w:ind w:left="288" w:hanging="216"/>
      </w:pPr>
      <w:r>
        <w:t>•  Positive labels recorded: heart disease 1,499; diabetes 1,746; stroke 1,243.</w:t>
      </w:r>
    </w:p>
    <w:p>
      <w:pPr>
        <w:spacing w:after="40"/>
        <w:ind w:left="288" w:hanging="216"/>
      </w:pPr>
      <w:r>
        <w:t>•  Dataset-level label counts can differ from unique-patient counts if one row is not guaranteed to equal one unique person; no patient ID is present in the listed fields.</w:t>
      </w:r>
    </w:p>
    <w:p>
      <w:pPr>
        <w:spacing w:after="40"/>
        <w:ind w:left="288" w:hanging="216"/>
      </w:pPr>
      <w:r>
        <w:t>•  Do not state that age, lifestyle or symptoms cause a disease based only on these charts.</w:t>
      </w:r>
    </w:p>
    <w:p>
      <w:pPr>
        <w:spacing w:after="40"/>
        <w:ind w:left="288" w:hanging="216"/>
      </w:pPr>
      <w:r>
        <w:t>•  health_risk_score is constant and cannot meaningfully separate records until verified.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Activity 2 — Tableau Public Story link</w:t>
      </w:r>
    </w:p>
    <w:p>
      <w:r>
        <w:t>Paste the actual public story URL here after publishing. No URL has been created by this document.</w:t>
      </w:r>
    </w:p>
    <w:sectPr>
      <w:pgSz w:h="16838" w:w="11906" w:orient="portrait"/>
      <w:pgMar w:bottom="864" w:top="864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18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Arial" w:hAnsi="Arial"/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