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FBC9B"/>
          <w:sz w:val="30"/>
          <w:szCs w:val="30"/>
        </w:rPr>
        <w:t xml:space="preserve">PayWatch</w:t>
      </w:r>
    </w:p>
    <w:p>
      <w:pPr>
        <w:spacing w:after="160"/>
      </w:pPr>
      <w:r>
        <w:rPr>
          <w:rFonts w:ascii="Cambria" w:cs="Cambria" w:eastAsia="Cambria" w:hAnsi="Cambria"/>
          <w:b/>
          <w:bCs/>
          <w:color w:val="0B2F2A"/>
          <w:sz w:val="64"/>
          <w:szCs w:val="64"/>
        </w:rPr>
        <w:t xml:space="preserve">Protecting PayWatch</w:t>
      </w:r>
    </w:p>
    <w:p>
      <w:pPr>
        <w:spacing w:after="600"/>
      </w:pPr>
      <w:r>
        <w:rPr>
          <w:color w:val="5B6763"/>
          <w:sz w:val="30"/>
          <w:szCs w:val="30"/>
        </w:rPr>
        <w:t xml:space="preserve">A plain-language guide to trademarks, copyright, patents, company registration — and every document Lextria Research has sent you</w:t>
      </w:r>
    </w:p>
    <w:p>
      <w:pPr>
        <w:spacing w:after="120"/>
      </w:pPr>
      <w:r>
        <w:rPr>
          <w:color w:val="5B6763"/>
          <w:sz w:val="22"/>
          <w:szCs w:val="22"/>
        </w:rPr>
        <w:t xml:space="preserve">Prepared for Yash Saini · 26 October 2026</w:t>
      </w:r>
    </w:p>
    <w:p>
      <w:pPr>
        <w:spacing w:before="400"/>
      </w:pPr>
      <w:r>
        <w:rPr>
          <w:i/>
          <w:iCs/>
          <w:color w:val="5B6763"/>
          <w:sz w:val="20"/>
          <w:szCs w:val="20"/>
        </w:rPr>
        <w:t xml:space="preserve">Important: this guide explains things in simple language so you can make informed decisions and ask the right questions. It is not legal advice, and rules and fees change. Confirm every number and deadline with your lawyer, CA, and the official government portals before you act.</w:t>
      </w:r>
    </w:p>
    <w:p>
      <w:r>
        <w:br w:type="page"/>
      </w:r>
    </w:p>
    <w:p>
      <w:pPr>
        <w:spacing w:after="200"/>
      </w:pPr>
      <w:r>
        <w:rPr>
          <w:rFonts w:ascii="Cambria" w:cs="Cambria" w:eastAsia="Cambria" w:hAnsi="Cambria"/>
          <w:b/>
          <w:bCs/>
          <w:color w:val="0B2F2A"/>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The big picture in one page</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Words you will keep hearing</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Trademark — protecting the name "PayWatch"</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3.1 What a trademark is (and isn't)</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3.2 Why file now</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3.3 Word mark vs logo</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3.4 Classes — what you are registering for</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3.5 Who should be the applicant: you or the company?</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3.6 The step-by-step process</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3.7 "Proposed to be used" vs claiming earlier use</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3.8 Do's and don'ts</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4. Copyright — protecting your code, designs and content</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4.1 What copyright is</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4.2 The registration process</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4.3 The logo trap</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4.4 AI-assisted work — read this carefully</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5. Patents — why we are skipping them for now</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6. Registering the company (Private Limited)</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6.1 Why a Pvt Ltd</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6.2 What you need</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6.3 The process</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6.4 Every-year duties (compliance)</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7. Every document Lextria sent — explained</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7.1 The email from Simran Sheikh (7 Oct)</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7.2 Copyright Disclosure Form (CDF)</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7.3 Declaration of AI Use and Ownership Rights — the riskiest document</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7.4 The Mutual NDA</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7.5 The three quotations</w:t>
            </w:r>
            <w:r>
              <w:tab/>
            </w:r>
            <w:r>
              <w:fldChar w:fldCharType="begin" w:dirty="true"/>
              <w:instrText xml:space="preserve">PAGEREF _Toc28 \h</w:instrText>
              <w:fldChar w:fldCharType="separate"/>
              <w:fldChar w:fldCharType="end"/>
            </w:r>
          </w:hyperlink>
        </w:p>
        <w:p>
          <w:pPr>
            <w:pStyle w:val="TOC2"/>
            <w:tabs>
              <w:tab w:val="right" w:pos="9638" w:leader="dot"/>
            </w:tabs>
          </w:pPr>
          <w:hyperlink w:history="1" w:anchor="_Toc29">
            <w:r>
              <w:t xml:space="preserve">7.6 The Power of Attorney (coming by courier)</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8. What you must do, and what you don't have to</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9. How to make sure nobody makes a fool out of you</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10. Our plan and the questions to ask</w:t>
            </w:r>
            <w:r>
              <w:tab/>
            </w:r>
            <w:r>
              <w:fldChar w:fldCharType="begin" w:dirty="true"/>
              <w:instrText xml:space="preserve">PAGEREF _Toc32 \h</w:instrText>
              <w:fldChar w:fldCharType="separate"/>
              <w:fldChar w:fldCharType="end"/>
            </w:r>
          </w:hyperlink>
        </w:p>
        <w:p>
          <w:pPr>
            <w:pStyle w:val="TOC2"/>
            <w:tabs>
              <w:tab w:val="right" w:pos="9638" w:leader="dot"/>
            </w:tabs>
          </w:pPr>
          <w:hyperlink w:history="1" w:anchor="_Toc33">
            <w:r>
              <w:t xml:space="preserve">10.1 Recommended order (before investor day on 13 Dec)</w:t>
            </w:r>
            <w:r>
              <w:tab/>
            </w:r>
            <w:r>
              <w:fldChar w:fldCharType="begin" w:dirty="true"/>
              <w:instrText xml:space="preserve">PAGEREF _Toc33 \h</w:instrText>
              <w:fldChar w:fldCharType="separate"/>
              <w:fldChar w:fldCharType="end"/>
            </w:r>
          </w:hyperlink>
        </w:p>
        <w:p>
          <w:pPr>
            <w:pStyle w:val="TOC2"/>
            <w:tabs>
              <w:tab w:val="right" w:pos="9638" w:leader="dot"/>
            </w:tabs>
          </w:pPr>
          <w:hyperlink w:history="1" w:anchor="_Toc34">
            <w:r>
              <w:t xml:space="preserve">10.2 Questions to send Lextria</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Sources and further reading</w:t>
            </w:r>
            <w:r>
              <w:tab/>
            </w:r>
            <w:r>
              <w:fldChar w:fldCharType="begin" w:dirty="true"/>
              <w:instrText xml:space="preserve">PAGEREF _Toc35 \h</w:instrText>
              <w:fldChar w:fldCharType="separate"/>
              <w:fldChar w:fldCharType="end"/>
            </w:r>
          </w:hyperlink>
        </w:p>
        <w:p>
          <w:r>
            <w:fldChar w:fldCharType="end"/>
          </w:r>
        </w:p>
      </w:sdtContent>
    </w:sdt>
    <w:p>
      <w:r>
        <w:rPr>
          <w:i/>
          <w:iCs/>
          <w:color w:val="5B6763"/>
          <w:sz w:val="18"/>
          <w:szCs w:val="18"/>
        </w:rPr>
        <w:t xml:space="preserve">In Word, right-click the contents above and choose "Update Field" if page numbers look out of date.</w:t>
      </w:r>
    </w:p>
    <w:p>
      <w:pPr>
        <w:pStyle w:val="Heading1"/>
        <w:pageBreakBefore/>
      </w:pPr>
      <w:bookmarkStart w:name="_Toc1" w:id="1"/>
      <w:r>
        <w:t xml:space="preserve">1. The big picture in one page</w:t>
      </w:r>
      <w:bookmarkEnd w:id="1"/>
    </w:p>
    <w:p>
      <w:pPr>
        <w:spacing w:after="140" w:line="300"/>
      </w:pPr>
      <w:r>
        <w:t xml:space="preserve">There are </w:t>
      </w:r>
      <w:r>
        <w:rPr>
          <w:b/>
          <w:bCs/>
        </w:rPr>
        <w:t xml:space="preserve">four different legal things</w:t>
      </w:r>
      <w:r>
        <w:t xml:space="preserve"> people often mix up. Each protects something different, is handled by a different government office, and has its own cost and timeline. Think of PayWatch as a 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2"/>
        <w:gridCol w:w="2835"/>
        <w:gridCol w:w="1701"/>
        <w:gridCol w:w="1890"/>
        <w:gridCol w:w="1700"/>
      </w:tblGrid>
      <w:tr>
        <w:trPr>
          <w:tblHeader/>
        </w:trPr>
        <w:tc>
          <w:tcPr>
            <w:tcW w:type="dxa" w:w="1512"/>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Thing</w:t>
            </w:r>
          </w:p>
        </w:tc>
        <w:tc>
          <w:tcPr>
            <w:tcW w:type="dxa" w:w="2835"/>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Simple meaning</w:t>
            </w:r>
          </w:p>
        </w:tc>
        <w:tc>
          <w:tcPr>
            <w:tcW w:type="dxa" w:w="1701"/>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House analogy</w:t>
            </w:r>
          </w:p>
        </w:tc>
        <w:tc>
          <w:tcPr>
            <w:tcW w:type="dxa" w:w="1890"/>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For PayWatch</w:t>
            </w:r>
          </w:p>
        </w:tc>
        <w:tc>
          <w:tcPr>
            <w:tcW w:type="dxa" w:w="1700"/>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Do we need it now?</w:t>
            </w:r>
          </w:p>
        </w:tc>
      </w:tr>
      <w:tr>
        <w:tc>
          <w:tcPr>
            <w:tcW w:type="dxa" w:w="151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Company (Pvt Ltd)</w:t>
            </w:r>
          </w:p>
        </w:tc>
        <w:tc>
          <w:tcPr>
            <w:tcW w:type="dxa" w:w="28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 separate legal "person" that owns the business, signs contracts and holds the bank account</w:t>
            </w:r>
          </w:p>
        </w:tc>
        <w:tc>
          <w:tcPr>
            <w:tcW w:type="dxa" w:w="170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 land and legal title of the house</w:t>
            </w:r>
          </w:p>
        </w:tc>
        <w:tc>
          <w:tcPr>
            <w:tcW w:type="dxa" w:w="189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PayWatch Private Limited</w:t>
            </w:r>
          </w:p>
        </w:tc>
        <w:tc>
          <w:tcPr>
            <w:tcW w:type="dxa" w:w="170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Yes, soon</w:t>
            </w:r>
            <w:r>
              <w:t xml:space="preserve"> — needed for partners, grants, investor money</w:t>
            </w:r>
          </w:p>
        </w:tc>
      </w:tr>
      <w:tr>
        <w:tc>
          <w:tcPr>
            <w:tcW w:type="dxa" w:w="151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Trademark</w:t>
            </w:r>
          </w:p>
        </w:tc>
        <w:tc>
          <w:tcPr>
            <w:tcW w:type="dxa" w:w="28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Protects your brand name or logo so nobody else can use a confusingly similar name in your field</w:t>
            </w:r>
          </w:p>
        </w:tc>
        <w:tc>
          <w:tcPr>
            <w:tcW w:type="dxa" w:w="170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 name plate on the gate</w:t>
            </w:r>
          </w:p>
        </w:tc>
        <w:tc>
          <w:tcPr>
            <w:tcW w:type="dxa" w:w="189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 word "PayWatch" (and later the logo)</w:t>
            </w:r>
          </w:p>
        </w:tc>
        <w:tc>
          <w:tcPr>
            <w:tcW w:type="dxa" w:w="170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Yes, now</w:t>
            </w:r>
            <w:r>
              <w:t xml:space="preserve"> — before you pitch publicly on Dec 13</w:t>
            </w:r>
          </w:p>
        </w:tc>
      </w:tr>
      <w:tr>
        <w:tc>
          <w:tcPr>
            <w:tcW w:type="dxa" w:w="151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Copyright</w:t>
            </w:r>
          </w:p>
        </w:tc>
        <w:tc>
          <w:tcPr>
            <w:tcW w:type="dxa" w:w="28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Protects original creative work: code, text, designs, videos</w:t>
            </w:r>
          </w:p>
        </w:tc>
        <w:tc>
          <w:tcPr>
            <w:tcW w:type="dxa" w:w="170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 paintings and furniture you made</w:t>
            </w:r>
          </w:p>
        </w:tc>
        <w:tc>
          <w:tcPr>
            <w:tcW w:type="dxa" w:w="189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Your source code, app screens, promo video, documents</w:t>
            </w:r>
          </w:p>
        </w:tc>
        <w:tc>
          <w:tcPr>
            <w:tcW w:type="dxa" w:w="170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Not urgent</w:t>
            </w:r>
            <w:r>
              <w:t xml:space="preserve"> — you already own it automatically</w:t>
            </w:r>
          </w:p>
        </w:tc>
      </w:tr>
      <w:tr>
        <w:tc>
          <w:tcPr>
            <w:tcW w:type="dxa" w:w="151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Patent</w:t>
            </w:r>
          </w:p>
        </w:tc>
        <w:tc>
          <w:tcPr>
            <w:tcW w:type="dxa" w:w="28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Protects a genuinely new technical invention for 20 years</w:t>
            </w:r>
          </w:p>
        </w:tc>
        <w:tc>
          <w:tcPr>
            <w:tcW w:type="dxa" w:w="170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 new kind of lock you invented</w:t>
            </w:r>
          </w:p>
        </w:tc>
        <w:tc>
          <w:tcPr>
            <w:tcW w:type="dxa" w:w="189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Probably nothing patentable today (see Section 5)</w:t>
            </w:r>
          </w:p>
        </w:tc>
        <w:tc>
          <w:tcPr>
            <w:tcW w:type="dxa" w:w="170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No</w:t>
            </w:r>
            <w:r>
              <w:t xml:space="preserve"> — skip for now</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6F2" w:color="auto" w:val="clear"/>
            <w:tcMar>
              <w:top w:type="dxa" w:w="140"/>
              <w:left w:type="dxa" w:w="200"/>
              <w:bottom w:type="dxa" w:w="140"/>
              <w:right w:type="dxa" w:w="200"/>
            </w:tcMar>
          </w:tcPr>
          <w:p>
            <w:pPr>
              <w:spacing w:after="80"/>
            </w:pPr>
            <w:r>
              <w:rPr>
                <w:b/>
                <w:bCs/>
                <w:color w:val="0B2F2A"/>
              </w:rPr>
              <w:t xml:space="preserve">The one-line summary</w:t>
            </w:r>
          </w:p>
          <w:p>
            <w:pPr>
              <w:spacing w:after="60" w:line="280"/>
            </w:pPr>
            <w:r>
              <w:t xml:space="preserve">File the </w:t>
            </w:r>
            <w:r>
              <w:rPr>
                <w:b/>
                <w:bCs/>
              </w:rPr>
              <w:t xml:space="preserve">trademark</w:t>
            </w:r>
            <w:r>
              <w:t xml:space="preserve"> now in your own name, </w:t>
            </w:r>
            <w:r>
              <w:rPr>
                <w:b/>
                <w:bCs/>
              </w:rPr>
              <w:t xml:space="preserve">incorporate</w:t>
            </w:r>
            <w:r>
              <w:t xml:space="preserve"> the company with a CA/CS over the next few weeks, and </w:t>
            </w:r>
            <w:r>
              <w:rPr>
                <w:b/>
                <w:bCs/>
              </w:rPr>
              <w:t xml:space="preserve">hold</w:t>
            </w:r>
            <w:r>
              <w:t xml:space="preserve"> copyright and patent for later.</w:t>
            </w:r>
          </w:p>
          <w:p>
            <w:pPr>
              <w:spacing w:after="60" w:line="280"/>
            </w:pPr>
            <w:r>
              <w:t xml:space="preserve">Lextria Research is an </w:t>
            </w:r>
            <w:r>
              <w:rPr>
                <w:b/>
                <w:bCs/>
              </w:rPr>
              <w:t xml:space="preserve">IP (intellectual property) firm</w:t>
            </w:r>
            <w:r>
              <w:t xml:space="preserve"> — trademarks, copyright, patents. Company registration is normally done by a </w:t>
            </w:r>
            <w:r>
              <w:rPr>
                <w:b/>
                <w:bCs/>
              </w:rPr>
              <w:t xml:space="preserve">Chartered Accountant (CA) or Company Secretary (CS)</w:t>
            </w:r>
            <w:r>
              <w:t xml:space="preserve">, which Lextria has not quoted for.</w:t>
            </w:r>
          </w:p>
        </w:tc>
      </w:tr>
    </w:tbl>
    <w:p>
      <w:pPr>
        <w:spacing w:after="140"/>
      </w:pPr>
    </w:p>
    <w:p>
      <w:pPr>
        <w:pStyle w:val="Heading1"/>
        <w:pageBreakBefore/>
      </w:pPr>
      <w:bookmarkStart w:name="_Toc2" w:id="2"/>
      <w:r>
        <w:t xml:space="preserve">2. Words you will keep hearing</w:t>
      </w:r>
      <w:bookmarkEnd w:id="2"/>
    </w:p>
    <w:p>
      <w:pPr>
        <w:spacing w:after="140" w:line="300"/>
      </w:pPr>
      <w:r>
        <w:t xml:space="preserve">Legal documents use a small set of words again and again. Learn these once and every document becomes much easier to 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Word</w:t>
            </w:r>
          </w:p>
        </w:tc>
        <w:tc>
          <w:tcPr>
            <w:tcW w:type="dxa" w:w="7132"/>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What it means in plain language</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Intellectual Property (IP)</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Things you create with your mind that the law lets you own: brand names (trademarks), creative work (copyright), inventions (patents), product shapes (designs).</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Applicant</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 person or company applying for the registration and who will </w:t>
            </w:r>
            <w:r>
              <w:rPr>
                <w:b/>
                <w:bCs/>
              </w:rPr>
              <w:t xml:space="preserve">own</w:t>
            </w:r>
            <w:r>
              <w:t xml:space="preserve"> it. Can be you (a natural person) or your company (a legal person).</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Author / Inventor / Creator</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 human who actually made the work or invention. Always a real person. The author can be different from the owner (applicant).</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Power of Attorney (POA)</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 signed letter that allows the lawyer to file and act </w:t>
            </w:r>
            <w:r>
              <w:rPr>
                <w:b/>
                <w:bCs/>
              </w:rPr>
              <w:t xml:space="preserve">on your behalf</w:t>
            </w:r>
            <w:r>
              <w:t xml:space="preserve"> with the government office. It should be limited to a specific application, and you can cancel it.</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NDA (Non-Disclosure Agreement)</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 contract promising to keep each other's secrets. "Mutual" means both sides promise.</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Indemnify / hold harmless</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 promise to </w:t>
            </w:r>
            <w:r>
              <w:rPr>
                <w:b/>
                <w:bCs/>
              </w:rPr>
              <w:t xml:space="preserve">pay for someone else's losses</w:t>
            </w:r>
            <w:r>
              <w:t xml:space="preserve"> if something you said or did causes them trouble. Always read indemnity clauses very carefully.</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Warranty / declaration</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 formal statement that something is true. If it turns out false, you can be held responsible.</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Arbitration</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 private way to settle a dispute outside court, decided by an arbitrator. Usually faster; the decision ("award") is binding.</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Jurisdiction / seat</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Which city's courts or arbitration handle a dispute. In the Lextria NDA it is Udupi, Karnataka.</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Class (trademark)</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Trademarks are registered for specific categories of goods/services, numbered 1 to 45. You pay per class.</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Word mark / device mark</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Word mark = the name in any font ("PayWatch"). Device mark = a specific logo design.</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 and ®</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 = "I claim this as my brand" (anyone can use it, even unregistered). ® = "this is a registered trademark" — </w:t>
            </w:r>
            <w:r>
              <w:rPr>
                <w:b/>
                <w:bCs/>
              </w:rPr>
              <w:t xml:space="preserve">only allowed after registration</w:t>
            </w:r>
            <w:r>
              <w:t xml:space="preserve">; misusing ® is an offence.</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Objection / examination report</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 government examiner's list of problems with your application. You reply in writing within the deadline.</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Opposition</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When a </w:t>
            </w:r>
            <w:r>
              <w:rPr>
                <w:b/>
                <w:bCs/>
              </w:rPr>
              <w:t xml:space="preserve">third party</w:t>
            </w:r>
            <w:r>
              <w:t xml:space="preserve"> (another company or person) formally objects to your trademark after it is published.</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Hearing</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 meeting (often online) where your lawyer argues your case before the officer.</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Priority date</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 date your application was filed. If two people claim the same thing, the earlier date generally wins.</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Diary number</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 tracking number the Copyright Office gives your application.</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Official fee / professional fee</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Official fee = paid to the government. Professional fee = paid to the lawyer for their work. Quotes usually show both.</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GST</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Goods and Services Tax — 18% is added on top of professional fees in most quotes.</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DPIIT recognition</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Free government "recognised startup" status (Startup India). Gives lower IP fees, tax benefits and access to some grant schemes. Only available to an incorporated entity.</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Udyam (MSME) registration</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Free registration as a micro/small/medium enterprise. Also unlocks lower fees.</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DSC / DIN</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Digital Signature Certificate (your electronic signature for government filings) / Director Identification Number.</w:t>
            </w:r>
          </w:p>
        </w:tc>
      </w:tr>
    </w:tbl>
    <w:p>
      <w:pPr>
        <w:spacing w:after="120"/>
      </w:pPr>
    </w:p>
    <w:p>
      <w:pPr>
        <w:pStyle w:val="Heading1"/>
        <w:pageBreakBefore/>
      </w:pPr>
      <w:bookmarkStart w:name="_Toc3" w:id="3"/>
      <w:r>
        <w:t xml:space="preserve">3. Trademark — protecting the name "PayWatch"</w:t>
      </w:r>
      <w:bookmarkEnd w:id="3"/>
    </w:p>
    <w:p>
      <w:pPr>
        <w:pStyle w:val="Heading2"/>
      </w:pPr>
      <w:bookmarkStart w:name="_Toc4" w:id="4"/>
      <w:r>
        <w:t xml:space="preserve">3.1 What a trademark is (and isn't)</w:t>
      </w:r>
      <w:bookmarkEnd w:id="4"/>
    </w:p>
    <w:p>
      <w:pPr>
        <w:spacing w:after="140" w:line="300"/>
      </w:pPr>
      <w:r>
        <w:t xml:space="preserve">A trademark is any sign — a word, logo, slogan, even a sound — that tells customers </w:t>
      </w:r>
      <w:r>
        <w:rPr>
          <w:b/>
          <w:bCs/>
        </w:rPr>
        <w:t xml:space="preserve">"this comes from PayWatch, not someone else."</w:t>
      </w:r>
      <w:r>
        <w:t xml:space="preserve"> Registering it gives you the legal right to stop others from using the same or a confusingly similar name </w:t>
      </w:r>
      <w:r>
        <w:rPr>
          <w:b/>
          <w:bCs/>
        </w:rPr>
        <w:t xml:space="preserve">for similar goods or services</w:t>
      </w:r>
      <w:r>
        <w:t xml:space="preserve">.</w:t>
      </w:r>
    </w:p>
    <w:p>
      <w:pPr>
        <w:pStyle w:val="ListParagraph"/>
        <w:numPr>
          <w:ilvl w:val="0"/>
          <w:numId w:val="2"/>
        </w:numPr>
        <w:spacing w:after="80" w:line="290"/>
      </w:pPr>
      <w:r>
        <w:rPr>
          <w:b/>
          <w:bCs/>
        </w:rPr>
        <w:t xml:space="preserve">It protects:</w:t>
      </w:r>
      <w:r>
        <w:t xml:space="preserve"> the name "PayWatch" for a personal-finance app and related services.</w:t>
      </w:r>
    </w:p>
    <w:p>
      <w:pPr>
        <w:pStyle w:val="ListParagraph"/>
        <w:numPr>
          <w:ilvl w:val="0"/>
          <w:numId w:val="2"/>
        </w:numPr>
        <w:spacing w:after="80" w:line="290"/>
      </w:pPr>
      <w:r>
        <w:rPr>
          <w:b/>
          <w:bCs/>
        </w:rPr>
        <w:t xml:space="preserve">It does NOT protect:</w:t>
      </w:r>
      <w:r>
        <w:t xml:space="preserve"> your idea, your features, or your code. Someone can build a similar app with a different name.</w:t>
      </w:r>
    </w:p>
    <w:p>
      <w:pPr>
        <w:pStyle w:val="ListParagraph"/>
        <w:numPr>
          <w:ilvl w:val="0"/>
          <w:numId w:val="2"/>
        </w:numPr>
        <w:spacing w:after="80" w:line="290"/>
      </w:pPr>
      <w:r>
        <w:rPr>
          <w:b/>
          <w:bCs/>
        </w:rPr>
        <w:t xml:space="preserve">It is territorial:</w:t>
      </w:r>
      <w:r>
        <w:t xml:space="preserve"> an Indian registration protects you in India only.</w:t>
      </w:r>
    </w:p>
    <w:p>
      <w:pPr>
        <w:pStyle w:val="ListParagraph"/>
        <w:numPr>
          <w:ilvl w:val="0"/>
          <w:numId w:val="2"/>
        </w:numPr>
        <w:spacing w:after="80" w:line="290"/>
      </w:pPr>
      <w:r>
        <w:rPr>
          <w:b/>
          <w:bCs/>
        </w:rPr>
        <w:t xml:space="preserve">It lasts 10 years</w:t>
      </w:r>
      <w:r>
        <w:t xml:space="preserve"> from the filing date and can be renewed every 10 years, forever, as long as you renew on time.</w:t>
      </w:r>
    </w:p>
    <w:p>
      <w:pPr>
        <w:pStyle w:val="Heading2"/>
      </w:pPr>
      <w:bookmarkStart w:name="_Toc5" w:id="5"/>
      <w:r>
        <w:t xml:space="preserve">3.2 Why file now</w:t>
      </w:r>
      <w:bookmarkEnd w:id="5"/>
    </w:p>
    <w:p>
      <w:pPr>
        <w:pStyle w:val="ListParagraph"/>
        <w:numPr>
          <w:ilvl w:val="0"/>
          <w:numId w:val="2"/>
        </w:numPr>
        <w:spacing w:after="80" w:line="290"/>
      </w:pPr>
      <w:r>
        <w:t xml:space="preserve">In India, rights generally go to whoever </w:t>
      </w:r>
      <w:r>
        <w:rPr>
          <w:b/>
          <w:bCs/>
        </w:rPr>
        <w:t xml:space="preserve">files first</w:t>
      </w:r>
      <w:r>
        <w:t xml:space="preserve"> or </w:t>
      </w:r>
      <w:r>
        <w:rPr>
          <w:b/>
          <w:bCs/>
        </w:rPr>
        <w:t xml:space="preserve">used it first</w:t>
      </w:r>
      <w:r>
        <w:t xml:space="preserve"> (with proof). The moment you pitch publicly on Dec 13, the name is out in the world.</w:t>
      </w:r>
    </w:p>
    <w:p>
      <w:pPr>
        <w:pStyle w:val="ListParagraph"/>
        <w:numPr>
          <w:ilvl w:val="0"/>
          <w:numId w:val="2"/>
        </w:numPr>
        <w:spacing w:after="80" w:line="290"/>
      </w:pPr>
      <w:r>
        <w:t xml:space="preserve">If someone else registers "PayWatch" first, you could be forced to </w:t>
      </w:r>
      <w:r>
        <w:rPr>
          <w:b/>
          <w:bCs/>
        </w:rPr>
        <w:t xml:space="preserve">rebrand</w:t>
      </w:r>
      <w:r>
        <w:t xml:space="preserve"> — new domain, new logo, new marketing. That is far more expensive than filing.</w:t>
      </w:r>
    </w:p>
    <w:p>
      <w:pPr>
        <w:pStyle w:val="ListParagraph"/>
        <w:numPr>
          <w:ilvl w:val="0"/>
          <w:numId w:val="2"/>
        </w:numPr>
        <w:spacing w:after="80" w:line="290"/>
      </w:pPr>
      <w:r>
        <w:t xml:space="preserve">Investors and partners often ask: "Do you own your brand?"</w:t>
      </w:r>
    </w:p>
    <w:p>
      <w:pPr>
        <w:pStyle w:val="Heading2"/>
      </w:pPr>
      <w:bookmarkStart w:name="_Toc6" w:id="6"/>
      <w:r>
        <w:t xml:space="preserve">3.3 Word mark vs logo</w:t>
      </w:r>
      <w:bookmarkEnd w:id="6"/>
    </w:p>
    <w:p>
      <w:pPr>
        <w:spacing w:after="140" w:line="300"/>
      </w:pPr>
      <w:r>
        <w:rPr>
          <w:b/>
          <w:bCs/>
        </w:rPr>
        <w:t xml:space="preserve">File the word mark first.</w:t>
      </w:r>
      <w:r>
        <w:t xml:space="preserve"> It protects "PayWatch" in any font, colour or style. A logo (device) mark only protects that specific design, and logos often change in a startup's early years. You can file the logo later as a separate application.</w:t>
      </w:r>
    </w:p>
    <w:p>
      <w:pPr>
        <w:pStyle w:val="Heading2"/>
      </w:pPr>
      <w:bookmarkStart w:name="_Toc7" w:id="7"/>
      <w:r>
        <w:t xml:space="preserve">3.4 Classes — what you are registering for</w:t>
      </w:r>
      <w:bookmarkEnd w:id="7"/>
    </w:p>
    <w:p>
      <w:pPr>
        <w:spacing w:after="140" w:line="300"/>
      </w:pPr>
      <w:r>
        <w:t xml:space="preserve">Every application names one or more classes. Each class is a separate fee. For a personal-finance app, the usual choices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241"/>
        <w:gridCol w:w="3855"/>
      </w:tblGrid>
      <w:tr>
        <w:trPr>
          <w:tblHeader/>
        </w:trPr>
        <w:tc>
          <w:tcPr>
            <w:tcW w:type="dxa" w:w="1542"/>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Class</w:t>
            </w:r>
          </w:p>
        </w:tc>
        <w:tc>
          <w:tcPr>
            <w:tcW w:type="dxa" w:w="4241"/>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What it covers</w:t>
            </w:r>
          </w:p>
        </w:tc>
        <w:tc>
          <w:tcPr>
            <w:tcW w:type="dxa" w:w="3855"/>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Why it fits PayWatch</w:t>
            </w:r>
          </w:p>
        </w:tc>
      </w:tr>
      <w:tr>
        <w:tc>
          <w:tcPr>
            <w:tcW w:type="dxa" w:w="154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Class 9</w:t>
            </w:r>
          </w:p>
        </w:tc>
        <w:tc>
          <w:tcPr>
            <w:tcW w:type="dxa" w:w="424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Software, downloadable mobile apps</w:t>
            </w:r>
          </w:p>
        </w:tc>
        <w:tc>
          <w:tcPr>
            <w:tcW w:type="dxa" w:w="385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 PayWatch app itself</w:t>
            </w:r>
          </w:p>
        </w:tc>
      </w:tr>
      <w:tr>
        <w:tc>
          <w:tcPr>
            <w:tcW w:type="dxa" w:w="154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Class 36</w:t>
            </w:r>
          </w:p>
        </w:tc>
        <w:tc>
          <w:tcPr>
            <w:tcW w:type="dxa" w:w="424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Financial services, money management, insurance and investment-related services</w:t>
            </w:r>
          </w:p>
        </w:tc>
        <w:tc>
          <w:tcPr>
            <w:tcW w:type="dxa" w:w="385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 core of what PayWatch does — most important class</w:t>
            </w:r>
          </w:p>
        </w:tc>
      </w:tr>
      <w:tr>
        <w:tc>
          <w:tcPr>
            <w:tcW w:type="dxa" w:w="154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Class 42</w:t>
            </w:r>
          </w:p>
        </w:tc>
        <w:tc>
          <w:tcPr>
            <w:tcW w:type="dxa" w:w="424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Software-as-a-service, online software platforms, IT services</w:t>
            </w:r>
          </w:p>
        </w:tc>
        <w:tc>
          <w:tcPr>
            <w:tcW w:type="dxa" w:w="385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PayWatch as a web platform (paywatch.in)</w:t>
            </w:r>
          </w:p>
        </w:tc>
      </w:tr>
      <w:tr>
        <w:tc>
          <w:tcPr>
            <w:tcW w:type="dxa" w:w="154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Class 35 (optional)</w:t>
            </w:r>
          </w:p>
        </w:tc>
        <w:tc>
          <w:tcPr>
            <w:tcW w:type="dxa" w:w="424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Business management, data analysis, advertising</w:t>
            </w:r>
          </w:p>
        </w:tc>
        <w:tc>
          <w:tcPr>
            <w:tcW w:type="dxa" w:w="385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Only if you later offer business/marketplace services</w:t>
            </w:r>
          </w:p>
        </w:tc>
      </w:tr>
    </w:tbl>
    <w:p>
      <w:pPr>
        <w:spacing w:after="120"/>
      </w:pPr>
    </w:p>
    <w:p>
      <w:pPr>
        <w:spacing w:after="140" w:line="300"/>
      </w:pPr>
      <w:r>
        <w:t xml:space="preserve">If budget is tight, </w:t>
      </w:r>
      <w:r>
        <w:rPr>
          <w:b/>
          <w:bCs/>
        </w:rPr>
        <w:t xml:space="preserve">Class 36</w:t>
      </w:r>
      <w:r>
        <w:t xml:space="preserve"> first, then 9 and 42. Ask the lawyer to confirm the exact wording of the goods/services description — that wording defines what you are protected for.</w:t>
      </w:r>
    </w:p>
    <w:p>
      <w:pPr>
        <w:pStyle w:val="Heading2"/>
      </w:pPr>
      <w:bookmarkStart w:name="_Toc8" w:id="8"/>
      <w:r>
        <w:t xml:space="preserve">3.5 Who should be the applicant: you or the company?</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891"/>
        <w:gridCol w:w="2507"/>
      </w:tblGrid>
      <w:tr>
        <w:trPr>
          <w:tblHeader/>
        </w:trPr>
        <w:tc>
          <w:tcPr>
            <w:tcW w:type="dxa" w:w="2120"/>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Option</w:t>
            </w:r>
          </w:p>
        </w:tc>
        <w:tc>
          <w:tcPr>
            <w:tcW w:type="dxa" w:w="2120"/>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Government fee per class</w:t>
            </w:r>
          </w:p>
        </w:tc>
        <w:tc>
          <w:tcPr>
            <w:tcW w:type="dxa" w:w="2891"/>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Pros</w:t>
            </w:r>
          </w:p>
        </w:tc>
        <w:tc>
          <w:tcPr>
            <w:tcW w:type="dxa" w:w="2507"/>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Cons</w:t>
            </w:r>
          </w:p>
        </w:tc>
      </w:tr>
      <w:tr>
        <w:tc>
          <w:tcPr>
            <w:tcW w:type="dxa" w:w="212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File in your own name now</w:t>
            </w:r>
          </w:p>
        </w:tc>
        <w:tc>
          <w:tcPr>
            <w:tcW w:type="dxa" w:w="212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₹4,500 (individual rate)</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Fastest — no need to wait for incorporation; lowest fee; protects the name before Dec 13</w:t>
            </w:r>
          </w:p>
        </w:tc>
        <w:tc>
          <w:tcPr>
            <w:tcW w:type="dxa" w:w="250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Later you transfer ("assign") it to the company — a small extra filing and fee</w:t>
            </w:r>
          </w:p>
        </w:tc>
      </w:tr>
      <w:tr>
        <w:tc>
          <w:tcPr>
            <w:tcW w:type="dxa" w:w="212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File as the company later</w:t>
            </w:r>
          </w:p>
        </w:tc>
        <w:tc>
          <w:tcPr>
            <w:tcW w:type="dxa" w:w="212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₹4,500 only if DPIIT-recognised or Udyam-registered; otherwise </w:t>
            </w:r>
            <w:r>
              <w:rPr>
                <w:b/>
                <w:bCs/>
              </w:rPr>
              <w:t xml:space="preserve">₹9,000</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Company owns it from day one</w:t>
            </w:r>
          </w:p>
        </w:tc>
        <w:tc>
          <w:tcPr>
            <w:tcW w:type="dxa" w:w="250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Must wait until incorporation + recognition; name stays unprotected meanwhile</w:t>
            </w:r>
          </w:p>
        </w:tc>
      </w:tr>
    </w:tbl>
    <w:p>
      <w:pPr>
        <w:spacing w:after="120"/>
      </w:pPr>
    </w:p>
    <w:p>
      <w:pPr>
        <w:spacing w:after="140" w:line="300"/>
      </w:pPr>
      <w:r>
        <w:rPr>
          <w:b/>
          <w:bCs/>
        </w:rPr>
        <w:t xml:space="preserve">Recommended:</w:t>
      </w:r>
      <w:r>
        <w:t xml:space="preserve"> file now in your own name, and assign it to PayWatch Pvt Ltd once the company exists. Investors will want the trademark owned by the company before they invest, so do the assignment soon after incorporation.</w:t>
      </w:r>
    </w:p>
    <w:p>
      <w:pPr>
        <w:pStyle w:val="Heading2"/>
      </w:pPr>
      <w:bookmarkStart w:name="_Toc9" w:id="9"/>
      <w:r>
        <w:t xml:space="preserve">3.6 The step-by-step process</w:t>
      </w:r>
      <w:bookmarkEnd w:id="9"/>
    </w:p>
    <w:p>
      <w:pPr>
        <w:pStyle w:val="ListParagraph"/>
        <w:numPr>
          <w:ilvl w:val="0"/>
          <w:numId w:val="3"/>
        </w:numPr>
        <w:spacing w:after="80" w:line="290"/>
      </w:pPr>
      <w:r>
        <w:rPr>
          <w:b/>
          <w:bCs/>
        </w:rPr>
        <w:t xml:space="preserve">Search</w:t>
      </w:r>
      <w:r>
        <w:t xml:space="preserve"> — check that no identical or similar mark already exists in your classes. You can do a free check yourself on the IP India public search; a lawyer's search report is more thorough.</w:t>
      </w:r>
    </w:p>
    <w:p>
      <w:pPr>
        <w:pStyle w:val="ListParagraph"/>
        <w:numPr>
          <w:ilvl w:val="0"/>
          <w:numId w:val="3"/>
        </w:numPr>
        <w:spacing w:after="80" w:line="290"/>
      </w:pPr>
      <w:r>
        <w:rPr>
          <w:b/>
          <w:bCs/>
        </w:rPr>
        <w:t xml:space="preserve">Prepare</w:t>
      </w:r>
      <w:r>
        <w:t xml:space="preserve"> — decide classes and descriptions, sign the POA (and a user affidavit if you claim earlier use).</w:t>
      </w:r>
    </w:p>
    <w:p>
      <w:pPr>
        <w:pStyle w:val="ListParagraph"/>
        <w:numPr>
          <w:ilvl w:val="0"/>
          <w:numId w:val="3"/>
        </w:numPr>
        <w:spacing w:after="80" w:line="290"/>
      </w:pPr>
      <w:r>
        <w:rPr>
          <w:b/>
          <w:bCs/>
        </w:rPr>
        <w:t xml:space="preserve">File (Form TM-A)</w:t>
      </w:r>
      <w:r>
        <w:t xml:space="preserve"> — you receive an </w:t>
      </w:r>
      <w:r>
        <w:rPr>
          <w:b/>
          <w:bCs/>
        </w:rPr>
        <w:t xml:space="preserve">application number</w:t>
      </w:r>
      <w:r>
        <w:t xml:space="preserve"> the same day. From now on you may use </w:t>
      </w:r>
      <w:r>
        <w:rPr>
          <w:b/>
          <w:bCs/>
        </w:rPr>
        <w:t xml:space="preserve">™</w:t>
      </w:r>
      <w:r>
        <w:t xml:space="preserve"> next to PayWatch.</w:t>
      </w:r>
    </w:p>
    <w:p>
      <w:pPr>
        <w:pStyle w:val="ListParagraph"/>
        <w:numPr>
          <w:ilvl w:val="0"/>
          <w:numId w:val="3"/>
        </w:numPr>
        <w:spacing w:after="80" w:line="290"/>
      </w:pPr>
      <w:r>
        <w:rPr>
          <w:b/>
          <w:bCs/>
        </w:rPr>
        <w:t xml:space="preserve">Examination</w:t>
      </w:r>
      <w:r>
        <w:t xml:space="preserve"> — an examiner checks the application (often several months later).</w:t>
      </w:r>
    </w:p>
    <w:p>
      <w:pPr>
        <w:pStyle w:val="ListParagraph"/>
        <w:numPr>
          <w:ilvl w:val="0"/>
          <w:numId w:val="3"/>
        </w:numPr>
        <w:spacing w:after="80" w:line="290"/>
      </w:pPr>
      <w:r>
        <w:rPr>
          <w:b/>
          <w:bCs/>
        </w:rPr>
        <w:t xml:space="preserve">Objection (maybe)</w:t>
      </w:r>
      <w:r>
        <w:t xml:space="preserve"> — if the examiner sees a problem (similar mark, or the name seems too descriptive — "Pay" is a common word in finance), you get an examination report. Your lawyer replies in writing within </w:t>
      </w:r>
      <w:r>
        <w:rPr>
          <w:b/>
          <w:bCs/>
        </w:rPr>
        <w:t xml:space="preserve">1 month</w:t>
      </w:r>
      <w:r>
        <w:t xml:space="preserve">.</w:t>
      </w:r>
    </w:p>
    <w:p>
      <w:pPr>
        <w:pStyle w:val="ListParagraph"/>
        <w:numPr>
          <w:ilvl w:val="0"/>
          <w:numId w:val="3"/>
        </w:numPr>
        <w:spacing w:after="80" w:line="290"/>
      </w:pPr>
      <w:r>
        <w:rPr>
          <w:b/>
          <w:bCs/>
        </w:rPr>
        <w:t xml:space="preserve">Hearing (maybe)</w:t>
      </w:r>
      <w:r>
        <w:t xml:space="preserve"> — if the reply is not accepted, a hearing is scheduled where your lawyer argues.</w:t>
      </w:r>
    </w:p>
    <w:p>
      <w:pPr>
        <w:pStyle w:val="ListParagraph"/>
        <w:numPr>
          <w:ilvl w:val="0"/>
          <w:numId w:val="3"/>
        </w:numPr>
        <w:spacing w:after="80" w:line="290"/>
      </w:pPr>
      <w:r>
        <w:rPr>
          <w:b/>
          <w:bCs/>
        </w:rPr>
        <w:t xml:space="preserve">Acceptance and advertisement</w:t>
      </w:r>
      <w:r>
        <w:t xml:space="preserve"> — the mark is published in the </w:t>
      </w:r>
      <w:r>
        <w:rPr>
          <w:b/>
          <w:bCs/>
        </w:rPr>
        <w:t xml:space="preserve">Trade Marks Journal</w:t>
      </w:r>
      <w:r>
        <w:t xml:space="preserve">.</w:t>
      </w:r>
    </w:p>
    <w:p>
      <w:pPr>
        <w:pStyle w:val="ListParagraph"/>
        <w:numPr>
          <w:ilvl w:val="0"/>
          <w:numId w:val="3"/>
        </w:numPr>
        <w:spacing w:after="80" w:line="290"/>
      </w:pPr>
      <w:r>
        <w:rPr>
          <w:b/>
          <w:bCs/>
        </w:rPr>
        <w:t xml:space="preserve">Opposition window (4 months)</w:t>
      </w:r>
      <w:r>
        <w:t xml:space="preserve"> — anyone may oppose. If nobody does, you move on. If someone does, a longer contested process starts.</w:t>
      </w:r>
    </w:p>
    <w:p>
      <w:pPr>
        <w:pStyle w:val="ListParagraph"/>
        <w:numPr>
          <w:ilvl w:val="0"/>
          <w:numId w:val="3"/>
        </w:numPr>
        <w:spacing w:after="80" w:line="290"/>
      </w:pPr>
      <w:r>
        <w:rPr>
          <w:b/>
          <w:bCs/>
        </w:rPr>
        <w:t xml:space="preserve">Registration</w:t>
      </w:r>
      <w:r>
        <w:t xml:space="preserve"> — you receive the registration certificate and may now use </w:t>
      </w:r>
      <w:r>
        <w:rPr>
          <w:b/>
          <w:bCs/>
        </w:rPr>
        <w:t xml:space="preserve">®</w:t>
      </w:r>
      <w:r>
        <w:t xml:space="preserve">. Protection counts from the filing date.</w:t>
      </w:r>
    </w:p>
    <w:p>
      <w:pPr>
        <w:pStyle w:val="ListParagraph"/>
        <w:numPr>
          <w:ilvl w:val="0"/>
          <w:numId w:val="3"/>
        </w:numPr>
        <w:spacing w:after="80" w:line="290"/>
      </w:pPr>
      <w:r>
        <w:rPr>
          <w:b/>
          <w:bCs/>
        </w:rPr>
        <w:t xml:space="preserve">Renewal</w:t>
      </w:r>
      <w:r>
        <w:t xml:space="preserve"> — every 10 years.</w:t>
      </w:r>
    </w:p>
    <w:p>
      <w:pPr>
        <w:spacing w:after="140" w:line="300"/>
      </w:pPr>
      <w:r>
        <w:rPr>
          <w:b/>
          <w:bCs/>
        </w:rPr>
        <w:t xml:space="preserve">How long?</w:t>
      </w:r>
      <w:r>
        <w:t xml:space="preserve"> Unopposed applications commonly take many months to a couple of years. You are protected from the </w:t>
      </w:r>
      <w:r>
        <w:rPr>
          <w:b/>
          <w:bCs/>
        </w:rPr>
        <w:t xml:space="preserve">filing date</w:t>
      </w:r>
      <w:r>
        <w:t xml:space="preserve"> while you wait, which is why filing early matters.</w:t>
      </w:r>
    </w:p>
    <w:p>
      <w:pPr>
        <w:pStyle w:val="Heading2"/>
      </w:pPr>
      <w:bookmarkStart w:name="_Toc10" w:id="10"/>
      <w:r>
        <w:t xml:space="preserve">3.7 "Proposed to be used" vs claiming earlier use</w:t>
      </w:r>
      <w:bookmarkEnd w:id="10"/>
    </w:p>
    <w:p>
      <w:pPr>
        <w:spacing w:after="140" w:line="300"/>
      </w:pPr>
      <w:r>
        <w:t xml:space="preserve">When filing, you either say the mark is </w:t>
      </w:r>
      <w:r>
        <w:rPr>
          <w:b/>
          <w:bCs/>
        </w:rPr>
        <w:t xml:space="preserve">"proposed to be used"</w:t>
      </w:r>
      <w:r>
        <w:t xml:space="preserve"> (no proof needed) or claim a date since when you have </w:t>
      </w:r>
      <w:r>
        <w:rPr>
          <w:b/>
          <w:bCs/>
        </w:rPr>
        <w:t xml:space="preserve">used</w:t>
      </w:r>
      <w:r>
        <w:t xml:space="preserve"> it. Claiming earlier use can strengthen your position against later copycats, but needs a </w:t>
      </w:r>
      <w:r>
        <w:rPr>
          <w:b/>
          <w:bCs/>
        </w:rPr>
        <w:t xml:space="preserve">user affidavit</w:t>
      </w:r>
      <w:r>
        <w:t xml:space="preserve"> with evidence (dated website screenshots, invoices, posts) — Lextria charges ₹5,000 extra for this. Since paywatch.in is already live, ask Lextria which is better for you.</w:t>
      </w:r>
    </w:p>
    <w:p>
      <w:pPr>
        <w:pStyle w:val="Heading2"/>
      </w:pPr>
      <w:bookmarkStart w:name="_Toc11" w:id="11"/>
      <w:r>
        <w:t xml:space="preserve">3.8 Do's and don'ts</w:t>
      </w:r>
      <w:bookmarkEnd w:id="11"/>
    </w:p>
    <w:p>
      <w:pPr>
        <w:pStyle w:val="ListParagraph"/>
        <w:numPr>
          <w:ilvl w:val="0"/>
          <w:numId w:val="2"/>
        </w:numPr>
        <w:spacing w:after="80" w:line="290"/>
      </w:pPr>
      <w:r>
        <w:rPr>
          <w:b/>
          <w:bCs/>
        </w:rPr>
        <w:t xml:space="preserve">Do</w:t>
      </w:r>
      <w:r>
        <w:t xml:space="preserve"> keep dated proof of every use of the name (screenshots of paywatch.in, posts, decks, emails).</w:t>
      </w:r>
    </w:p>
    <w:p>
      <w:pPr>
        <w:pStyle w:val="ListParagraph"/>
        <w:numPr>
          <w:ilvl w:val="0"/>
          <w:numId w:val="2"/>
        </w:numPr>
        <w:spacing w:after="80" w:line="290"/>
      </w:pPr>
      <w:r>
        <w:rPr>
          <w:b/>
          <w:bCs/>
        </w:rPr>
        <w:t xml:space="preserve">Do</w:t>
      </w:r>
      <w:r>
        <w:t xml:space="preserve"> check your application status yourself on the IP India portal using the application number — never rely only on what anyone tells you.</w:t>
      </w:r>
    </w:p>
    <w:p>
      <w:pPr>
        <w:pStyle w:val="ListParagraph"/>
        <w:numPr>
          <w:ilvl w:val="0"/>
          <w:numId w:val="2"/>
        </w:numPr>
        <w:spacing w:after="80" w:line="290"/>
      </w:pPr>
      <w:r>
        <w:rPr>
          <w:b/>
          <w:bCs/>
        </w:rPr>
        <w:t xml:space="preserve">Do</w:t>
      </w:r>
      <w:r>
        <w:t xml:space="preserve"> reply to every objection before the deadline; missing one can mean the application is treated as abandoned.</w:t>
      </w:r>
    </w:p>
    <w:p>
      <w:pPr>
        <w:pStyle w:val="ListParagraph"/>
        <w:numPr>
          <w:ilvl w:val="0"/>
          <w:numId w:val="2"/>
        </w:numPr>
        <w:spacing w:after="80" w:line="290"/>
      </w:pPr>
      <w:r>
        <w:rPr>
          <w:b/>
          <w:bCs/>
        </w:rPr>
        <w:t xml:space="preserve">Don't</w:t>
      </w:r>
      <w:r>
        <w:t xml:space="preserve"> use ® until the registration certificate is issued.</w:t>
      </w:r>
    </w:p>
    <w:p>
      <w:pPr>
        <w:pStyle w:val="ListParagraph"/>
        <w:numPr>
          <w:ilvl w:val="0"/>
          <w:numId w:val="2"/>
        </w:numPr>
        <w:spacing w:after="80" w:line="290"/>
      </w:pPr>
      <w:r>
        <w:rPr>
          <w:b/>
          <w:bCs/>
        </w:rPr>
        <w:t xml:space="preserve">Don't</w:t>
      </w:r>
      <w:r>
        <w:t xml:space="preserve"> change the spelling of the name across documents — "PayWatch" everywhere.</w:t>
      </w:r>
    </w:p>
    <w:p>
      <w:pPr>
        <w:pStyle w:val="Heading1"/>
        <w:pageBreakBefore/>
      </w:pPr>
      <w:bookmarkStart w:name="_Toc12" w:id="12"/>
      <w:r>
        <w:t xml:space="preserve">4. Copyright — protecting your code, designs and content</w:t>
      </w:r>
      <w:bookmarkEnd w:id="12"/>
    </w:p>
    <w:p>
      <w:pPr>
        <w:pStyle w:val="Heading2"/>
      </w:pPr>
      <w:bookmarkStart w:name="_Toc13" w:id="13"/>
      <w:r>
        <w:t xml:space="preserve">4.1 What copyright is</w:t>
      </w:r>
      <w:bookmarkEnd w:id="13"/>
    </w:p>
    <w:p>
      <w:pPr>
        <w:spacing w:after="140" w:line="300"/>
      </w:pPr>
      <w:r>
        <w:t xml:space="preserve">Copyright protects the </w:t>
      </w:r>
      <w:r>
        <w:rPr>
          <w:b/>
          <w:bCs/>
        </w:rPr>
        <w:t xml:space="preserve">original expression</w:t>
      </w:r>
      <w:r>
        <w:t xml:space="preserve"> of an idea — the actual code you wrote, the text, images, video and designs — not the idea itself. It exists </w:t>
      </w:r>
      <w:r>
        <w:rPr>
          <w:b/>
          <w:bCs/>
        </w:rPr>
        <w:t xml:space="preserve">automatically</w:t>
      </w:r>
      <w:r>
        <w:t xml:space="preserve"> the moment you create the work. </w:t>
      </w:r>
      <w:r>
        <w:rPr>
          <w:b/>
          <w:bCs/>
        </w:rPr>
        <w:t xml:space="preserve">Registration is optional</w:t>
      </w:r>
      <w:r>
        <w:t xml:space="preserve">; it is mainly strong evidence of ownership and date if there is ever a dispute.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Type of work</w:t>
            </w:r>
          </w:p>
        </w:tc>
        <w:tc>
          <w:tcPr>
            <w:tcW w:type="dxa" w:w="5783"/>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PayWatch example</w:t>
            </w:r>
          </w:p>
        </w:tc>
      </w:tr>
      <w:tr>
        <w:tc>
          <w:tcPr>
            <w:tcW w:type="dxa" w:w="385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Literary work (includes software)</w:t>
            </w:r>
          </w:p>
        </w:tc>
        <w:tc>
          <w:tcPr>
            <w:tcW w:type="dxa" w:w="5783"/>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Source code, app text, pitch decks, guides</w:t>
            </w:r>
          </w:p>
        </w:tc>
      </w:tr>
      <w:tr>
        <w:tc>
          <w:tcPr>
            <w:tcW w:type="dxa" w:w="385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Artistic work</w:t>
            </w:r>
          </w:p>
        </w:tc>
        <w:tc>
          <w:tcPr>
            <w:tcW w:type="dxa" w:w="5783"/>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Logo artwork, illustrations, posters</w:t>
            </w:r>
          </w:p>
        </w:tc>
      </w:tr>
      <w:tr>
        <w:tc>
          <w:tcPr>
            <w:tcW w:type="dxa" w:w="385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Cinematographic work</w:t>
            </w:r>
          </w:p>
        </w:tc>
        <w:tc>
          <w:tcPr>
            <w:tcW w:type="dxa" w:w="5783"/>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 promo video</w:t>
            </w:r>
          </w:p>
        </w:tc>
      </w:tr>
      <w:tr>
        <w:tc>
          <w:tcPr>
            <w:tcW w:type="dxa" w:w="385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Sound recording</w:t>
            </w:r>
          </w:p>
        </w:tc>
        <w:tc>
          <w:tcPr>
            <w:tcW w:type="dxa" w:w="5783"/>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Voice-overs, jingles</w:t>
            </w:r>
          </w:p>
        </w:tc>
      </w:tr>
    </w:tbl>
    <w:p>
      <w:pPr>
        <w:spacing w:after="120"/>
      </w:pPr>
    </w:p>
    <w:p>
      <w:pPr>
        <w:spacing w:after="140" w:line="300"/>
      </w:pPr>
      <w:r>
        <w:t xml:space="preserve">For a work by an individual author, copyright generally lasts for the author's </w:t>
      </w:r>
      <w:r>
        <w:rPr>
          <w:b/>
          <w:bCs/>
        </w:rPr>
        <w:t xml:space="preserve">lifetime plus 60 years</w:t>
      </w:r>
      <w:r>
        <w:t xml:space="preserve">.</w:t>
      </w:r>
    </w:p>
    <w:p>
      <w:pPr>
        <w:pStyle w:val="Heading2"/>
      </w:pPr>
      <w:bookmarkStart w:name="_Toc14" w:id="14"/>
      <w:r>
        <w:t xml:space="preserve">4.2 The registration process</w:t>
      </w:r>
      <w:bookmarkEnd w:id="14"/>
    </w:p>
    <w:p>
      <w:pPr>
        <w:pStyle w:val="ListParagraph"/>
        <w:numPr>
          <w:ilvl w:val="0"/>
          <w:numId w:val="4"/>
        </w:numPr>
        <w:spacing w:after="80" w:line="290"/>
      </w:pPr>
      <w:r>
        <w:t xml:space="preserve">Fill the disclosure form and share the final work (for software: the first 10 and last 10 pages of source code as a PDF).</w:t>
      </w:r>
    </w:p>
    <w:p>
      <w:pPr>
        <w:pStyle w:val="ListParagraph"/>
        <w:numPr>
          <w:ilvl w:val="0"/>
          <w:numId w:val="4"/>
        </w:numPr>
        <w:spacing w:after="80" w:line="290"/>
      </w:pPr>
      <w:r>
        <w:t xml:space="preserve">Sign the Power of Attorney.</w:t>
      </w:r>
    </w:p>
    <w:p>
      <w:pPr>
        <w:pStyle w:val="ListParagraph"/>
        <w:numPr>
          <w:ilvl w:val="0"/>
          <w:numId w:val="4"/>
        </w:numPr>
        <w:spacing w:after="80" w:line="290"/>
      </w:pPr>
      <w:r>
        <w:t xml:space="preserve">The application is filed and you receive a </w:t>
      </w:r>
      <w:r>
        <w:rPr>
          <w:b/>
          <w:bCs/>
        </w:rPr>
        <w:t xml:space="preserve">diary number</w:t>
      </w:r>
      <w:r>
        <w:t xml:space="preserve">.</w:t>
      </w:r>
    </w:p>
    <w:p>
      <w:pPr>
        <w:pStyle w:val="ListParagraph"/>
        <w:numPr>
          <w:ilvl w:val="0"/>
          <w:numId w:val="4"/>
        </w:numPr>
        <w:spacing w:after="80" w:line="290"/>
      </w:pPr>
      <w:r>
        <w:t xml:space="preserve">A </w:t>
      </w:r>
      <w:r>
        <w:rPr>
          <w:b/>
          <w:bCs/>
        </w:rPr>
        <w:t xml:space="preserve">30-day waiting period</w:t>
      </w:r>
      <w:r>
        <w:t xml:space="preserve"> follows, during which anyone can object.</w:t>
      </w:r>
    </w:p>
    <w:p>
      <w:pPr>
        <w:pStyle w:val="ListParagraph"/>
        <w:numPr>
          <w:ilvl w:val="0"/>
          <w:numId w:val="4"/>
        </w:numPr>
        <w:spacing w:after="80" w:line="290"/>
      </w:pPr>
      <w:r>
        <w:t xml:space="preserve">Examination — if the examiner finds a "discrepancy", you reply; a hearing may follow.</w:t>
      </w:r>
    </w:p>
    <w:p>
      <w:pPr>
        <w:pStyle w:val="ListParagraph"/>
        <w:numPr>
          <w:ilvl w:val="0"/>
          <w:numId w:val="4"/>
        </w:numPr>
        <w:spacing w:after="80" w:line="290"/>
      </w:pPr>
      <w:r>
        <w:t xml:space="preserve">Registration certificate. Lextria estimates about </w:t>
      </w:r>
      <w:r>
        <w:rPr>
          <w:b/>
          <w:bCs/>
        </w:rPr>
        <w:t xml:space="preserve">3–6 months</w:t>
      </w:r>
      <w:r>
        <w:t xml:space="preserve"> in total.</w:t>
      </w:r>
    </w:p>
    <w:p>
      <w:pPr>
        <w:pStyle w:val="Heading2"/>
      </w:pPr>
      <w:bookmarkStart w:name="_Toc15" w:id="15"/>
      <w:r>
        <w:t xml:space="preserve">4.3 The logo trap</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FF4E0" w:color="auto" w:val="clear"/>
            <w:tcMar>
              <w:top w:type="dxa" w:w="140"/>
              <w:left w:type="dxa" w:w="200"/>
              <w:bottom w:type="dxa" w:w="140"/>
              <w:right w:type="dxa" w:w="200"/>
            </w:tcMar>
          </w:tcPr>
          <w:p>
            <w:pPr>
              <w:spacing w:after="80"/>
            </w:pPr>
            <w:r>
              <w:rPr>
                <w:b/>
                <w:bCs/>
                <w:color w:val="0B2F2A"/>
              </w:rPr>
              <w:t xml:space="preserve">Logo as copyright + brand = extra step</w:t>
            </w:r>
          </w:p>
          <w:p>
            <w:pPr>
              <w:spacing w:after="60" w:line="280"/>
            </w:pPr>
            <w:r>
              <w:t xml:space="preserve">If you register an </w:t>
            </w:r>
            <w:r>
              <w:rPr>
                <w:b/>
                <w:bCs/>
              </w:rPr>
              <w:t xml:space="preserve">artistic work (like your logo)</w:t>
            </w:r>
            <w:r>
              <w:t xml:space="preserve"> as copyright and it can be used as a </w:t>
            </w:r>
            <w:r>
              <w:rPr>
                <w:b/>
                <w:bCs/>
              </w:rPr>
              <w:t xml:space="preserve">brand for goods or services</w:t>
            </w:r>
            <w:r>
              <w:t xml:space="preserve">, Indian law requires a certificate from the </w:t>
            </w:r>
            <w:r>
              <w:rPr>
                <w:b/>
                <w:bCs/>
              </w:rPr>
              <w:t xml:space="preserve">Trade Marks Registry</w:t>
            </w:r>
            <w:r>
              <w:t xml:space="preserve"> confirming no similar mark is registered or pending. This adds time and cost.</w:t>
            </w:r>
          </w:p>
          <w:p>
            <w:pPr>
              <w:spacing w:after="60" w:line="280"/>
            </w:pPr>
            <w:r>
              <w:t xml:space="preserve">That is why Lextria's email asks "whether you intend to use the work in relation to goods and services". For PayWatch, the honest answer is </w:t>
            </w:r>
            <w:r>
              <w:rPr>
                <w:b/>
                <w:bCs/>
              </w:rPr>
              <w:t xml:space="preserve">yes</w:t>
            </w:r>
            <w:r>
              <w:t xml:space="preserve"> — so the logo is better protected first as a </w:t>
            </w:r>
            <w:r>
              <w:rPr>
                <w:b/>
                <w:bCs/>
              </w:rPr>
              <w:t xml:space="preserve">trademark</w:t>
            </w:r>
            <w:r>
              <w:t xml:space="preserve">.</w:t>
            </w:r>
          </w:p>
        </w:tc>
      </w:tr>
    </w:tbl>
    <w:p>
      <w:pPr>
        <w:spacing w:after="140"/>
      </w:pPr>
    </w:p>
    <w:p>
      <w:pPr>
        <w:pStyle w:val="Heading2"/>
      </w:pPr>
      <w:bookmarkStart w:name="_Toc16" w:id="16"/>
      <w:r>
        <w:t xml:space="preserve">4.4 AI-assisted work — read this carefully</w:t>
      </w:r>
      <w:bookmarkEnd w:id="16"/>
    </w:p>
    <w:p>
      <w:pPr>
        <w:spacing w:after="140" w:line="300"/>
      </w:pPr>
      <w:r>
        <w:t xml:space="preserve">Indian copyright law only recognises </w:t>
      </w:r>
      <w:r>
        <w:rPr>
          <w:b/>
          <w:bCs/>
        </w:rPr>
        <w:t xml:space="preserve">human authors</w:t>
      </w:r>
      <w:r>
        <w:t xml:space="preserve">. In August 2026, the Copyright Office refused to list an AI system as an author, while treating the person behind it as the author. The office has also started asking applicants of </w:t>
      </w:r>
      <w:r>
        <w:rPr>
          <w:b/>
          <w:bCs/>
        </w:rPr>
        <w:t xml:space="preserve">AI-assisted works</w:t>
      </w:r>
      <w:r>
        <w:t xml:space="preserve"> to show </w:t>
      </w:r>
      <w:r>
        <w:rPr>
          <w:b/>
          <w:bCs/>
        </w:rPr>
        <w:t xml:space="preserve">substantial human creative direction, selection and arrangement</w:t>
      </w:r>
      <w:r>
        <w:t xml:space="preserve">.</w:t>
      </w:r>
    </w:p>
    <w:p>
      <w:pPr>
        <w:pStyle w:val="ListParagraph"/>
        <w:numPr>
          <w:ilvl w:val="0"/>
          <w:numId w:val="2"/>
        </w:numPr>
        <w:spacing w:after="80" w:line="290"/>
      </w:pPr>
      <w:r>
        <w:t xml:space="preserve">Large parts of PayWatch's code and some designs were created </w:t>
      </w:r>
      <w:r>
        <w:rPr>
          <w:b/>
          <w:bCs/>
        </w:rPr>
        <w:t xml:space="preserve">with AI assistance</w:t>
      </w:r>
      <w:r>
        <w:t xml:space="preserve">. You must say so honestly on the AI declaration.</w:t>
      </w:r>
    </w:p>
    <w:p>
      <w:pPr>
        <w:pStyle w:val="ListParagraph"/>
        <w:numPr>
          <w:ilvl w:val="0"/>
          <w:numId w:val="2"/>
        </w:numPr>
        <w:spacing w:after="80" w:line="290"/>
      </w:pPr>
      <w:r>
        <w:t xml:space="preserve">Registering AI-assisted software today may draw objections or give weaker protection. You still own your code and can protect it through </w:t>
      </w:r>
      <w:r>
        <w:rPr>
          <w:b/>
          <w:bCs/>
        </w:rPr>
        <w:t xml:space="preserve">confidentiality</w:t>
      </w:r>
      <w:r>
        <w:t xml:space="preserve"> (NDAs, private repositories) and contracts.</w:t>
      </w:r>
    </w:p>
    <w:p>
      <w:pPr>
        <w:pStyle w:val="ListParagraph"/>
        <w:numPr>
          <w:ilvl w:val="0"/>
          <w:numId w:val="2"/>
        </w:numPr>
        <w:spacing w:after="80" w:line="290"/>
      </w:pPr>
      <w:r>
        <w:rPr>
          <w:b/>
          <w:bCs/>
        </w:rPr>
        <w:t xml:space="preserve">Recommendation:</w:t>
      </w:r>
      <w:r>
        <w:t xml:space="preserve"> do not register software copyright now. Revisit once the law is clearer and you can document your human creative role (architecture decisions, design choices, edits).</w:t>
      </w:r>
    </w:p>
    <w:p>
      <w:pPr>
        <w:pStyle w:val="Heading1"/>
        <w:pageBreakBefore/>
      </w:pPr>
      <w:bookmarkStart w:name="_Toc17" w:id="17"/>
      <w:r>
        <w:t xml:space="preserve">5. Patents — why we are skipping them for now</w:t>
      </w:r>
      <w:bookmarkEnd w:id="17"/>
    </w:p>
    <w:p>
      <w:pPr>
        <w:spacing w:after="140" w:line="300"/>
      </w:pPr>
      <w:r>
        <w:t xml:space="preserve">A patent protects a </w:t>
      </w:r>
      <w:r>
        <w:rPr>
          <w:b/>
          <w:bCs/>
        </w:rPr>
        <w:t xml:space="preserve">new technical invention</w:t>
      </w:r>
      <w:r>
        <w:t xml:space="preserve"> for 20 years. To qualify, it must be </w:t>
      </w:r>
      <w:r>
        <w:rPr>
          <w:b/>
          <w:bCs/>
        </w:rPr>
        <w:t xml:space="preserve">new</w:t>
      </w:r>
      <w:r>
        <w:t xml:space="preserve"> (never disclosed anywhere), involve an </w:t>
      </w:r>
      <w:r>
        <w:rPr>
          <w:b/>
          <w:bCs/>
        </w:rPr>
        <w:t xml:space="preserve">inventive step</w:t>
      </w:r>
      <w:r>
        <w:t xml:space="preserve"> (not obvious to an expert), and be </w:t>
      </w:r>
      <w:r>
        <w:rPr>
          <w:b/>
          <w:bCs/>
        </w:rPr>
        <w:t xml:space="preserve">useful in industry</w:t>
      </w:r>
      <w:r>
        <w:t xml:space="preserve">.</w:t>
      </w:r>
    </w:p>
    <w:p>
      <w:pPr>
        <w:pStyle w:val="ListParagraph"/>
        <w:numPr>
          <w:ilvl w:val="0"/>
          <w:numId w:val="2"/>
        </w:numPr>
        <w:spacing w:after="80" w:line="290"/>
      </w:pPr>
      <w:r>
        <w:rPr>
          <w:b/>
          <w:bCs/>
        </w:rPr>
        <w:t xml:space="preserve">Software and business methods "as such" are not patentable in India</w:t>
      </w:r>
      <w:r>
        <w:t xml:space="preserve"> (Section 3(k) of the Patents Act). A software invention can sometimes qualify only if it shows a real </w:t>
      </w:r>
      <w:r>
        <w:rPr>
          <w:b/>
          <w:bCs/>
        </w:rPr>
        <w:t xml:space="preserve">technical</w:t>
      </w:r>
      <w:r>
        <w:t xml:space="preserve"> effect — e.g. making hardware or a system work better — not just a smarter way to plan money.</w:t>
      </w:r>
    </w:p>
    <w:p>
      <w:pPr>
        <w:pStyle w:val="ListParagraph"/>
        <w:numPr>
          <w:ilvl w:val="0"/>
          <w:numId w:val="2"/>
        </w:numPr>
        <w:spacing w:after="80" w:line="290"/>
      </w:pPr>
      <w:r>
        <w:t xml:space="preserve">PayWatch's money brain is valuable, but it is mainly a business method implemented in software. It is </w:t>
      </w:r>
      <w:r>
        <w:rPr>
          <w:b/>
          <w:bCs/>
        </w:rPr>
        <w:t xml:space="preserve">unlikely</w:t>
      </w:r>
      <w:r>
        <w:t xml:space="preserve"> to be patentable as it stands.</w:t>
      </w:r>
    </w:p>
    <w:p>
      <w:pPr>
        <w:pStyle w:val="ListParagraph"/>
        <w:numPr>
          <w:ilvl w:val="0"/>
          <w:numId w:val="2"/>
        </w:numPr>
        <w:spacing w:after="80" w:line="290"/>
      </w:pPr>
      <w:r>
        <w:t xml:space="preserve">Patents are expensive: Lextria's stage fees add up to roughly </w:t>
      </w:r>
      <w:r>
        <w:rPr>
          <w:b/>
          <w:bCs/>
        </w:rPr>
        <w:t xml:space="preserve">₹80,000–₹1,00,000+</w:t>
      </w:r>
      <w:r>
        <w:t xml:space="preserve"> if the application reaches a hearing.</w:t>
      </w:r>
    </w:p>
    <w:p>
      <w:pPr>
        <w:pStyle w:val="ListParagraph"/>
        <w:numPr>
          <w:ilvl w:val="0"/>
          <w:numId w:val="2"/>
        </w:numPr>
        <w:spacing w:after="80" w:line="290"/>
      </w:pPr>
      <w:r>
        <w:t xml:space="preserve">Patent filings must be handled by a </w:t>
      </w:r>
      <w:r>
        <w:rPr>
          <w:b/>
          <w:bCs/>
        </w:rPr>
        <w:t xml:space="preserve">registered patent agent</w:t>
      </w:r>
      <w:r>
        <w:t xml:space="preserve"> — if you ever file, ask for the agent's registration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6F2" w:color="auto" w:val="clear"/>
            <w:tcMar>
              <w:top w:type="dxa" w:w="140"/>
              <w:left w:type="dxa" w:w="200"/>
              <w:bottom w:type="dxa" w:w="140"/>
              <w:right w:type="dxa" w:w="200"/>
            </w:tcMar>
          </w:tcPr>
          <w:p>
            <w:pPr>
              <w:spacing w:after="80"/>
            </w:pPr>
            <w:r>
              <w:rPr>
                <w:b/>
                <w:bCs/>
                <w:color w:val="0B2F2A"/>
              </w:rPr>
              <w:t xml:space="preserve">One rule to remember</w:t>
            </w:r>
          </w:p>
          <w:p>
            <w:pPr>
              <w:spacing w:after="60" w:line="280"/>
            </w:pPr>
            <w:r>
              <w:t xml:space="preserve">If you ever think you have a patentable invention, </w:t>
            </w:r>
            <w:r>
              <w:rPr>
                <w:b/>
                <w:bCs/>
              </w:rPr>
              <w:t xml:space="preserve">file before you show it publicly</w:t>
            </w:r>
            <w:r>
              <w:t xml:space="preserve"> (pitch, demo, video, post). Public disclosure generally destroys "novelty".</w:t>
            </w:r>
          </w:p>
          <w:p>
            <w:pPr>
              <w:spacing w:after="60" w:line="280"/>
            </w:pPr>
            <w:r>
              <w:t xml:space="preserve">Lextria offers a </w:t>
            </w:r>
            <w:r>
              <w:rPr>
                <w:b/>
                <w:bCs/>
              </w:rPr>
              <w:t xml:space="preserve">free patentability search</w:t>
            </w:r>
            <w:r>
              <w:t xml:space="preserve"> on free databases — a no-cost way to get an opinion if you are curious.</w:t>
            </w:r>
          </w:p>
        </w:tc>
      </w:tr>
    </w:tbl>
    <w:p>
      <w:pPr>
        <w:spacing w:after="140"/>
      </w:pPr>
    </w:p>
    <w:p>
      <w:pPr>
        <w:pStyle w:val="Heading1"/>
        <w:pageBreakBefore/>
      </w:pPr>
      <w:bookmarkStart w:name="_Toc18" w:id="18"/>
      <w:r>
        <w:t xml:space="preserve">6. Registering the company (Private Limited)</w:t>
      </w:r>
      <w:bookmarkEnd w:id="18"/>
    </w:p>
    <w:p>
      <w:pPr>
        <w:pStyle w:val="Heading2"/>
      </w:pPr>
      <w:bookmarkStart w:name="_Toc19" w:id="19"/>
      <w:r>
        <w:t xml:space="preserve">6.1 Why a Pvt Ltd</w:t>
      </w:r>
      <w:bookmarkEnd w:id="19"/>
    </w:p>
    <w:p>
      <w:pPr>
        <w:pStyle w:val="ListParagraph"/>
        <w:numPr>
          <w:ilvl w:val="0"/>
          <w:numId w:val="2"/>
        </w:numPr>
        <w:spacing w:after="80" w:line="290"/>
      </w:pPr>
      <w:r>
        <w:rPr>
          <w:b/>
          <w:bCs/>
        </w:rPr>
        <w:t xml:space="preserve">Separate legal person</w:t>
      </w:r>
      <w:r>
        <w:t xml:space="preserve"> — the company owns PayWatch's brand, code and contracts, not you personally.</w:t>
      </w:r>
    </w:p>
    <w:p>
      <w:pPr>
        <w:pStyle w:val="ListParagraph"/>
        <w:numPr>
          <w:ilvl w:val="0"/>
          <w:numId w:val="2"/>
        </w:numPr>
        <w:spacing w:after="80" w:line="290"/>
      </w:pPr>
      <w:r>
        <w:rPr>
          <w:b/>
          <w:bCs/>
        </w:rPr>
        <w:t xml:space="preserve">Limited liability</w:t>
      </w:r>
      <w:r>
        <w:t xml:space="preserve"> — if the company owes money, your personal savings are generally protected (except for fraud or personal guarantees).</w:t>
      </w:r>
    </w:p>
    <w:p>
      <w:pPr>
        <w:pStyle w:val="ListParagraph"/>
        <w:numPr>
          <w:ilvl w:val="0"/>
          <w:numId w:val="2"/>
        </w:numPr>
        <w:spacing w:after="80" w:line="290"/>
      </w:pPr>
      <w:r>
        <w:rPr>
          <w:b/>
          <w:bCs/>
        </w:rPr>
        <w:t xml:space="preserve">Investable</w:t>
      </w:r>
      <w:r>
        <w:t xml:space="preserve"> — investors can buy shares; grants and partners deal with companies.</w:t>
      </w:r>
    </w:p>
    <w:p>
      <w:pPr>
        <w:pStyle w:val="ListParagraph"/>
        <w:numPr>
          <w:ilvl w:val="0"/>
          <w:numId w:val="2"/>
        </w:numPr>
        <w:spacing w:after="80" w:line="290"/>
      </w:pPr>
      <w:r>
        <w:t xml:space="preserve">Unlocks </w:t>
      </w:r>
      <w:r>
        <w:rPr>
          <w:b/>
          <w:bCs/>
        </w:rPr>
        <w:t xml:space="preserve">DPIIT recognition</w:t>
      </w:r>
      <w:r>
        <w:t xml:space="preserve">, a company bank account, payment gateways, SMS OTP registration, and signed partner agreements.</w:t>
      </w:r>
    </w:p>
    <w:p>
      <w:pPr>
        <w:pStyle w:val="Heading2"/>
      </w:pPr>
      <w:bookmarkStart w:name="_Toc20" w:id="20"/>
      <w:r>
        <w:t xml:space="preserve">6.2 What you need</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Requirement</w:t>
            </w:r>
          </w:p>
        </w:tc>
        <w:tc>
          <w:tcPr>
            <w:tcW w:type="dxa" w:w="7132"/>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What it means</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Two directors</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At least two. At least one must be resident in India. You + a trusted family member is common.</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Two shareholders</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Can be the same two people. Decide the split now (e.g. 95% / 5%).</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DSC for each director</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Digital signature — keep the USB token / login </w:t>
            </w:r>
            <w:r>
              <w:rPr>
                <w:b/>
                <w:bCs/>
              </w:rPr>
              <w:t xml:space="preserve">yourself</w:t>
            </w:r>
            <w:r>
              <w:t xml:space="preserve">.</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DIN</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Director number — usually allotted during incorporation.</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Company name</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e.g. "PayWatch Private Limited" — approved by the Ministry of Corporate Affairs (MCA).</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Registered office address</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Can be your hometown address — needs a recent utility bill + a </w:t>
            </w:r>
            <w:r>
              <w:rPr>
                <w:b/>
                <w:bCs/>
              </w:rPr>
              <w:t xml:space="preserve">No Objection Certificate (NOC)</w:t>
            </w:r>
            <w:r>
              <w:t xml:space="preserve"> from the owner.</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ID &amp; address proofs</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PAN, Aadhaar, photos, bank statement for each director.</w:t>
            </w:r>
          </w:p>
        </w:tc>
      </w:tr>
      <w:tr>
        <w:tc>
          <w:tcPr>
            <w:tcW w:type="dxa" w:w="250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MOA &amp; AOA</w:t>
            </w:r>
          </w:p>
        </w:tc>
        <w:tc>
          <w:tcPr>
            <w:tcW w:type="dxa" w:w="7132"/>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Memorandum of Association (what the company does) and Articles of Association (internal rules). The CA/CS drafts these.</w:t>
            </w:r>
          </w:p>
        </w:tc>
      </w:tr>
    </w:tbl>
    <w:p>
      <w:pPr>
        <w:spacing w:after="120"/>
      </w:pPr>
    </w:p>
    <w:p>
      <w:pPr>
        <w:pStyle w:val="Heading2"/>
      </w:pPr>
      <w:bookmarkStart w:name="_Toc21" w:id="21"/>
      <w:r>
        <w:t xml:space="preserve">6.3 The process</w:t>
      </w:r>
      <w:bookmarkEnd w:id="21"/>
    </w:p>
    <w:p>
      <w:pPr>
        <w:pStyle w:val="ListParagraph"/>
        <w:numPr>
          <w:ilvl w:val="0"/>
          <w:numId w:val="5"/>
        </w:numPr>
        <w:spacing w:after="80" w:line="290"/>
      </w:pPr>
      <w:r>
        <w:t xml:space="preserve">Get DSCs for both directors.</w:t>
      </w:r>
    </w:p>
    <w:p>
      <w:pPr>
        <w:pStyle w:val="ListParagraph"/>
        <w:numPr>
          <w:ilvl w:val="0"/>
          <w:numId w:val="5"/>
        </w:numPr>
        <w:spacing w:after="80" w:line="290"/>
      </w:pPr>
      <w:r>
        <w:t xml:space="preserve">Reserve the name and file the incorporation form (SPICe+) on the MCA portal, with MOA/AOA.</w:t>
      </w:r>
    </w:p>
    <w:p>
      <w:pPr>
        <w:pStyle w:val="ListParagraph"/>
        <w:numPr>
          <w:ilvl w:val="0"/>
          <w:numId w:val="5"/>
        </w:numPr>
        <w:spacing w:after="80" w:line="290"/>
      </w:pPr>
      <w:r>
        <w:t xml:space="preserve">Receive the </w:t>
      </w:r>
      <w:r>
        <w:rPr>
          <w:b/>
          <w:bCs/>
        </w:rPr>
        <w:t xml:space="preserve">Certificate of Incorporation</w:t>
      </w:r>
      <w:r>
        <w:t xml:space="preserve">, company PAN and TAN — commonly within 1–3 weeks.</w:t>
      </w:r>
    </w:p>
    <w:p>
      <w:pPr>
        <w:pStyle w:val="ListParagraph"/>
        <w:numPr>
          <w:ilvl w:val="0"/>
          <w:numId w:val="5"/>
        </w:numPr>
        <w:spacing w:after="80" w:line="290"/>
      </w:pPr>
      <w:r>
        <w:t xml:space="preserve">Open the company bank account and deposit the share capital.</w:t>
      </w:r>
    </w:p>
    <w:p>
      <w:pPr>
        <w:pStyle w:val="ListParagraph"/>
        <w:numPr>
          <w:ilvl w:val="0"/>
          <w:numId w:val="5"/>
        </w:numPr>
        <w:spacing w:after="80" w:line="290"/>
      </w:pPr>
      <w:r>
        <w:t xml:space="preserve">Hold the </w:t>
      </w:r>
      <w:r>
        <w:rPr>
          <w:b/>
          <w:bCs/>
        </w:rPr>
        <w:t xml:space="preserve">first board meeting within 30 days</w:t>
      </w:r>
      <w:r>
        <w:t xml:space="preserve"> and appoint the </w:t>
      </w:r>
      <w:r>
        <w:rPr>
          <w:b/>
          <w:bCs/>
        </w:rPr>
        <w:t xml:space="preserve">first auditor within 30 days</w:t>
      </w:r>
      <w:r>
        <w:t xml:space="preserve">.</w:t>
      </w:r>
    </w:p>
    <w:p>
      <w:pPr>
        <w:pStyle w:val="ListParagraph"/>
        <w:numPr>
          <w:ilvl w:val="0"/>
          <w:numId w:val="5"/>
        </w:numPr>
        <w:spacing w:after="80" w:line="290"/>
      </w:pPr>
      <w:r>
        <w:t xml:space="preserve">File the </w:t>
      </w:r>
      <w:r>
        <w:rPr>
          <w:b/>
          <w:bCs/>
        </w:rPr>
        <w:t xml:space="preserve">commencement of business declaration (INC-20A) within 180 days</w:t>
      </w:r>
      <w:r>
        <w:t xml:space="preserve"> — easy to forget, with penalties if missed.</w:t>
      </w:r>
    </w:p>
    <w:p>
      <w:pPr>
        <w:pStyle w:val="ListParagraph"/>
        <w:numPr>
          <w:ilvl w:val="0"/>
          <w:numId w:val="5"/>
        </w:numPr>
        <w:spacing w:after="80" w:line="290"/>
      </w:pPr>
      <w:r>
        <w:t xml:space="preserve">Apply for </w:t>
      </w:r>
      <w:r>
        <w:rPr>
          <w:b/>
          <w:bCs/>
        </w:rPr>
        <w:t xml:space="preserve">DPIIT recognition</w:t>
      </w:r>
      <w:r>
        <w:t xml:space="preserve"> (free), </w:t>
      </w:r>
      <w:r>
        <w:rPr>
          <w:b/>
          <w:bCs/>
        </w:rPr>
        <w:t xml:space="preserve">Udyam</w:t>
      </w:r>
      <w:r>
        <w:t xml:space="preserve"> (free), and later </w:t>
      </w:r>
      <w:r>
        <w:rPr>
          <w:b/>
          <w:bCs/>
        </w:rPr>
        <w:t xml:space="preserve">GST</w:t>
      </w:r>
      <w:r>
        <w:t xml:space="preserve"> when required (your CA will advise).</w:t>
      </w:r>
    </w:p>
    <w:p>
      <w:pPr>
        <w:pStyle w:val="ListParagraph"/>
        <w:numPr>
          <w:ilvl w:val="0"/>
          <w:numId w:val="5"/>
        </w:numPr>
        <w:spacing w:after="80" w:line="290"/>
      </w:pPr>
      <w:r>
        <w:rPr>
          <w:b/>
          <w:bCs/>
        </w:rPr>
        <w:t xml:space="preserve">Assign</w:t>
      </w:r>
      <w:r>
        <w:t xml:space="preserve"> the trademark from your name to the company.</w:t>
      </w:r>
    </w:p>
    <w:p>
      <w:pPr>
        <w:pStyle w:val="Heading2"/>
      </w:pPr>
      <w:bookmarkStart w:name="_Toc22" w:id="22"/>
      <w:r>
        <w:t xml:space="preserve">6.4 Every-year duties (compliance)</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Duty</w:t>
            </w:r>
          </w:p>
        </w:tc>
        <w:tc>
          <w:tcPr>
            <w:tcW w:type="dxa" w:w="2891"/>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When</w:t>
            </w:r>
          </w:p>
        </w:tc>
        <w:tc>
          <w:tcPr>
            <w:tcW w:type="dxa" w:w="3856"/>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In simple terms</w:t>
            </w:r>
          </w:p>
        </w:tc>
      </w:tr>
      <w:tr>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Board meetings</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At least one in each half of the year (small company)</w:t>
            </w:r>
          </w:p>
        </w:tc>
        <w:tc>
          <w:tcPr>
            <w:tcW w:type="dxa" w:w="385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Directors meet and record minutes</w:t>
            </w:r>
          </w:p>
        </w:tc>
      </w:tr>
      <w:tr>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Statutory audit</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Every year</w:t>
            </w:r>
          </w:p>
        </w:tc>
        <w:tc>
          <w:tcPr>
            <w:tcW w:type="dxa" w:w="385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 CA audits the accounts — mandatory even with zero revenue</w:t>
            </w:r>
          </w:p>
        </w:tc>
      </w:tr>
      <w:tr>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Annual General Meeting (AGM)</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Within 6 months of 31 March</w:t>
            </w:r>
          </w:p>
        </w:tc>
        <w:tc>
          <w:tcPr>
            <w:tcW w:type="dxa" w:w="385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Shareholders approve the accounts</w:t>
            </w:r>
          </w:p>
        </w:tc>
      </w:tr>
      <w:tr>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AOC-4 (financial statements)</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Within 30 days of AGM</w:t>
            </w:r>
          </w:p>
        </w:tc>
        <w:tc>
          <w:tcPr>
            <w:tcW w:type="dxa" w:w="385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File accounts with MCA</w:t>
            </w:r>
          </w:p>
        </w:tc>
      </w:tr>
      <w:tr>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MGT-7A (annual return)</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Within 60 days of AGM</w:t>
            </w:r>
          </w:p>
        </w:tc>
        <w:tc>
          <w:tcPr>
            <w:tcW w:type="dxa" w:w="385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File company details with MCA</w:t>
            </w:r>
          </w:p>
        </w:tc>
      </w:tr>
      <w:tr>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Income tax return (ITR-6)</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Usually by 31 October</w:t>
            </w:r>
          </w:p>
        </w:tc>
        <w:tc>
          <w:tcPr>
            <w:tcW w:type="dxa" w:w="385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Company tax return</w:t>
            </w:r>
          </w:p>
        </w:tc>
      </w:tr>
      <w:tr>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Director KYC (DIR-3 KYC)</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Ask your CA for the current frequency</w:t>
            </w:r>
          </w:p>
        </w:tc>
        <w:tc>
          <w:tcPr>
            <w:tcW w:type="dxa" w:w="385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Confirm each director's details</w:t>
            </w:r>
          </w:p>
        </w:tc>
      </w:tr>
    </w:tbl>
    <w:p>
      <w:pPr>
        <w:spacing w:after="120"/>
      </w:pPr>
    </w:p>
    <w:p>
      <w:pPr>
        <w:spacing w:after="140" w:line="300"/>
      </w:pPr>
      <w:r>
        <w:t xml:space="preserve">Late filings attract </w:t>
      </w:r>
      <w:r>
        <w:rPr>
          <w:b/>
          <w:bCs/>
        </w:rPr>
        <w:t xml:space="preserve">₹100 per day per form</w:t>
      </w:r>
      <w:r>
        <w:t xml:space="preserve">, and not filing for three years can disqualify directors. With a good CA this is routine — budget roughly </w:t>
      </w:r>
      <w:r>
        <w:rPr>
          <w:b/>
          <w:bCs/>
        </w:rPr>
        <w:t xml:space="preserve">₹25,000–₹50,000 a year</w:t>
      </w:r>
      <w:r>
        <w:t xml:space="preserve"> for a zero-revenue company (confirm with your CA).</w:t>
      </w:r>
    </w:p>
    <w:p>
      <w:pPr>
        <w:pStyle w:val="Heading1"/>
        <w:pageBreakBefore/>
      </w:pPr>
      <w:bookmarkStart w:name="_Toc23" w:id="23"/>
      <w:r>
        <w:t xml:space="preserve">7. Every document Lextria sent — explained</w:t>
      </w:r>
      <w:bookmarkEnd w:id="23"/>
    </w:p>
    <w:p>
      <w:pPr>
        <w:pStyle w:val="Heading2"/>
      </w:pPr>
      <w:bookmarkStart w:name="_Toc24" w:id="24"/>
      <w:r>
        <w:t xml:space="preserve">7.1 The email from Simran Sheikh (7 Oct)</w:t>
      </w:r>
      <w:bookmarkEnd w:id="24"/>
    </w:p>
    <w:p>
      <w:pPr>
        <w:pStyle w:val="ListParagraph"/>
        <w:numPr>
          <w:ilvl w:val="0"/>
          <w:numId w:val="2"/>
        </w:numPr>
        <w:spacing w:after="80" w:line="290"/>
      </w:pPr>
      <w:r>
        <w:t xml:space="preserve">It is a </w:t>
      </w:r>
      <w:r>
        <w:rPr>
          <w:b/>
          <w:bCs/>
        </w:rPr>
        <w:t xml:space="preserve">standard template</w:t>
      </w:r>
      <w:r>
        <w:t xml:space="preserve"> ("Dear Author") to start a </w:t>
      </w:r>
      <w:r>
        <w:rPr>
          <w:b/>
          <w:bCs/>
        </w:rPr>
        <w:t xml:space="preserve">copyright</w:t>
      </w:r>
      <w:r>
        <w:t xml:space="preserve"> registration.</w:t>
      </w:r>
    </w:p>
    <w:p>
      <w:pPr>
        <w:pStyle w:val="ListParagraph"/>
        <w:numPr>
          <w:ilvl w:val="0"/>
          <w:numId w:val="2"/>
        </w:numPr>
        <w:spacing w:after="80" w:line="290"/>
      </w:pPr>
      <w:r>
        <w:t xml:space="preserve">They ask for: the filled Copyright Disclosure Form, the </w:t>
      </w:r>
      <w:r>
        <w:rPr>
          <w:b/>
          <w:bCs/>
        </w:rPr>
        <w:t xml:space="preserve">final work</w:t>
      </w:r>
      <w:r>
        <w:t xml:space="preserve"> (PDF/JPG/MP3 depending on type), and your </w:t>
      </w:r>
      <w:r>
        <w:rPr>
          <w:b/>
          <w:bCs/>
        </w:rPr>
        <w:t xml:space="preserve">postal address</w:t>
      </w:r>
      <w:r>
        <w:t xml:space="preserve"> to courier the </w:t>
      </w:r>
      <w:r>
        <w:rPr>
          <w:b/>
          <w:bCs/>
        </w:rPr>
        <w:t xml:space="preserve">Power of Attorney</w:t>
      </w:r>
      <w:r>
        <w:t xml:space="preserve">.</w:t>
      </w:r>
    </w:p>
    <w:p>
      <w:pPr>
        <w:pStyle w:val="ListParagraph"/>
        <w:numPr>
          <w:ilvl w:val="0"/>
          <w:numId w:val="2"/>
        </w:numPr>
        <w:spacing w:after="80" w:line="290"/>
      </w:pPr>
      <w:r>
        <w:t xml:space="preserve">The note about "goods and services" is about the logo trap in Section 4.3.</w:t>
      </w:r>
    </w:p>
    <w:p>
      <w:pPr>
        <w:pStyle w:val="ListParagraph"/>
        <w:numPr>
          <w:ilvl w:val="0"/>
          <w:numId w:val="2"/>
        </w:numPr>
        <w:spacing w:after="80" w:line="290"/>
      </w:pPr>
      <w:r>
        <w:rPr>
          <w:b/>
          <w:bCs/>
        </w:rPr>
        <w:t xml:space="preserve">You are not obliged to do anything</w:t>
      </w:r>
      <w:r>
        <w:t xml:space="preserve"> just because you received it. Nothing is filed until you send the work and sign the POA.</w:t>
      </w:r>
    </w:p>
    <w:p>
      <w:pPr>
        <w:pStyle w:val="Heading2"/>
      </w:pPr>
      <w:bookmarkStart w:name="_Toc25" w:id="25"/>
      <w:r>
        <w:t xml:space="preserve">7.2 Copyright Disclosure Form (CDF)</w:t>
      </w:r>
      <w:bookmarkEnd w:id="25"/>
    </w:p>
    <w:p>
      <w:pPr>
        <w:spacing w:after="140" w:line="300"/>
      </w:pPr>
      <w:r>
        <w:t xml:space="preserve">An information form: applicant details, author details, title, type of work, description (200 characters), date of creation, language, published or not, ownership, and whether it is original or adapted.</w:t>
      </w:r>
    </w:p>
    <w:p>
      <w:pPr>
        <w:pStyle w:val="ListParagraph"/>
        <w:numPr>
          <w:ilvl w:val="0"/>
          <w:numId w:val="2"/>
        </w:numPr>
        <w:spacing w:after="80" w:line="290"/>
      </w:pPr>
      <w:r>
        <w:t xml:space="preserve">Names must match your </w:t>
      </w:r>
      <w:r>
        <w:rPr>
          <w:b/>
          <w:bCs/>
        </w:rPr>
        <w:t xml:space="preserve">government ID exactly</w:t>
      </w:r>
      <w:r>
        <w:t xml:space="preserve">, and the title must be identical across all documents.</w:t>
      </w:r>
    </w:p>
    <w:p>
      <w:pPr>
        <w:pStyle w:val="ListParagraph"/>
        <w:numPr>
          <w:ilvl w:val="0"/>
          <w:numId w:val="2"/>
        </w:numPr>
        <w:spacing w:after="80" w:line="290"/>
      </w:pPr>
      <w:r>
        <w:t xml:space="preserve">Do not include </w:t>
      </w:r>
      <w:r>
        <w:rPr>
          <w:b/>
          <w:bCs/>
        </w:rPr>
        <w:t xml:space="preserve">logos of institutions</w:t>
      </w:r>
      <w:r>
        <w:t xml:space="preserve"> (MAHE, XElevate) without a written NOC.</w:t>
      </w:r>
    </w:p>
    <w:p>
      <w:pPr>
        <w:pStyle w:val="ListParagraph"/>
        <w:numPr>
          <w:ilvl w:val="0"/>
          <w:numId w:val="2"/>
        </w:numPr>
        <w:spacing w:after="80" w:line="290"/>
      </w:pPr>
      <w:r>
        <w:t xml:space="preserve">All images/icons must be self-made or properly licensed.</w:t>
      </w:r>
    </w:p>
    <w:p>
      <w:pPr>
        <w:pStyle w:val="ListParagraph"/>
        <w:numPr>
          <w:ilvl w:val="0"/>
          <w:numId w:val="2"/>
        </w:numPr>
        <w:spacing w:after="80" w:line="290"/>
      </w:pPr>
      <w:r>
        <w:t xml:space="preserve">It says the form is confidential and should not be shared with third parties without their consent — keep it between you and Lextria (and your own advisors).</w:t>
      </w:r>
    </w:p>
    <w:p>
      <w:pPr>
        <w:pStyle w:val="Heading2"/>
      </w:pPr>
      <w:bookmarkStart w:name="_Toc26" w:id="26"/>
      <w:r>
        <w:t xml:space="preserve">7.3 Declaration of AI Use and Ownership Rights — the riskiest document</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855"/>
        <w:gridCol w:w="4434"/>
      </w:tblGrid>
      <w:tr>
        <w:trPr>
          <w:tblHeader/>
        </w:trPr>
        <w:tc>
          <w:tcPr>
            <w:tcW w:type="dxa" w:w="1349"/>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Part</w:t>
            </w:r>
          </w:p>
        </w:tc>
        <w:tc>
          <w:tcPr>
            <w:tcW w:type="dxa" w:w="3855"/>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What it asks or says</w:t>
            </w:r>
          </w:p>
        </w:tc>
        <w:tc>
          <w:tcPr>
            <w:tcW w:type="dxa" w:w="4434"/>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What it means for you</w:t>
            </w:r>
          </w:p>
        </w:tc>
      </w:tr>
      <w:tr>
        <w:tc>
          <w:tcPr>
            <w:tcW w:type="dxa" w:w="134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Section 1</w:t>
            </w:r>
          </w:p>
        </w:tc>
        <w:tc>
          <w:tcPr>
            <w:tcW w:type="dxa" w:w="385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Did you use any AI tool?</w:t>
            </w:r>
          </w:p>
        </w:tc>
        <w:tc>
          <w:tcPr>
            <w:tcW w:type="dxa" w:w="4434"/>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Answer </w:t>
            </w:r>
            <w:r>
              <w:rPr>
                <w:b/>
                <w:bCs/>
              </w:rPr>
              <w:t xml:space="preserve">honestly</w:t>
            </w:r>
            <w:r>
              <w:t xml:space="preserve">. For PayWatch, the honest answer is Yes.</w:t>
            </w:r>
          </w:p>
        </w:tc>
      </w:tr>
      <w:tr>
        <w:tc>
          <w:tcPr>
            <w:tcW w:type="dxa" w:w="134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Section 2</w:t>
            </w:r>
          </w:p>
        </w:tc>
        <w:tc>
          <w:tcPr>
            <w:tcW w:type="dxa" w:w="385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Which tool, version, free/paid, have you read its terms, do terms let you own and commercially use the output?</w:t>
            </w:r>
          </w:p>
        </w:tc>
        <w:tc>
          <w:tcPr>
            <w:tcW w:type="dxa" w:w="4434"/>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You must check each AI tool's terms of service. Many paid tools assign output rights to the user, but you must verify.</w:t>
            </w:r>
          </w:p>
        </w:tc>
      </w:tr>
      <w:tr>
        <w:tc>
          <w:tcPr>
            <w:tcW w:type="dxa" w:w="134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3.1–3.6</w:t>
            </w:r>
          </w:p>
        </w:tc>
        <w:tc>
          <w:tcPr>
            <w:tcW w:type="dxa" w:w="385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You declare everything is true and nothing infringes anyone else's rights</w:t>
            </w:r>
          </w:p>
        </w:tc>
        <w:tc>
          <w:tcPr>
            <w:tcW w:type="dxa" w:w="4434"/>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If anything turns out false, </w:t>
            </w:r>
            <w:r>
              <w:rPr>
                <w:b/>
                <w:bCs/>
              </w:rPr>
              <w:t xml:space="preserve">you</w:t>
            </w:r>
            <w:r>
              <w:t xml:space="preserve"> are responsible.</w:t>
            </w:r>
          </w:p>
        </w:tc>
      </w:tr>
      <w:tr>
        <w:tc>
          <w:tcPr>
            <w:tcW w:type="dxa" w:w="134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3.7 Indemnity</w:t>
            </w:r>
          </w:p>
        </w:tc>
        <w:tc>
          <w:tcPr>
            <w:tcW w:type="dxa" w:w="385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You agree to compensate "the Applicant and all related parties" for any claims or losses</w:t>
            </w:r>
          </w:p>
        </w:tc>
        <w:tc>
          <w:tcPr>
            <w:tcW w:type="dxa" w:w="4434"/>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This shifts all the risk to you</w:t>
            </w:r>
            <w:r>
              <w:t xml:space="preserve">, possibly including the law firm. Ask them to clarify who "related parties" are and to narrow it.</w:t>
            </w:r>
          </w:p>
        </w:tc>
      </w:tr>
      <w:tr>
        <w:tc>
          <w:tcPr>
            <w:tcW w:type="dxa" w:w="134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3.8</w:t>
            </w:r>
          </w:p>
        </w:tc>
        <w:tc>
          <w:tcPr>
            <w:tcW w:type="dxa" w:w="385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 declaration will be relied on for legal and commercial purposes</w:t>
            </w:r>
          </w:p>
        </w:tc>
        <w:tc>
          <w:tcPr>
            <w:tcW w:type="dxa" w:w="4434"/>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It can be used as evidence later.</w:t>
            </w:r>
          </w:p>
        </w:tc>
      </w:tr>
      <w:tr>
        <w:tc>
          <w:tcPr>
            <w:tcW w:type="dxa" w:w="134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3.9</w:t>
            </w:r>
          </w:p>
        </w:tc>
        <w:tc>
          <w:tcPr>
            <w:tcW w:type="dxa" w:w="385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 lawyer only documents the declaration; does not audit or guarantee non-infringement</w:t>
            </w:r>
          </w:p>
        </w:tc>
        <w:tc>
          <w:tcPr>
            <w:tcW w:type="dxa" w:w="4434"/>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They take </w:t>
            </w:r>
            <w:r>
              <w:rPr>
                <w:b/>
                <w:bCs/>
              </w:rPr>
              <w:t xml:space="preserve">no responsibility</w:t>
            </w:r>
            <w:r>
              <w:t xml:space="preserve"> for checking. You carry 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DECEA" w:color="auto" w:val="clear"/>
            <w:tcMar>
              <w:top w:type="dxa" w:w="140"/>
              <w:left w:type="dxa" w:w="200"/>
              <w:bottom w:type="dxa" w:w="140"/>
              <w:right w:type="dxa" w:w="200"/>
            </w:tcMar>
          </w:tcPr>
          <w:p>
            <w:pPr>
              <w:spacing w:after="80"/>
            </w:pPr>
            <w:r>
              <w:rPr>
                <w:b/>
                <w:bCs/>
                <w:color w:val="0B2F2A"/>
              </w:rPr>
              <w:t xml:space="preserve">Our advice on this document</w:t>
            </w:r>
          </w:p>
          <w:p>
            <w:pPr>
              <w:spacing w:after="60" w:line="280"/>
            </w:pPr>
            <w:r>
              <w:t xml:space="preserve">Do </w:t>
            </w:r>
            <w:r>
              <w:rPr>
                <w:b/>
                <w:bCs/>
              </w:rPr>
              <w:t xml:space="preserve">not</w:t>
            </w:r>
            <w:r>
              <w:t xml:space="preserve"> sign it now. You are not registering copyright yet. If you ever do, ask Lextria to narrow clause 3.7 and explain how they handle AI-assisted code before you sign.</w:t>
            </w:r>
          </w:p>
        </w:tc>
      </w:tr>
    </w:tbl>
    <w:p>
      <w:pPr>
        <w:spacing w:after="140"/>
      </w:pPr>
    </w:p>
    <w:p>
      <w:pPr>
        <w:pStyle w:val="Heading2"/>
      </w:pPr>
      <w:bookmarkStart w:name="_Toc27" w:id="27"/>
      <w:r>
        <w:t xml:space="preserve">7.4 The Mutual NDA</w:t>
      </w:r>
      <w:bookmarkEnd w:id="27"/>
    </w:p>
    <w:p>
      <w:pPr>
        <w:spacing w:after="140" w:line="300"/>
      </w:pPr>
      <w:r>
        <w:t xml:space="preserve">This one is </w:t>
      </w:r>
      <w:r>
        <w:rPr>
          <w:b/>
          <w:bCs/>
        </w:rPr>
        <w:t xml:space="preserve">fairly standard and protects both sides</w:t>
      </w:r>
      <w:r>
        <w:t xml:space="preserve">. Signing it does </w:t>
      </w:r>
      <w:r>
        <w:rPr>
          <w:b/>
          <w:bCs/>
        </w:rPr>
        <w:t xml:space="preserve">not</w:t>
      </w:r>
      <w:r>
        <w:t xml:space="preserve"> commit you to hiring Lextria or paying anything.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626"/>
        <w:gridCol w:w="3277"/>
      </w:tblGrid>
      <w:tr>
        <w:trPr>
          <w:tblHeader/>
        </w:trPr>
        <w:tc>
          <w:tcPr>
            <w:tcW w:type="dxa" w:w="1735"/>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Clause</w:t>
            </w:r>
          </w:p>
        </w:tc>
        <w:tc>
          <w:tcPr>
            <w:tcW w:type="dxa" w:w="4626"/>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What it says</w:t>
            </w:r>
          </w:p>
        </w:tc>
        <w:tc>
          <w:tcPr>
            <w:tcW w:type="dxa" w:w="3277"/>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Is it OK?</w:t>
            </w:r>
          </w:p>
        </w:tc>
      </w:tr>
      <w:tr>
        <w:tc>
          <w:tcPr>
            <w:tcW w:type="dxa" w:w="17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Parties / Purpose</w:t>
            </w:r>
          </w:p>
        </w:tc>
        <w:tc>
          <w:tcPr>
            <w:tcW w:type="dxa" w:w="462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Lextria Research (operating under Astraea Innovative Solutions, at MUTBI Manipal) and you; purpose = IP services and legal advice</w:t>
            </w:r>
          </w:p>
        </w:tc>
        <w:tc>
          <w:tcPr>
            <w:tcW w:type="dxa" w:w="327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OK — </w:t>
            </w:r>
            <w:r>
              <w:rPr>
                <w:b/>
                <w:bCs/>
              </w:rPr>
              <w:t xml:space="preserve">fill in your address</w:t>
            </w:r>
            <w:r>
              <w:t xml:space="preserve">, it is blank</w:t>
            </w:r>
          </w:p>
        </w:tc>
      </w:tr>
      <w:tr>
        <w:tc>
          <w:tcPr>
            <w:tcW w:type="dxa" w:w="17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1. Confidential info</w:t>
            </w:r>
          </w:p>
        </w:tc>
        <w:tc>
          <w:tcPr>
            <w:tcW w:type="dxa" w:w="462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Very broad — code, plans, finances, customers, etc.</w:t>
            </w:r>
          </w:p>
        </w:tc>
        <w:tc>
          <w:tcPr>
            <w:tcW w:type="dxa" w:w="327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Good for you</w:t>
            </w:r>
          </w:p>
        </w:tc>
      </w:tr>
      <w:tr>
        <w:tc>
          <w:tcPr>
            <w:tcW w:type="dxa" w:w="17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2. Exclusions</w:t>
            </w:r>
          </w:p>
        </w:tc>
        <w:tc>
          <w:tcPr>
            <w:tcW w:type="dxa" w:w="462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Public info, independently developed info, court orders. </w:t>
            </w:r>
            <w:r>
              <w:rPr>
                <w:b/>
                <w:bCs/>
              </w:rPr>
              <w:t xml:space="preserve">Last bullet:</w:t>
            </w:r>
            <w:r>
              <w:t xml:space="preserve"> both may publicly say the engagement exists</w:t>
            </w:r>
          </w:p>
        </w:tc>
        <w:tc>
          <w:tcPr>
            <w:tcW w:type="dxa" w:w="327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OK. Optional: ask to remove the last bullet if you want privacy</w:t>
            </w:r>
          </w:p>
        </w:tc>
      </w:tr>
      <w:tr>
        <w:tc>
          <w:tcPr>
            <w:tcW w:type="dxa" w:w="17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3. Obligations</w:t>
            </w:r>
          </w:p>
        </w:tc>
        <w:tc>
          <w:tcPr>
            <w:tcW w:type="dxa" w:w="462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Keep secrets, use only for the Purpose, no reverse engineering, limit to need-to-know staff</w:t>
            </w:r>
          </w:p>
        </w:tc>
        <w:tc>
          <w:tcPr>
            <w:tcW w:type="dxa" w:w="327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Good — standard</w:t>
            </w:r>
          </w:p>
        </w:tc>
      </w:tr>
      <w:tr>
        <w:tc>
          <w:tcPr>
            <w:tcW w:type="dxa" w:w="17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4–6</w:t>
            </w:r>
          </w:p>
        </w:tc>
        <w:tc>
          <w:tcPr>
            <w:tcW w:type="dxa" w:w="462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No licence, "as is", independent development allowed</w:t>
            </w:r>
          </w:p>
        </w:tc>
        <w:tc>
          <w:tcPr>
            <w:tcW w:type="dxa" w:w="327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Standard</w:t>
            </w:r>
          </w:p>
        </w:tc>
      </w:tr>
      <w:tr>
        <w:tc>
          <w:tcPr>
            <w:tcW w:type="dxa" w:w="17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7. Return/destroy</w:t>
            </w:r>
          </w:p>
        </w:tc>
        <w:tc>
          <w:tcPr>
            <w:tcW w:type="dxa" w:w="462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Return or destroy confidential material on request</w:t>
            </w:r>
          </w:p>
        </w:tc>
        <w:tc>
          <w:tcPr>
            <w:tcW w:type="dxa" w:w="327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Good — you can ask for your code to be destroyed later</w:t>
            </w:r>
          </w:p>
        </w:tc>
      </w:tr>
      <w:tr>
        <w:tc>
          <w:tcPr>
            <w:tcW w:type="dxa" w:w="17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8. Term</w:t>
            </w:r>
          </w:p>
        </w:tc>
        <w:tc>
          <w:tcPr>
            <w:tcW w:type="dxa" w:w="462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3 years; secrecy duties continue after</w:t>
            </w:r>
          </w:p>
        </w:tc>
        <w:tc>
          <w:tcPr>
            <w:tcW w:type="dxa" w:w="327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Standard</w:t>
            </w:r>
          </w:p>
        </w:tc>
      </w:tr>
      <w:tr>
        <w:tc>
          <w:tcPr>
            <w:tcW w:type="dxa" w:w="17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9. Remedies</w:t>
            </w:r>
          </w:p>
        </w:tc>
        <w:tc>
          <w:tcPr>
            <w:tcW w:type="dxa" w:w="462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Either side can seek a court order (injunction) without proving money loss</w:t>
            </w:r>
          </w:p>
        </w:tc>
        <w:tc>
          <w:tcPr>
            <w:tcW w:type="dxa" w:w="327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Standard and mutual</w:t>
            </w:r>
          </w:p>
        </w:tc>
      </w:tr>
      <w:tr>
        <w:tc>
          <w:tcPr>
            <w:tcW w:type="dxa" w:w="17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10. Relationship</w:t>
            </w:r>
          </w:p>
        </w:tc>
        <w:tc>
          <w:tcPr>
            <w:tcW w:type="dxa" w:w="462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No partnership; neither uses the other's name in marketing without consent</w:t>
            </w:r>
          </w:p>
        </w:tc>
        <w:tc>
          <w:tcPr>
            <w:tcW w:type="dxa" w:w="327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Good</w:t>
            </w:r>
          </w:p>
        </w:tc>
      </w:tr>
      <w:tr>
        <w:tc>
          <w:tcPr>
            <w:tcW w:type="dxa" w:w="17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11. Assignment</w:t>
            </w:r>
          </w:p>
        </w:tc>
        <w:tc>
          <w:tcPr>
            <w:tcW w:type="dxa" w:w="462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Neither can transfer the NDA without consent (except company reorganisations)</w:t>
            </w:r>
          </w:p>
        </w:tc>
        <w:tc>
          <w:tcPr>
            <w:tcW w:type="dxa" w:w="327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Ask to add:</w:t>
            </w:r>
            <w:r>
              <w:t xml:space="preserve"> "The Client may assign this Agreement to a company incorporated by the Client."</w:t>
            </w:r>
          </w:p>
        </w:tc>
      </w:tr>
      <w:tr>
        <w:tc>
          <w:tcPr>
            <w:tcW w:type="dxa" w:w="17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16–17. Disputes</w:t>
            </w:r>
          </w:p>
        </w:tc>
        <w:tc>
          <w:tcPr>
            <w:tcW w:type="dxa" w:w="462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Talk for 30 days, then arbitration in </w:t>
            </w:r>
            <w:r>
              <w:rPr>
                <w:b/>
                <w:bCs/>
              </w:rPr>
              <w:t xml:space="preserve">Udupi</w:t>
            </w:r>
            <w:r>
              <w:t xml:space="preserve">; Udupi courts</w:t>
            </w:r>
          </w:p>
        </w:tc>
        <w:tc>
          <w:tcPr>
            <w:tcW w:type="dxa" w:w="327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Fine while in Manipal; inconvenient later, but low risk for an NDA</w:t>
            </w:r>
          </w:p>
        </w:tc>
      </w:tr>
      <w:tr>
        <w:tc>
          <w:tcPr>
            <w:tcW w:type="dxa" w:w="173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Signature block</w:t>
            </w:r>
          </w:p>
        </w:tc>
        <w:tc>
          <w:tcPr>
            <w:tcW w:type="dxa" w:w="4626"/>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Already shows "Sd." and 07/10/2026 for both sides</w:t>
            </w:r>
          </w:p>
        </w:tc>
        <w:tc>
          <w:tcPr>
            <w:tcW w:type="dxa" w:w="327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rPr>
                <w:b/>
                <w:bCs/>
              </w:rPr>
              <w:t xml:space="preserve">Make sure Pranav actually signs.</w:t>
            </w:r>
            <w:r>
              <w:t xml:space="preserve"> Never sign a copy that only looks signed.</w:t>
            </w:r>
          </w:p>
        </w:tc>
      </w:tr>
    </w:tbl>
    <w:p>
      <w:pPr>
        <w:spacing w:after="120"/>
      </w:pPr>
    </w:p>
    <w:p>
      <w:pPr>
        <w:pStyle w:val="Heading2"/>
      </w:pPr>
      <w:bookmarkStart w:name="_Toc28" w:id="28"/>
      <w:r>
        <w:t xml:space="preserve">7.5 The three quotations</w:t>
      </w:r>
      <w:bookmarkEnd w:id="28"/>
    </w:p>
    <w:p>
      <w:pPr>
        <w:pStyle w:val="Heading3"/>
      </w:pPr>
      <w:r>
        <w:t xml:space="preserve">Trademark quotation (Adv. Sharan Kumar is your point of contact)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157"/>
        <w:gridCol w:w="1349"/>
        <w:gridCol w:w="1157"/>
        <w:gridCol w:w="2505"/>
      </w:tblGrid>
      <w:tr>
        <w:trPr>
          <w:tblHeader/>
        </w:trPr>
        <w:tc>
          <w:tcPr>
            <w:tcW w:type="dxa" w:w="3470"/>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Item</w:t>
            </w:r>
          </w:p>
        </w:tc>
        <w:tc>
          <w:tcPr>
            <w:tcW w:type="dxa" w:w="1157"/>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Govt fee</w:t>
            </w:r>
          </w:p>
        </w:tc>
        <w:tc>
          <w:tcPr>
            <w:tcW w:type="dxa" w:w="1349"/>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Lextria fee</w:t>
            </w:r>
          </w:p>
        </w:tc>
        <w:tc>
          <w:tcPr>
            <w:tcW w:type="dxa" w:w="1157"/>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Total</w:t>
            </w:r>
          </w:p>
        </w:tc>
        <w:tc>
          <w:tcPr>
            <w:tcW w:type="dxa" w:w="2505"/>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When you pay</w:t>
            </w:r>
          </w:p>
        </w:tc>
      </w:tr>
      <w:tr>
        <w:tc>
          <w:tcPr>
            <w:tcW w:type="dxa" w:w="347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Search report (optional)</w:t>
            </w:r>
          </w:p>
        </w:tc>
        <w:tc>
          <w:tcPr>
            <w:tcW w:type="dxa" w:w="115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w:t>
            </w:r>
          </w:p>
        </w:tc>
        <w:tc>
          <w:tcPr>
            <w:tcW w:type="dxa" w:w="134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₹10,000</w:t>
            </w:r>
          </w:p>
        </w:tc>
        <w:tc>
          <w:tcPr>
            <w:tcW w:type="dxa" w:w="115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₹10,000</w:t>
            </w:r>
          </w:p>
        </w:tc>
        <w:tc>
          <w:tcPr>
            <w:tcW w:type="dxa" w:w="250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Before filing (recommended)</w:t>
            </w:r>
          </w:p>
        </w:tc>
      </w:tr>
      <w:tr>
        <w:tc>
          <w:tcPr>
            <w:tcW w:type="dxa" w:w="347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Filing at the Trade Marks Office (individual/startup rate)</w:t>
            </w:r>
          </w:p>
        </w:tc>
        <w:tc>
          <w:tcPr>
            <w:tcW w:type="dxa" w:w="115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₹4,500</w:t>
            </w:r>
          </w:p>
        </w:tc>
        <w:tc>
          <w:tcPr>
            <w:tcW w:type="dxa" w:w="134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₹9,500</w:t>
            </w:r>
          </w:p>
        </w:tc>
        <w:tc>
          <w:tcPr>
            <w:tcW w:type="dxa" w:w="115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₹14,000</w:t>
            </w:r>
          </w:p>
        </w:tc>
        <w:tc>
          <w:tcPr>
            <w:tcW w:type="dxa" w:w="250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At filing</w:t>
            </w:r>
          </w:p>
        </w:tc>
      </w:tr>
      <w:tr>
        <w:tc>
          <w:tcPr>
            <w:tcW w:type="dxa" w:w="347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Reply to objection</w:t>
            </w:r>
          </w:p>
        </w:tc>
        <w:tc>
          <w:tcPr>
            <w:tcW w:type="dxa" w:w="115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₹800</w:t>
            </w:r>
          </w:p>
        </w:tc>
        <w:tc>
          <w:tcPr>
            <w:tcW w:type="dxa" w:w="134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₹5,000</w:t>
            </w:r>
          </w:p>
        </w:tc>
        <w:tc>
          <w:tcPr>
            <w:tcW w:type="dxa" w:w="115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₹5,800</w:t>
            </w:r>
          </w:p>
        </w:tc>
        <w:tc>
          <w:tcPr>
            <w:tcW w:type="dxa" w:w="250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Only if an objection is raised</w:t>
            </w:r>
          </w:p>
        </w:tc>
      </w:tr>
      <w:tr>
        <w:tc>
          <w:tcPr>
            <w:tcW w:type="dxa" w:w="347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Attending objection hearing</w:t>
            </w:r>
          </w:p>
        </w:tc>
        <w:tc>
          <w:tcPr>
            <w:tcW w:type="dxa" w:w="115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₹800</w:t>
            </w:r>
          </w:p>
        </w:tc>
        <w:tc>
          <w:tcPr>
            <w:tcW w:type="dxa" w:w="134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₹8,000</w:t>
            </w:r>
          </w:p>
        </w:tc>
        <w:tc>
          <w:tcPr>
            <w:tcW w:type="dxa" w:w="115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₹8,800</w:t>
            </w:r>
          </w:p>
        </w:tc>
        <w:tc>
          <w:tcPr>
            <w:tcW w:type="dxa" w:w="250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Only if a hearing happens</w:t>
            </w:r>
          </w:p>
        </w:tc>
      </w:tr>
      <w:tr>
        <w:tc>
          <w:tcPr>
            <w:tcW w:type="dxa" w:w="347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Written submission after hearing</w:t>
            </w:r>
          </w:p>
        </w:tc>
        <w:tc>
          <w:tcPr>
            <w:tcW w:type="dxa" w:w="115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₹0</w:t>
            </w:r>
          </w:p>
        </w:tc>
        <w:tc>
          <w:tcPr>
            <w:tcW w:type="dxa" w:w="134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₹10,000</w:t>
            </w:r>
          </w:p>
        </w:tc>
        <w:tc>
          <w:tcPr>
            <w:tcW w:type="dxa" w:w="115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₹10,000</w:t>
            </w:r>
          </w:p>
        </w:tc>
        <w:tc>
          <w:tcPr>
            <w:tcW w:type="dxa" w:w="250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Only if needed</w:t>
            </w:r>
          </w:p>
        </w:tc>
      </w:tr>
      <w:tr>
        <w:tc>
          <w:tcPr>
            <w:tcW w:type="dxa" w:w="347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User affidavit (claiming earlier use)</w:t>
            </w:r>
          </w:p>
        </w:tc>
        <w:tc>
          <w:tcPr>
            <w:tcW w:type="dxa" w:w="115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w:t>
            </w:r>
          </w:p>
        </w:tc>
        <w:tc>
          <w:tcPr>
            <w:tcW w:type="dxa" w:w="134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₹5,000</w:t>
            </w:r>
          </w:p>
        </w:tc>
        <w:tc>
          <w:tcPr>
            <w:tcW w:type="dxa" w:w="115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₹5,000</w:t>
            </w:r>
          </w:p>
        </w:tc>
        <w:tc>
          <w:tcPr>
            <w:tcW w:type="dxa" w:w="2505"/>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Only if you claim prior use</w:t>
            </w:r>
          </w:p>
        </w:tc>
      </w:tr>
    </w:tbl>
    <w:p>
      <w:pPr>
        <w:spacing w:after="120"/>
      </w:pPr>
    </w:p>
    <w:p>
      <w:pPr>
        <w:pStyle w:val="ListParagraph"/>
        <w:numPr>
          <w:ilvl w:val="0"/>
          <w:numId w:val="2"/>
        </w:numPr>
        <w:spacing w:after="80" w:line="290"/>
      </w:pPr>
      <w:r>
        <w:rPr>
          <w:b/>
          <w:bCs/>
        </w:rPr>
        <w:t xml:space="preserve">50% advance</w:t>
      </w:r>
      <w:r>
        <w:t xml:space="preserve">, then stage-wise; you do not pay for stages that are not needed.</w:t>
      </w:r>
    </w:p>
    <w:p>
      <w:pPr>
        <w:pStyle w:val="ListParagraph"/>
        <w:numPr>
          <w:ilvl w:val="0"/>
          <w:numId w:val="2"/>
        </w:numPr>
        <w:spacing w:after="80" w:line="290"/>
      </w:pPr>
      <w:r>
        <w:t xml:space="preserve">GST (18% on professional fees), stamp duty, notary and bank charges are </w:t>
      </w:r>
      <w:r>
        <w:rPr>
          <w:b/>
          <w:bCs/>
        </w:rPr>
        <w:t xml:space="preserve">extra</w:t>
      </w:r>
      <w:r>
        <w:t xml:space="preserve">.</w:t>
      </w:r>
    </w:p>
    <w:p>
      <w:pPr>
        <w:pStyle w:val="ListParagraph"/>
        <w:numPr>
          <w:ilvl w:val="0"/>
          <w:numId w:val="2"/>
        </w:numPr>
        <w:spacing w:after="80" w:line="290"/>
      </w:pPr>
      <w:r>
        <w:t xml:space="preserve">The quote does </w:t>
      </w:r>
      <w:r>
        <w:rPr>
          <w:b/>
          <w:bCs/>
        </w:rPr>
        <w:t xml:space="preserve">not</w:t>
      </w:r>
      <w:r>
        <w:t xml:space="preserve"> say "per class" — it almost certainly is. </w:t>
      </w:r>
      <w:r>
        <w:rPr>
          <w:b/>
          <w:bCs/>
        </w:rPr>
        <w:t xml:space="preserve">Confirm in writing.</w:t>
      </w:r>
    </w:p>
    <w:p>
      <w:pPr>
        <w:pStyle w:val="ListParagraph"/>
        <w:numPr>
          <w:ilvl w:val="0"/>
          <w:numId w:val="2"/>
        </w:numPr>
        <w:spacing w:after="80" w:line="290"/>
      </w:pPr>
      <w:r>
        <w:rPr>
          <w:b/>
          <w:bCs/>
        </w:rPr>
        <w:t xml:space="preserve">Opposition costs are not quoted.</w:t>
      </w:r>
      <w:r>
        <w:t xml:space="preserve"> Ask.</w:t>
      </w:r>
    </w:p>
    <w:p>
      <w:pPr>
        <w:spacing w:after="140" w:line="300"/>
      </w:pPr>
      <w:r>
        <w:rPr>
          <w:b/>
          <w:bCs/>
        </w:rPr>
        <w:t xml:space="preserve">Example budget</w:t>
      </w:r>
      <w:r>
        <w:t xml:space="preserve"> — word mark "PayWatch" in 3 classes (9, 36, 42), filed in your name, no objections: government ₹13,500 + Lextria ₹28,500 + GST on Lextria fees ≈ ₹5,130 → </w:t>
      </w:r>
      <w:r>
        <w:rPr>
          <w:b/>
          <w:bCs/>
        </w:rPr>
        <w:t xml:space="preserve">about ₹47,000</w:t>
      </w:r>
      <w:r>
        <w:t xml:space="preserve">. Add ₹10,000 + GST if you take the search report. If an objection and hearing happen, add roughly ₹15,000–₹25,000 + GST.</w:t>
      </w:r>
    </w:p>
    <w:p>
      <w:pPr>
        <w:pStyle w:val="Heading3"/>
      </w:pPr>
      <w:r>
        <w:t xml:space="preserve">Copyright quotation</w:t>
      </w:r>
    </w:p>
    <w:p>
      <w:pPr>
        <w:spacing w:after="140" w:line="300"/>
      </w:pPr>
      <w:r>
        <w:t xml:space="preserve">₹8,000 per work (₹500 government + ₹7,500 Lextria), covering filing, replying to objections, a hearing and the final reply. Reasonable — but it is </w:t>
      </w:r>
      <w:r>
        <w:rPr>
          <w:b/>
          <w:bCs/>
        </w:rPr>
        <w:t xml:space="preserve">per work</w:t>
      </w:r>
      <w:r>
        <w:t xml:space="preserve"> (code and logo are two works). </w:t>
      </w:r>
      <w:r>
        <w:rPr>
          <w:b/>
          <w:bCs/>
        </w:rPr>
        <w:t xml:space="preserve">Not needed now.</w:t>
      </w:r>
    </w:p>
    <w:p>
      <w:pPr>
        <w:pStyle w:val="Heading3"/>
      </w:pPr>
      <w:r>
        <w:t xml:space="preserve">Patent quotation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7"/>
        <w:gridCol w:w="2891"/>
      </w:tblGrid>
      <w:tr>
        <w:trPr>
          <w:tblHeader/>
        </w:trPr>
        <w:tc>
          <w:tcPr>
            <w:tcW w:type="dxa" w:w="6747"/>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Stage</w:t>
            </w:r>
          </w:p>
        </w:tc>
        <w:tc>
          <w:tcPr>
            <w:tcW w:type="dxa" w:w="2891"/>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Total</w:t>
            </w:r>
          </w:p>
        </w:tc>
      </w:tr>
      <w:tr>
        <w:tc>
          <w:tcPr>
            <w:tcW w:type="dxa" w:w="674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Patentability search (free databases)</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Free</w:t>
            </w:r>
          </w:p>
        </w:tc>
      </w:tr>
      <w:tr>
        <w:tc>
          <w:tcPr>
            <w:tcW w:type="dxa" w:w="674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Provisional specification</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₹13,600</w:t>
            </w:r>
          </w:p>
        </w:tc>
      </w:tr>
      <w:tr>
        <w:tc>
          <w:tcPr>
            <w:tcW w:type="dxa" w:w="674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Complete specification within 12 months (or direct complete: ₹25,100)</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₹11,500</w:t>
            </w:r>
          </w:p>
        </w:tc>
      </w:tr>
      <w:tr>
        <w:tc>
          <w:tcPr>
            <w:tcW w:type="dxa" w:w="674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Early publication + examination request</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₹9,000 – ₹13,000</w:t>
            </w:r>
          </w:p>
        </w:tc>
      </w:tr>
      <w:tr>
        <w:tc>
          <w:tcPr>
            <w:tcW w:type="dxa" w:w="674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Reply to First Examination Report</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₹18,000</w:t>
            </w:r>
          </w:p>
        </w:tc>
      </w:tr>
      <w:tr>
        <w:tc>
          <w:tcPr>
            <w:tcW w:type="dxa" w:w="674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Hearing</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₹8,000</w:t>
            </w:r>
          </w:p>
        </w:tc>
      </w:tr>
      <w:tr>
        <w:tc>
          <w:tcPr>
            <w:tcW w:type="dxa" w:w="6747"/>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Final written submission</w:t>
            </w:r>
          </w:p>
        </w:tc>
        <w:tc>
          <w:tcPr>
            <w:tcW w:type="dxa" w:w="2891"/>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₹20,000</w:t>
            </w:r>
          </w:p>
        </w:tc>
      </w:tr>
    </w:tbl>
    <w:p>
      <w:pPr>
        <w:spacing w:after="120"/>
      </w:pPr>
    </w:p>
    <w:p>
      <w:pPr>
        <w:spacing w:after="140" w:line="300"/>
      </w:pPr>
      <w:r>
        <w:t xml:space="preserve">Plus GST and ₹2,000 per miscellaneous form. </w:t>
      </w:r>
      <w:r>
        <w:rPr>
          <w:b/>
          <w:bCs/>
        </w:rPr>
        <w:t xml:space="preserve">Not needed now</w:t>
      </w:r>
      <w:r>
        <w:t xml:space="preserve"> (see Section 5).</w:t>
      </w:r>
    </w:p>
    <w:p>
      <w:pPr>
        <w:pStyle w:val="Heading2"/>
      </w:pPr>
      <w:bookmarkStart w:name="_Toc29" w:id="29"/>
      <w:r>
        <w:t xml:space="preserve">7.6 The Power of Attorney (coming by courier)</w:t>
      </w:r>
      <w:bookmarkEnd w:id="29"/>
    </w:p>
    <w:p>
      <w:pPr>
        <w:pStyle w:val="ListParagraph"/>
        <w:numPr>
          <w:ilvl w:val="0"/>
          <w:numId w:val="2"/>
        </w:numPr>
        <w:spacing w:after="80" w:line="290"/>
      </w:pPr>
      <w:r>
        <w:t xml:space="preserve">Read it before signing. It should name the </w:t>
      </w:r>
      <w:r>
        <w:rPr>
          <w:b/>
          <w:bCs/>
        </w:rPr>
        <w:t xml:space="preserve">specific application</w:t>
      </w:r>
      <w:r>
        <w:t xml:space="preserve"> (e.g. "Trademark PayWatch, classes 9, 36, 42") — not give unlimited powers.</w:t>
      </w:r>
    </w:p>
    <w:p>
      <w:pPr>
        <w:pStyle w:val="ListParagraph"/>
        <w:numPr>
          <w:ilvl w:val="0"/>
          <w:numId w:val="2"/>
        </w:numPr>
        <w:spacing w:after="80" w:line="290"/>
      </w:pPr>
      <w:r>
        <w:t xml:space="preserve">Keep a copy. You can revoke a POA in writing if you change lawyers.</w:t>
      </w:r>
    </w:p>
    <w:p>
      <w:pPr>
        <w:pStyle w:val="Heading1"/>
        <w:pageBreakBefore/>
      </w:pPr>
      <w:bookmarkStart w:name="_Toc30" w:id="30"/>
      <w:r>
        <w:t xml:space="preserve">8. What you must do, and what you don't have to</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You ARE obliged to…</w:t>
            </w:r>
          </w:p>
        </w:tc>
        <w:tc>
          <w:tcPr>
            <w:tcW w:type="dxa" w:w="4819"/>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You are NOT obliged to…</w:t>
            </w:r>
          </w:p>
        </w:tc>
      </w:tr>
      <w:tr>
        <w:tc>
          <w:tcPr>
            <w:tcW w:type="dxa" w:w="481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Pay for a stage only after you approve and the work starts (50% advance on trademark)</w:t>
            </w:r>
          </w:p>
        </w:tc>
        <w:tc>
          <w:tcPr>
            <w:tcW w:type="dxa" w:w="481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Do anything just because you received an email or quote</w:t>
            </w:r>
          </w:p>
        </w:tc>
      </w:tr>
      <w:tr>
        <w:tc>
          <w:tcPr>
            <w:tcW w:type="dxa" w:w="481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Keep their confidential info secret once the NDA is signed</w:t>
            </w:r>
          </w:p>
        </w:tc>
        <w:tc>
          <w:tcPr>
            <w:tcW w:type="dxa" w:w="481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Use Lextria for everything — you can use them for trademark and a CA for the company</w:t>
            </w:r>
          </w:p>
        </w:tc>
      </w:tr>
      <w:tr>
        <w:tc>
          <w:tcPr>
            <w:tcW w:type="dxa" w:w="481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Tell the truth on every declaration and form</w:t>
            </w:r>
          </w:p>
        </w:tc>
        <w:tc>
          <w:tcPr>
            <w:tcW w:type="dxa" w:w="481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Register copyright or file a patent</w:t>
            </w:r>
          </w:p>
        </w:tc>
      </w:tr>
      <w:tr>
        <w:tc>
          <w:tcPr>
            <w:tcW w:type="dxa" w:w="481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Reply to government objections in time (your lawyer drafts, you approve)</w:t>
            </w:r>
          </w:p>
        </w:tc>
        <w:tc>
          <w:tcPr>
            <w:tcW w:type="dxa" w:w="481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Sign the AI declaration now</w:t>
            </w:r>
          </w:p>
        </w:tc>
      </w:tr>
      <w:tr>
        <w:tc>
          <w:tcPr>
            <w:tcW w:type="dxa" w:w="481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Pay GST and incidental charges they list</w:t>
            </w:r>
          </w:p>
        </w:tc>
        <w:tc>
          <w:tcPr>
            <w:tcW w:type="dxa" w:w="4819"/>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Accept clauses you don't understand — you can ask for changes</w:t>
            </w:r>
          </w:p>
        </w:tc>
      </w:tr>
    </w:tbl>
    <w:p>
      <w:pPr>
        <w:spacing w:after="120"/>
      </w:pPr>
    </w:p>
    <w:p>
      <w:pPr>
        <w:pStyle w:val="Heading1"/>
        <w:pageBreakBefore/>
      </w:pPr>
      <w:bookmarkStart w:name="_Toc31" w:id="31"/>
      <w:r>
        <w:t xml:space="preserve">9. How to make sure nobody makes a fool out of you</w:t>
      </w:r>
      <w:bookmarkEnd w:id="31"/>
    </w:p>
    <w:p>
      <w:pPr>
        <w:pStyle w:val="ListParagraph"/>
        <w:numPr>
          <w:ilvl w:val="0"/>
          <w:numId w:val="6"/>
        </w:numPr>
        <w:spacing w:after="80" w:line="290"/>
      </w:pPr>
      <w:r>
        <w:rPr>
          <w:b/>
          <w:bCs/>
        </w:rPr>
        <w:t xml:space="preserve">Get everything in writing</w:t>
      </w:r>
      <w:r>
        <w:t xml:space="preserve"> — fees, what is included, and what is not.</w:t>
      </w:r>
    </w:p>
    <w:p>
      <w:pPr>
        <w:pStyle w:val="ListParagraph"/>
        <w:numPr>
          <w:ilvl w:val="0"/>
          <w:numId w:val="6"/>
        </w:numPr>
        <w:spacing w:after="80" w:line="290"/>
      </w:pPr>
      <w:r>
        <w:rPr>
          <w:b/>
          <w:bCs/>
        </w:rPr>
        <w:t xml:space="preserve">Confirm "per class"</w:t>
      </w:r>
      <w:r>
        <w:t xml:space="preserve"> and ask for a full written estimate, including GST and other charges.</w:t>
      </w:r>
    </w:p>
    <w:p>
      <w:pPr>
        <w:pStyle w:val="ListParagraph"/>
        <w:numPr>
          <w:ilvl w:val="0"/>
          <w:numId w:val="6"/>
        </w:numPr>
        <w:spacing w:after="80" w:line="290"/>
      </w:pPr>
      <w:r>
        <w:rPr>
          <w:b/>
          <w:bCs/>
        </w:rPr>
        <w:t xml:space="preserve">Pay only to the firm's official bank account</w:t>
      </w:r>
      <w:r>
        <w:t xml:space="preserve">, and always ask for a proper invoice with GST.</w:t>
      </w:r>
    </w:p>
    <w:p>
      <w:pPr>
        <w:pStyle w:val="ListParagraph"/>
        <w:numPr>
          <w:ilvl w:val="0"/>
          <w:numId w:val="6"/>
        </w:numPr>
        <w:spacing w:after="80" w:line="290"/>
      </w:pPr>
      <w:r>
        <w:rPr>
          <w:b/>
          <w:bCs/>
        </w:rPr>
        <w:t xml:space="preserve">Applications must be in your name</w:t>
      </w:r>
      <w:r>
        <w:t xml:space="preserve"> (or later the company's) — never in the firm's name.</w:t>
      </w:r>
    </w:p>
    <w:p>
      <w:pPr>
        <w:pStyle w:val="ListParagraph"/>
        <w:numPr>
          <w:ilvl w:val="0"/>
          <w:numId w:val="6"/>
        </w:numPr>
        <w:spacing w:after="80" w:line="290"/>
      </w:pPr>
      <w:r>
        <w:rPr>
          <w:b/>
          <w:bCs/>
        </w:rPr>
        <w:t xml:space="preserve">Verify independently:</w:t>
      </w:r>
      <w:r>
        <w:t xml:space="preserve"> after filing, ask for the application number and check it yourself on the IP India portal.</w:t>
      </w:r>
    </w:p>
    <w:p>
      <w:pPr>
        <w:pStyle w:val="ListParagraph"/>
        <w:numPr>
          <w:ilvl w:val="0"/>
          <w:numId w:val="6"/>
        </w:numPr>
        <w:spacing w:after="80" w:line="290"/>
      </w:pPr>
      <w:r>
        <w:rPr>
          <w:b/>
          <w:bCs/>
        </w:rPr>
        <w:t xml:space="preserve">Keep control</w:t>
      </w:r>
      <w:r>
        <w:t xml:space="preserve"> of your DSC, MCA login, and all original documents. Never hand over passwords.</w:t>
      </w:r>
    </w:p>
    <w:p>
      <w:pPr>
        <w:pStyle w:val="ListParagraph"/>
        <w:numPr>
          <w:ilvl w:val="0"/>
          <w:numId w:val="6"/>
        </w:numPr>
        <w:spacing w:after="80" w:line="290"/>
      </w:pPr>
      <w:r>
        <w:rPr>
          <w:b/>
          <w:bCs/>
        </w:rPr>
        <w:t xml:space="preserve">Never sign a blank or pre-filled form</w:t>
      </w:r>
      <w:r>
        <w:t xml:space="preserve"> without reading it. Never sign something that already looks signed by the other side unless it actually is.</w:t>
      </w:r>
    </w:p>
    <w:p>
      <w:pPr>
        <w:pStyle w:val="ListParagraph"/>
        <w:numPr>
          <w:ilvl w:val="0"/>
          <w:numId w:val="6"/>
        </w:numPr>
        <w:spacing w:after="80" w:line="290"/>
      </w:pPr>
      <w:r>
        <w:rPr>
          <w:b/>
          <w:bCs/>
        </w:rPr>
        <w:t xml:space="preserve">Read every indemnity clause</w:t>
      </w:r>
      <w:r>
        <w:t xml:space="preserve"> — it decides who pays if things go wrong.</w:t>
      </w:r>
    </w:p>
    <w:p>
      <w:pPr>
        <w:pStyle w:val="ListParagraph"/>
        <w:numPr>
          <w:ilvl w:val="0"/>
          <w:numId w:val="6"/>
        </w:numPr>
        <w:spacing w:after="80" w:line="290"/>
      </w:pPr>
      <w:r>
        <w:rPr>
          <w:b/>
          <w:bCs/>
        </w:rPr>
        <w:t xml:space="preserve">Ask "what happens if…"</w:t>
      </w:r>
      <w:r>
        <w:t xml:space="preserve"> — if there's an objection, an opposition, or if you switch lawyers.</w:t>
      </w:r>
    </w:p>
    <w:p>
      <w:pPr>
        <w:pStyle w:val="ListParagraph"/>
        <w:numPr>
          <w:ilvl w:val="0"/>
          <w:numId w:val="6"/>
        </w:numPr>
        <w:spacing w:after="80" w:line="290"/>
      </w:pPr>
      <w:r>
        <w:rPr>
          <w:b/>
          <w:bCs/>
        </w:rPr>
        <w:t xml:space="preserve">It's normal to ask questions.</w:t>
      </w:r>
      <w:r>
        <w:t xml:space="preserve"> Good lawyers expect them. If someone rushes you, slow down.</w:t>
      </w:r>
    </w:p>
    <w:p>
      <w:pPr>
        <w:pStyle w:val="Heading1"/>
        <w:pageBreakBefore/>
      </w:pPr>
      <w:bookmarkStart w:name="_Toc32" w:id="32"/>
      <w:r>
        <w:t xml:space="preserve">10. Our plan and the questions to ask</w:t>
      </w:r>
      <w:bookmarkEnd w:id="32"/>
    </w:p>
    <w:p>
      <w:pPr>
        <w:pStyle w:val="Heading2"/>
      </w:pPr>
      <w:bookmarkStart w:name="_Toc33" w:id="33"/>
      <w:r>
        <w:t xml:space="preserve">10.1 Recommended order (before investor day on 13 Dec)</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When</w:t>
            </w:r>
          </w:p>
        </w:tc>
        <w:tc>
          <w:tcPr>
            <w:tcW w:type="dxa" w:w="7518"/>
            <w:tcBorders>
              <w:top w:val="single" w:color="C9D8D3" w:sz="4"/>
              <w:left w:val="single" w:color="C9D8D3" w:sz="4"/>
              <w:bottom w:val="single" w:color="C9D8D3" w:sz="4"/>
              <w:right w:val="single" w:color="C9D8D3" w:sz="4"/>
            </w:tcBorders>
            <w:shd w:fill="0B2F2A" w:color="auto" w:val="clear"/>
            <w:tcMar>
              <w:top w:type="dxa" w:w="80"/>
              <w:left w:type="dxa" w:w="110"/>
              <w:bottom w:type="dxa" w:w="80"/>
              <w:right w:type="dxa" w:w="110"/>
            </w:tcMar>
          </w:tcPr>
          <w:p>
            <w:pPr>
              <w:spacing w:after="0" w:line="270"/>
            </w:pPr>
            <w:r>
              <w:rPr>
                <w:b/>
                <w:bCs/>
                <w:color w:val="FFFFFF"/>
              </w:rPr>
              <w:t xml:space="preserve">What</w:t>
            </w:r>
          </w:p>
        </w:tc>
      </w:tr>
      <w:tr>
        <w:tc>
          <w:tcPr>
            <w:tcW w:type="dxa" w:w="212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This week</w:t>
            </w:r>
          </w:p>
        </w:tc>
        <w:tc>
          <w:tcPr>
            <w:tcW w:type="dxa" w:w="7518"/>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Decide your second director and shareholding. Sign the NDA (after the fixes in 7.4). Ask Lextria the questions below.</w:t>
            </w:r>
          </w:p>
        </w:tc>
      </w:tr>
      <w:tr>
        <w:tc>
          <w:tcPr>
            <w:tcW w:type="dxa" w:w="212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Next week</w:t>
            </w:r>
          </w:p>
        </w:tc>
        <w:tc>
          <w:tcPr>
            <w:tcW w:type="dxa" w:w="7518"/>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Trademark search → file the </w:t>
            </w:r>
            <w:r>
              <w:rPr>
                <w:b/>
                <w:bCs/>
              </w:rPr>
              <w:t xml:space="preserve">word mark "PayWatch"</w:t>
            </w:r>
            <w:r>
              <w:t xml:space="preserve"> in your name (classes 9, 36, 42). Start using ™.</w:t>
            </w:r>
          </w:p>
        </w:tc>
      </w:tr>
      <w:tr>
        <w:tc>
          <w:tcPr>
            <w:tcW w:type="dxa" w:w="212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November</w:t>
            </w:r>
          </w:p>
        </w:tc>
        <w:tc>
          <w:tcPr>
            <w:tcW w:type="dxa" w:w="7518"/>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Incorporate PayWatch Pvt Ltd with a CA/CS. Open the bank account. Apply for DPIIT and Udyam.</w:t>
            </w:r>
          </w:p>
        </w:tc>
      </w:tr>
      <w:tr>
        <w:tc>
          <w:tcPr>
            <w:tcW w:type="dxa" w:w="212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After incorporation</w:t>
            </w:r>
          </w:p>
        </w:tc>
        <w:tc>
          <w:tcPr>
            <w:tcW w:type="dxa" w:w="7518"/>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Assign the trademark to the company. Board meeting and auditor within 30 days. INC-20A within 180 days.</w:t>
            </w:r>
          </w:p>
        </w:tc>
      </w:tr>
      <w:tr>
        <w:tc>
          <w:tcPr>
            <w:tcW w:type="dxa" w:w="2120"/>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Later</w:t>
            </w:r>
          </w:p>
        </w:tc>
        <w:tc>
          <w:tcPr>
            <w:tcW w:type="dxa" w:w="7518"/>
            <w:tcBorders>
              <w:top w:val="single" w:color="C9D8D3" w:sz="4"/>
              <w:left w:val="single" w:color="C9D8D3" w:sz="4"/>
              <w:bottom w:val="single" w:color="C9D8D3" w:sz="4"/>
              <w:right w:val="single" w:color="C9D8D3" w:sz="4"/>
            </w:tcBorders>
            <w:tcMar>
              <w:top w:type="dxa" w:w="80"/>
              <w:left w:type="dxa" w:w="110"/>
              <w:bottom w:type="dxa" w:w="80"/>
              <w:right w:type="dxa" w:w="110"/>
            </w:tcMar>
          </w:tcPr>
          <w:p>
            <w:pPr>
              <w:spacing w:after="0" w:line="270"/>
            </w:pPr>
            <w:r>
              <w:t xml:space="preserve">Logo trademark; copyright only if the AI question is resolved; no patent unless you invent something technical.</w:t>
            </w:r>
          </w:p>
        </w:tc>
      </w:tr>
    </w:tbl>
    <w:p>
      <w:pPr>
        <w:spacing w:after="120"/>
      </w:pPr>
    </w:p>
    <w:p>
      <w:pPr>
        <w:pStyle w:val="Heading2"/>
      </w:pPr>
      <w:bookmarkStart w:name="_Toc34" w:id="34"/>
      <w:r>
        <w:t xml:space="preserve">10.2 Questions to send Lextria</w:t>
      </w:r>
      <w:bookmarkEnd w:id="34"/>
    </w:p>
    <w:p>
      <w:pPr>
        <w:pStyle w:val="ListParagraph"/>
        <w:numPr>
          <w:ilvl w:val="0"/>
          <w:numId w:val="7"/>
        </w:numPr>
        <w:spacing w:after="80" w:line="290"/>
      </w:pPr>
      <w:r>
        <w:t xml:space="preserve">Is the trademark filing fee of ₹14,000 per class? Which classes do you recommend for a personal-finance app (we are considering 9, 36 and 42)?</w:t>
      </w:r>
    </w:p>
    <w:p>
      <w:pPr>
        <w:pStyle w:val="ListParagraph"/>
        <w:numPr>
          <w:ilvl w:val="0"/>
          <w:numId w:val="7"/>
        </w:numPr>
        <w:spacing w:after="80" w:line="290"/>
      </w:pPr>
      <w:r>
        <w:t xml:space="preserve">Is the ₹10,000 search per class or for all classes, and is it adjusted against the filing fee?</w:t>
      </w:r>
    </w:p>
    <w:p>
      <w:pPr>
        <w:pStyle w:val="ListParagraph"/>
        <w:numPr>
          <w:ilvl w:val="0"/>
          <w:numId w:val="7"/>
        </w:numPr>
        <w:spacing w:after="80" w:line="290"/>
      </w:pPr>
      <w:r>
        <w:t xml:space="preserve">What are your fees if a third party files an opposition?</w:t>
      </w:r>
    </w:p>
    <w:p>
      <w:pPr>
        <w:pStyle w:val="ListParagraph"/>
        <w:numPr>
          <w:ilvl w:val="0"/>
          <w:numId w:val="7"/>
        </w:numPr>
        <w:spacing w:after="80" w:line="290"/>
      </w:pPr>
      <w:r>
        <w:t xml:space="preserve">If I file in my own name now and incorporate later, what will it cost to assign the trademark to my company?</w:t>
      </w:r>
    </w:p>
    <w:p>
      <w:pPr>
        <w:pStyle w:val="ListParagraph"/>
        <w:numPr>
          <w:ilvl w:val="0"/>
          <w:numId w:val="7"/>
        </w:numPr>
        <w:spacing w:after="80" w:line="290"/>
      </w:pPr>
      <w:r>
        <w:t xml:space="preserve">Should we file as "proposed to be used" or claim use with a user affidavit, given paywatch.in is already live?</w:t>
      </w:r>
    </w:p>
    <w:p>
      <w:pPr>
        <w:pStyle w:val="ListParagraph"/>
        <w:numPr>
          <w:ilvl w:val="0"/>
          <w:numId w:val="7"/>
        </w:numPr>
        <w:spacing w:after="80" w:line="290"/>
      </w:pPr>
      <w:r>
        <w:t xml:space="preserve">Parts of our software and design were created with AI assistance — how do you approach copyright in that case, and who are the "related parties" in clause 3.7 of the AI declaration?</w:t>
      </w:r>
    </w:p>
    <w:p>
      <w:pPr>
        <w:pStyle w:val="ListParagraph"/>
        <w:numPr>
          <w:ilvl w:val="0"/>
          <w:numId w:val="7"/>
        </w:numPr>
        <w:spacing w:after="80" w:line="290"/>
      </w:pPr>
      <w:r>
        <w:t xml:space="preserve">Can you share the Power of Attorney draft before couriering it?</w:t>
      </w:r>
    </w:p>
    <w:p>
      <w:pPr>
        <w:pStyle w:val="ListParagraph"/>
        <w:numPr>
          <w:ilvl w:val="0"/>
          <w:numId w:val="7"/>
        </w:numPr>
        <w:spacing w:after="80" w:line="290"/>
      </w:pPr>
      <w:r>
        <w:t xml:space="preserve">Do you also handle company incorporation, or can you recommend a CA/CS?</w:t>
      </w:r>
    </w:p>
    <w:p>
      <w:pPr>
        <w:pStyle w:val="ListParagraph"/>
        <w:numPr>
          <w:ilvl w:val="0"/>
          <w:numId w:val="7"/>
        </w:numPr>
        <w:spacing w:after="80" w:line="290"/>
      </w:pPr>
      <w:r>
        <w:t xml:space="preserve">Please confirm all fees exclude 18% GST and estimate stamp duty, notary and courier charges.</w:t>
      </w:r>
    </w:p>
    <w:p>
      <w:pPr>
        <w:pStyle w:val="ListParagraph"/>
        <w:numPr>
          <w:ilvl w:val="0"/>
          <w:numId w:val="7"/>
        </w:numPr>
        <w:spacing w:after="80" w:line="290"/>
      </w:pPr>
      <w:r>
        <w:t xml:space="preserve">Can the NDA allow me to assign it to my future company?</w:t>
      </w:r>
    </w:p>
    <w:p>
      <w:pPr>
        <w:pStyle w:val="Heading1"/>
        <w:pageBreakBefore/>
      </w:pPr>
      <w:bookmarkStart w:name="_Toc35" w:id="35"/>
      <w:r>
        <w:t xml:space="preserve">Sources and further reading</w:t>
      </w:r>
      <w:bookmarkEnd w:id="35"/>
    </w:p>
    <w:p>
      <w:pPr>
        <w:spacing w:after="140" w:line="300"/>
      </w:pPr>
      <w:r>
        <w:t xml:space="preserve">Fees and rules change. Check the official portals before acting: IP India (ipindia.gov.in) for trademarks, patents and copyright; the Ministry of Corporate Affairs (mca.gov.in) for company registration; and Startup India (startupindia.gov.in) for DPIIT recognition.</w:t>
      </w:r>
    </w:p>
    <w:p>
      <w:pPr>
        <w:pStyle w:val="ListParagraph"/>
        <w:numPr>
          <w:ilvl w:val="0"/>
          <w:numId w:val="2"/>
        </w:numPr>
        <w:spacing w:after="60"/>
      </w:pPr>
      <w:hyperlink w:history="1" r:id="rId051x1-nrzdlo8rawfo8u9">
        <w:r>
          <w:rPr>
            <w:rStyle w:val="Hyperlink"/>
          </w:rPr>
          <w:t xml:space="preserve">Trademark registration fees in India (Intepat)</w:t>
        </w:r>
      </w:hyperlink>
    </w:p>
    <w:p>
      <w:pPr>
        <w:pStyle w:val="ListParagraph"/>
        <w:numPr>
          <w:ilvl w:val="0"/>
          <w:numId w:val="2"/>
        </w:numPr>
        <w:spacing w:after="60"/>
      </w:pPr>
      <w:hyperlink w:history="1" r:id="rIdrbhsjlop8kf0kh9n0qjcu">
        <w:r>
          <w:rPr>
            <w:rStyle w:val="Hyperlink"/>
          </w:rPr>
          <w:t xml:space="preserve">Section 45 proviso — copyright and trademark overlap (AIPLA)</w:t>
        </w:r>
      </w:hyperlink>
    </w:p>
    <w:p>
      <w:pPr>
        <w:pStyle w:val="ListParagraph"/>
        <w:numPr>
          <w:ilvl w:val="0"/>
          <w:numId w:val="2"/>
        </w:numPr>
        <w:spacing w:after="60"/>
      </w:pPr>
      <w:hyperlink w:history="1" r:id="rIdl5b6-oscmr0hhtb8ty9ur">
        <w:r>
          <w:rPr>
            <w:rStyle w:val="Hyperlink"/>
          </w:rPr>
          <w:t xml:space="preserve">India rejects AI as author (Asia IP)</w:t>
        </w:r>
      </w:hyperlink>
    </w:p>
    <w:p>
      <w:pPr>
        <w:pStyle w:val="ListParagraph"/>
        <w:numPr>
          <w:ilvl w:val="0"/>
          <w:numId w:val="2"/>
        </w:numPr>
        <w:spacing w:after="60"/>
      </w:pPr>
      <w:hyperlink w:history="1" r:id="rIdbkjwqxybxry-orwsrslw7">
        <w:r>
          <w:rPr>
            <w:rStyle w:val="Hyperlink"/>
          </w:rPr>
          <w:t xml:space="preserve">AI-assisted works and updated Form XIV (Mondaq)</w:t>
        </w:r>
      </w:hyperlink>
    </w:p>
    <w:p>
      <w:pPr>
        <w:pStyle w:val="ListParagraph"/>
        <w:numPr>
          <w:ilvl w:val="0"/>
          <w:numId w:val="2"/>
        </w:numPr>
        <w:spacing w:after="60"/>
      </w:pPr>
      <w:hyperlink w:history="1" r:id="rId0nz7vdmibwxnfdfmn2mrm">
        <w:r>
          <w:rPr>
            <w:rStyle w:val="Hyperlink"/>
          </w:rPr>
          <w:t xml:space="preserve">Section 3(k) — software patents in India (WIPO)</w:t>
        </w:r>
      </w:hyperlink>
    </w:p>
    <w:p>
      <w:pPr>
        <w:pStyle w:val="ListParagraph"/>
        <w:numPr>
          <w:ilvl w:val="0"/>
          <w:numId w:val="2"/>
        </w:numPr>
        <w:spacing w:after="60"/>
      </w:pPr>
      <w:hyperlink w:history="1" r:id="rId8timxzvez14p933l5bhyh">
        <w:r>
          <w:rPr>
            <w:rStyle w:val="Hyperlink"/>
          </w:rPr>
          <w:t xml:space="preserve">Annual compliance for private limited companies (Razorpay Rize)</w:t>
        </w:r>
      </w:hyperlink>
    </w:p>
    <w:p>
      <w:pPr>
        <w:spacing w:after="140" w:line="300"/>
      </w:pPr>
      <w:r>
        <w:rPr>
          <w:i/>
          <w:iCs/>
          <w:color w:val="5B6763"/>
        </w:rPr>
        <w:t xml:space="preserve">Documents explained: Lextria email (7 Oct 2026), Copyright Disclosure Form, Declaration of AI Use and Ownership Rights, Mutual NDA, and the patent, trademark and copyright quotations.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63"/>
        <w:sz w:val="16"/>
        <w:szCs w:val="16"/>
      </w:rPr>
      <w:t xml:space="preserve">Protecting PayWatch · not legal advice · page </w:t>
    </w:r>
    <w:r>
      <w:rPr>
        <w:color w:val="5B6763"/>
        <w:sz w:val="16"/>
        <w:szCs w:val="16"/>
      </w:rPr>
      <w:fldChar w:fldCharType="begin"/>
    </w:r>
    <w:r>
      <w:rPr>
        <w:color w:val="5B6763"/>
        <w:sz w:val="16"/>
        <w:szCs w:val="16"/>
      </w:rPr>
      <w:instrText xml:space="preserve">PAGE</w:instrText>
    </w:r>
    <w:r>
      <w:rPr>
        <w:color w:val="5B6763"/>
        <w:sz w:val="16"/>
        <w:szCs w:val="16"/>
      </w:rPr>
      <w:fldChar w:fldCharType="separate"/>
    </w:r>
    <w:r>
      <w:rPr>
        <w:color w:val="5B6763"/>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21"/>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20" w:before="120"/>
      <w:outlineLvl w:val="0"/>
    </w:pPr>
    <w:rPr>
      <w:rFonts w:ascii="Cambria" w:cs="Cambria" w:eastAsia="Cambria" w:hAnsi="Cambria"/>
      <w:b/>
      <w:bCs/>
      <w:color w:val="0B2F2A"/>
      <w:sz w:val="36"/>
      <w:szCs w:val="36"/>
    </w:rPr>
  </w:style>
  <w:style w:type="paragraph" w:styleId="Heading2">
    <w:name w:val="Heading 2"/>
    <w:basedOn w:val="Normal"/>
    <w:next w:val="Normal"/>
    <w:qFormat/>
    <w:pPr>
      <w:spacing w:after="120" w:before="280"/>
      <w:outlineLvl w:val="1"/>
    </w:pPr>
    <w:rPr>
      <w:rFonts w:ascii="Cambria" w:cs="Cambria" w:eastAsia="Cambria" w:hAnsi="Cambria"/>
      <w:b/>
      <w:bCs/>
      <w:color w:val="16544B"/>
      <w:sz w:val="27"/>
      <w:szCs w:val="27"/>
    </w:rPr>
  </w:style>
  <w:style w:type="paragraph" w:styleId="Heading3">
    <w:name w:val="Heading 3"/>
    <w:basedOn w:val="Normal"/>
    <w:next w:val="Normal"/>
    <w:qFormat/>
    <w:pPr>
      <w:spacing w:after="100" w:before="200"/>
      <w:outlineLvl w:val="2"/>
    </w:pPr>
    <w:rPr>
      <w:b/>
      <w:bCs/>
      <w:color w:val="0B2F2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051x1-nrzdlo8rawfo8u9" Type="http://schemas.openxmlformats.org/officeDocument/2006/relationships/hyperlink" Target="https://intepat.com/blog/trademark-registration-fees-india" TargetMode="External"/><Relationship Id="rIdrbhsjlop8kf0kh9n0qjcu" Type="http://schemas.openxmlformats.org/officeDocument/2006/relationships/hyperlink" Target="https://www.aipla.org/innovate/the-crossroad-of-india-s-trademark-and-copyright-law" TargetMode="External"/><Relationship Id="rIdl5b6-oscmr0hhtb8ty9ur" Type="http://schemas.openxmlformats.org/officeDocument/2006/relationships/hyperlink" Target="https://asiaiplaw.com/article/india-rejects-ai-as-author-but-recognizes-the-person-behind-the-ai" TargetMode="External"/><Relationship Id="rIdbkjwqxybxry-orwsrslw7" Type="http://schemas.openxmlformats.org/officeDocument/2006/relationships/hyperlink" Target="https://www.mondaq.com/india/copyright/1806932/establishing-authorship-in-ai-assisted-works-the-copyright-office-of-indias-updated-form-xiv-requirements-and-the-substantial-human-creative-direction-test" TargetMode="External"/><Relationship Id="rId0nz7vdmibwxnfdfmn2mrm" Type="http://schemas.openxmlformats.org/officeDocument/2006/relationships/hyperlink" Target="https://wipo.int/ip-development/en/agenda/flexibilities/details.jsp?id=8825" TargetMode="External"/><Relationship Id="rId8timxzvez14p933l5bhyh" Type="http://schemas.openxmlformats.org/officeDocument/2006/relationships/hyperlink" Target="https://razorpay.com/rize/blogs/annual-compliance-of-a-company-in-india"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Protecting PayWatch — Legal &amp; IP Guide</dc:title>
  <dc:creator>PayWatch</dc:creator>
  <dc:description>Plain-language guide</dc:description>
  <cp:lastModifiedBy>Un-named</cp:lastModifiedBy>
  <cp:revision>1</cp:revision>
  <dcterms:created xsi:type="dcterms:W3CDTF">2026-10-26T16:27:31.669Z</dcterms:created>
  <dcterms:modified xsi:type="dcterms:W3CDTF">2026-10-26T16:27:31.669Z</dcterms:modified>
</cp:coreProperties>
</file>

<file path=docProps/custom.xml><?xml version="1.0" encoding="utf-8"?>
<Properties xmlns="http://schemas.openxmlformats.org/officeDocument/2006/custom-properties" xmlns:vt="http://schemas.openxmlformats.org/officeDocument/2006/docPropsVTypes"/>
</file>