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B2F2A"/>
          <w:sz w:val="40"/>
          <w:szCs w:val="40"/>
        </w:rPr>
        <w:t xml:space="preserve">PayWatch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1F7A5C"/>
          <w:sz w:val="20"/>
          <w:szCs w:val="20"/>
        </w:rPr>
        <w:t xml:space="preserve">Watch your money grow.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Market &amp; User Research Internship — Task Division &amp; Work Plan</w:t>
      </w:r>
    </w:p>
    <w:p>
      <w:pPr>
        <w:pBdr>
          <w:bottom w:val="single" w:color="1F7A5C" w:sz="6"/>
        </w:pBdr>
        <w:spacing w:after="120" w:before="60"/>
      </w:pPr>
      <w:r>
        <w:t xml:space="preserve"/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Intern: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Vighnesh Nikam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Role: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Market &amp; User Research Intern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Reporting to: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Yash Saini, Founder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Start date: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22 August 2026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Engagement: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Task-based &amp; flexible — work is assigned as scoped tasks with target timelines; no fixed daily hours.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F2A"/>
        </w:rPr>
        <w:t xml:space="preserve">1. Context &amp; Objective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PayWatch operates in India’s personal-finance space, building for everyday individuals — young first-time earners and working professionals — who need simpler, more trustworthy help managing their money across areas like insurance, investments (capital markets), loans/credit, tax and everyday savings.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goal of this research engagement is to deeply understand this market and its users — who they are, how they currently deal with each of these financial areas, what they struggle with, what makes them trust (or distrust) a financial app with their data, and what would make them not just try a product but stay and pay for it.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You do not need to focus on any one company’s product. Your job is to study the market, the users, and the competition objectively, so we can make well-informed product decisions. Treat this as building the evidence base that a strong product is built on.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F2A"/>
        </w:rPr>
        <w:t xml:space="preserve">2. How We’ll Work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Work is divided into the tasks below, each with a clear objective, scope, deliverable and target window.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 each task we’ll have a short briefing, you’ll do the work independently, and we’ll review the deliverable together before moving 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Timelines are target windows, not rigid deadlines — flag early if a task needs more time or if you discover something worth going deeper 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Keep all deliverables clean and presentable (Google Slides / Docs / Sheets). Always include your sources.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How your work will be assessed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Your monthly stipend (₹8,000–₹10,000) reflects the quality of work delivered, judged on: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Quality of research and the sharpness of insights (not just data collection).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Quality and clarity of deliverables.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Soundness of methods and approach.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Turnaround time.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Overall initiative and interest shown in the internship.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F2A"/>
        </w:rPr>
        <w:t xml:space="preserve">3. Task Overview &amp; Schedule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snapshot of the five tasks and their target windows. Details for each follow below.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500"/>
        <w:gridCol w:w="2000"/>
      </w:tblGrid>
      <w:tr>
        <w:trPr>
          <w:tblHeader/>
        </w:trPr>
        <w:tc>
          <w:tcPr>
            <w:tcW w:type="dxa" w:w="9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5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20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Window</w:t>
            </w:r>
          </w:p>
        </w:tc>
      </w:tr>
      <w:tr>
        <w:tc>
          <w:tcPr>
            <w:tcW w:type="dxa" w:w="9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Competitor &amp; Market Landscape</w:t>
            </w:r>
          </w:p>
        </w:tc>
        <w:tc>
          <w:tcPr>
            <w:tcW w:type="dxa" w:w="25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Comparison matrix + insights</w:t>
            </w:r>
          </w:p>
        </w:tc>
        <w:tc>
          <w:tcPr>
            <w:tcW w:type="dxa" w:w="20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22 Aug – 29 Aug</w:t>
            </w:r>
          </w:p>
        </w:tc>
      </w:tr>
      <w:tr>
        <w:tc>
          <w:tcPr>
            <w:tcW w:type="dxa" w:w="9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Customer Empathy Mapping</w:t>
            </w:r>
          </w:p>
        </w:tc>
        <w:tc>
          <w:tcPr>
            <w:tcW w:type="dxa" w:w="25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Empathy maps + pains/gains</w:t>
            </w:r>
          </w:p>
        </w:tc>
        <w:tc>
          <w:tcPr>
            <w:tcW w:type="dxa" w:w="20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30 Aug – 06 Sep</w:t>
            </w:r>
          </w:p>
        </w:tc>
      </w:tr>
      <w:tr>
        <w:tc>
          <w:tcPr>
            <w:tcW w:type="dxa" w:w="9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Customer Journey Mapping</w:t>
            </w:r>
          </w:p>
        </w:tc>
        <w:tc>
          <w:tcPr>
            <w:tcW w:type="dxa" w:w="25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Journey maps per sector</w:t>
            </w:r>
          </w:p>
        </w:tc>
        <w:tc>
          <w:tcPr>
            <w:tcW w:type="dxa" w:w="20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07 Sep – 14 Sep</w:t>
            </w:r>
          </w:p>
        </w:tc>
      </w:tr>
      <w:tr>
        <w:tc>
          <w:tcPr>
            <w:tcW w:type="dxa" w:w="9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Trust &amp; Data-Sharing Research</w:t>
            </w:r>
          </w:p>
        </w:tc>
        <w:tc>
          <w:tcPr>
            <w:tcW w:type="dxa" w:w="25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Trust drivers/barriers report</w:t>
            </w:r>
          </w:p>
        </w:tc>
        <w:tc>
          <w:tcPr>
            <w:tcW w:type="dxa" w:w="20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 Sep – 23 Sep</w:t>
            </w:r>
          </w:p>
        </w:tc>
      </w:tr>
      <w:tr>
        <w:tc>
          <w:tcPr>
            <w:tcW w:type="dxa" w:w="9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Conversion &amp; Retention Research</w:t>
            </w:r>
          </w:p>
        </w:tc>
        <w:tc>
          <w:tcPr>
            <w:tcW w:type="dxa" w:w="25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Levers report + benchmarks</w:t>
            </w:r>
          </w:p>
        </w:tc>
        <w:tc>
          <w:tcPr>
            <w:tcW w:type="dxa" w:w="2000"/>
            <w:tcBorders>
              <w:top w:val="single" w:color="D5E0DA" w:sz="4"/>
              <w:left w:val="single" w:color="D5E0DA" w:sz="4"/>
              <w:bottom w:val="single" w:color="D5E0DA" w:sz="4"/>
              <w:right w:val="single" w:color="D5E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24 Sep – 02 Oct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Note: these windows are staggered guidance. We’ll confirm each task’s exact scope at its briefing.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F2A"/>
        </w:rPr>
        <w:t xml:space="preserve">Task 1 — Competitor &amp; Market Landscape Analysis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Target window: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22 Aug – 29 Aug 2026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Objective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Map who is already serving the Indian personal-finance consumer across sectors, how they position themselves, how they make money, and where they fall short.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Scope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Study a spread of players across these sectors (pick the leading and most interesting ones in each):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Insurance: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Insurance — e.g. Policybazaar, Ditto, Acko.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Investing: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Investments / capital markets — e.g. Groww, Zerodha (Coin), INDmoney, Kuvera.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Lending: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Loans / credit — e.g. CRED, Paytm, KreditBee, Navi.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Tax: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Tax — e.g. ClearTax, Quicko.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PFM: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Broad money-management / PFM apps — e.g. Jupiter, Fi, Walnut, Cred.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For each player, capture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Target user and core value proposition.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Main features and what they do best.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they make money (subscription, commission, ads, etc.).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Strengths, weaknesses, and common user complaints (read app-store reviews, Reddit, social media).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they acquire users.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comparison matrix (spreadsheet) covering the above.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1–2 page write-up + 5–7 key takeaways: where the gaps and unmet needs are in this market.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F2A"/>
        </w:rPr>
        <w:t xml:space="preserve">Task 2 — Customer Empathy Mapping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Target window: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30 Aug – 06 Sep 2026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Objective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Build a deep, human understanding of the target user’s relationship with money — what they say, think, do and feel.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Segments to study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Young / first-time earners (roughly 19–25): students with stipends, fresh graduates, early-career.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Working professionals (roughly 25–40): salaried, some with families and larger financial responsibilities.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Method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5–8 short, informal conversations/interviews per segment (friends, seniors, family, peers all count).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Supplement with secondary research (surveys, articles, forums).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 empathy map per segment (Says / Thinks / Does / Feels).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summary of each segment’s top pains (frustrations, fears) and gains (what they want, what success looks like) around money.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F2A"/>
        </w:rPr>
        <w:t xml:space="preserve">Task 3 — Customer Journey Mapping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Target window: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07 Sep – 14 Sep 2026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Objective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Map the end-to-end journey a person goes through when dealing with a specific financial need, so we can see exactly where it gets confusing, stressful or where people give up.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Journeys to map (pick 2–3 to start)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Buying an insurance policy (e.g. health or term).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Making a first investment (e.g. a mutual fund / SIP).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Taking a loan or using credit.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Filing income tax for the first time.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For each journey, map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stages, from first realising the need to completing it (and after).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the person does, thinks and feels at each stage.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Pain points, points of confusion, and where people commonly drop off.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Opportunities — where a better experience could help most.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visual journey map for each chosen journey, with a short note on the biggest opportunities.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F2A"/>
        </w:rPr>
        <w:t xml:space="preserve">Task 4 — Trust &amp; Financial Data-Sharing Research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Target window: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15 Sep – 23 Sep 2026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Objective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Understand what makes people willing — or unwilling — to share their financial data with an app (bank details, income, spending, documents). This is one of the biggest hurdles for any finance product, so we want real clarity here.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Questions to answer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makes a person trust a finance app enough to share sensitive data? What breaks that trust instantly?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much does brand, design, security signals, reviews, or a known name matter?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aware are users of data protection / regulation, and does it affect their comfort?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past experiences (scams, spam, data misuse) make people hesitant?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would make someone comfortable linking their bank or uploading a financial document?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Method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short survey (aim for 25–40 responses) + a few follow-up conversations.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Secondary research — e.g. adoption of consent-based data sharing (Account Aggregator) and why it has/hasn’t taken off.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report on trust drivers and barriers, with clear, practical recommendations on how a finance app can earn data-sharing trust.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F2A"/>
        </w:rPr>
        <w:t xml:space="preserve">Task 5 — Conversion &amp; Retention Research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Target window: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24 Sep – 02 Oct 2026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Objective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Understand how consumer-finance apps turn interested users into people who actually keep using the app and pay for it — and why users churn.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Questions to answer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makes people pay for a finance app instead of using free tools? What are they willing to pay for?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price points feel fair for this kind of product in India, and how price-sensitive is the audience?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keeps users coming back (habit loops, reminders, visible value)? What makes them stop?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do the best apps in this space (and adjacent ones) drive retention and paid conversion?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Method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Benchmark 4–6 apps on their free-vs-paid model, pricing and retention tactics.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Short survey / conversations on willingness to pay and what would keep users engaged.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7A5C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report on conversion and retention levers + benchmarks, with recommendations on how to convert free users to paying, retained users.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F2A"/>
        </w:rPr>
        <w:t xml:space="preserve">4. A Few Ground Rules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Keep all work, discussions and any product context confidential — please don’t share externally.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Always cite your sources and be honest about sample sizes; small, real data beats made-up certainty.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When in doubt about scope or direction, ask early rather than guess.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Bring your own thinking — if you spot something interesting outside the brief, flag it. Initiative is valued.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B2F2A"/>
          <w:sz w:val="21"/>
          <w:szCs w:val="21"/>
        </w:rPr>
        <w:t xml:space="preserve">Looking forward to seeing what you uncover. Let’s build this on real evidence.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— Yash Saini, Founder, PayWatch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2026-08-22T08:24:36.586Z</dcterms:created>
  <dcterms:modified xsi:type="dcterms:W3CDTF">2026-08-22T08:24:36.586Z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