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B2F2A"/>
          <w:sz w:val="34"/>
          <w:szCs w:val="34"/>
        </w:rPr>
        <w:t xml:space="preserve">PayWatch</w:t>
      </w:r>
    </w:p>
    <w:p>
      <w:pPr>
        <w:spacing w:after="50"/>
      </w:pPr>
      <w:r>
        <w:rPr>
          <w:rFonts w:ascii="Calibri" w:cs="Calibri" w:eastAsia="Calibri" w:hAnsi="Calibri"/>
          <w:i/>
          <w:iCs/>
          <w:color w:val="1F7A5C"/>
          <w:sz w:val="19"/>
          <w:szCs w:val="19"/>
        </w:rPr>
        <w:t xml:space="preserve">Watch your money grow.</w:t>
      </w:r>
    </w:p>
    <w:p>
      <w:pPr>
        <w:spacing w:after="20"/>
      </w:pPr>
      <w:r>
        <w:rPr>
          <w:rFonts w:ascii="Calibri" w:cs="Calibri" w:eastAsia="Calibri" w:hAnsi="Calibri"/>
          <w:b/>
          <w:bCs/>
          <w:color w:val="555555"/>
          <w:sz w:val="20"/>
          <w:szCs w:val="20"/>
        </w:rPr>
        <w:t xml:space="preserve">Market &amp; User Research Internship  ·  Task 2 of 5</w:t>
      </w:r>
    </w:p>
    <w:p>
      <w:pPr>
        <w:spacing w:after="40"/>
      </w:pPr>
      <w:r>
        <w:rPr>
          <w:rFonts w:ascii="Calibri" w:cs="Calibri" w:eastAsia="Calibri" w:hAnsi="Calibri"/>
          <w:b/>
          <w:bCs/>
          <w:color w:val="1A1A1A"/>
          <w:sz w:val="28"/>
          <w:szCs w:val="28"/>
        </w:rPr>
        <w:t xml:space="preserve">Competitor &amp; Market Landscape Analysis (Deep Dive)</w:t>
      </w:r>
    </w:p>
    <w:p>
      <w:pPr>
        <w:pBdr>
          <w:bottom w:val="single" w:color="1F7A5C" w:sz="6"/>
        </w:pBdr>
        <w:spacing w:after="130" w:before="60"/>
      </w:pPr>
      <w:r>
        <w:t xml:space="preserve"/>
      </w:r>
    </w:p>
    <w:p>
      <w:pPr>
        <w:spacing w:after="56" w:line="268"/>
      </w:pPr>
      <w:r>
        <w:rPr>
          <w:rFonts w:ascii="Calibri" w:cs="Calibri" w:eastAsia="Calibri" w:hAnsi="Calibri"/>
          <w:b/>
          <w:bCs/>
          <w:color w:val="0B2F2A"/>
          <w:sz w:val="21"/>
          <w:szCs w:val="21"/>
        </w:rPr>
        <w:t xml:space="preserve">Intern:  </w:t>
      </w:r>
      <w:r>
        <w:rPr>
          <w:rFonts w:ascii="Calibri" w:cs="Calibri" w:eastAsia="Calibri" w:hAnsi="Calibri"/>
          <w:color w:val="1A1A1A"/>
          <w:sz w:val="21"/>
          <w:szCs w:val="21"/>
        </w:rPr>
        <w:t xml:space="preserve">Vighnesh Nikam</w:t>
      </w:r>
    </w:p>
    <w:p>
      <w:pPr>
        <w:spacing w:after="56" w:line="268"/>
      </w:pPr>
      <w:r>
        <w:rPr>
          <w:rFonts w:ascii="Calibri" w:cs="Calibri" w:eastAsia="Calibri" w:hAnsi="Calibri"/>
          <w:b/>
          <w:bCs/>
          <w:color w:val="0B2F2A"/>
          <w:sz w:val="21"/>
          <w:szCs w:val="21"/>
        </w:rPr>
        <w:t xml:space="preserve">Reporting to:  </w:t>
      </w:r>
      <w:r>
        <w:rPr>
          <w:rFonts w:ascii="Calibri" w:cs="Calibri" w:eastAsia="Calibri" w:hAnsi="Calibri"/>
          <w:color w:val="1A1A1A"/>
          <w:sz w:val="21"/>
          <w:szCs w:val="21"/>
        </w:rPr>
        <w:t xml:space="preserve">Yash Saini, Founder</w:t>
      </w:r>
    </w:p>
    <w:p>
      <w:pPr>
        <w:spacing w:after="56" w:line="268"/>
      </w:pPr>
      <w:r>
        <w:rPr>
          <w:rFonts w:ascii="Calibri" w:cs="Calibri" w:eastAsia="Calibri" w:hAnsi="Calibri"/>
          <w:b/>
          <w:bCs/>
          <w:color w:val="0B2F2A"/>
          <w:sz w:val="21"/>
          <w:szCs w:val="21"/>
        </w:rPr>
        <w:t xml:space="preserve">Target window:  </w:t>
      </w:r>
      <w:r>
        <w:rPr>
          <w:rFonts w:ascii="Calibri" w:cs="Calibri" w:eastAsia="Calibri" w:hAnsi="Calibri"/>
          <w:color w:val="1A1A1A"/>
          <w:sz w:val="21"/>
          <w:szCs w:val="21"/>
        </w:rPr>
        <w:t xml:space="preserve">29 Aug – 12 Sep 2026 (2 weeks — this is a deep task)</w:t>
      </w:r>
    </w:p>
    <w:p>
      <w:pPr>
        <w:spacing w:after="60"/>
      </w:pPr>
      <w:r>
        <w:rPr>
          <w:sz w:val="8"/>
          <w:szCs w:val="8"/>
        </w:rPr>
        <w:t xml:space="preserve"/>
      </w:r>
    </w:p>
    <w:p>
      <w:pPr>
        <w:pStyle w:val="Heading1"/>
        <w:spacing w:after="110" w:before="240"/>
      </w:pPr>
      <w:r>
        <w:rPr>
          <w:rFonts w:ascii="Calibri" w:cs="Calibri" w:eastAsia="Calibri" w:hAnsi="Calibri"/>
          <w:b/>
          <w:bCs/>
          <w:color w:val="0B2F2A"/>
        </w:rPr>
        <w:t xml:space="preserve">Objective</w:t>
      </w:r>
    </w:p>
    <w:p>
      <w:pPr>
        <w:spacing w:after="110" w:line="274"/>
      </w:pPr>
      <w:r>
        <w:rPr>
          <w:rFonts w:ascii="Calibri" w:cs="Calibri" w:eastAsia="Calibri" w:hAnsi="Calibri"/>
          <w:b w:val="false"/>
          <w:bCs w:val="false"/>
          <w:i w:val="false"/>
          <w:iCs w:val="false"/>
          <w:color w:val="1A1A1A"/>
          <w:sz w:val="21"/>
          <w:szCs w:val="21"/>
        </w:rPr>
        <w:t xml:space="preserve">Build a deep, honest understanding of every meaningful player in India’s personal-finance / fintech space — their business model, their story, what they actually sell, how they make money, how they grew, and (most importantly) why some of them failed or had to pivot. The goal is not a list of apps; it’s to understand the economics and the traps of this market so PayWatch can position sharply and avoid known mistakes.</w:t>
      </w:r>
    </w:p>
    <w:p>
      <w:pPr>
        <w:spacing w:after="110" w:line="274"/>
      </w:pPr>
      <w:r>
        <w:rPr>
          <w:rFonts w:ascii="Calibri" w:cs="Calibri" w:eastAsia="Calibri" w:hAnsi="Calibri"/>
          <w:b w:val="false"/>
          <w:bCs w:val="false"/>
          <w:i/>
          <w:iCs/>
          <w:color w:val="555555"/>
          <w:sz w:val="20"/>
          <w:szCs w:val="20"/>
        </w:rPr>
        <w:t xml:space="preserve">Carry forward the rigor from your empathy report — the evidence-tagging, the traceable sources, the honest limitations. That approach was excellent; keep it.</w:t>
      </w:r>
    </w:p>
    <w:p>
      <w:pPr>
        <w:pStyle w:val="Heading1"/>
        <w:spacing w:after="110" w:before="240"/>
      </w:pPr>
      <w:r>
        <w:rPr>
          <w:rFonts w:ascii="Calibri" w:cs="Calibri" w:eastAsia="Calibri" w:hAnsi="Calibri"/>
          <w:b/>
          <w:bCs/>
          <w:color w:val="0B2F2A"/>
        </w:rPr>
        <w:t xml:space="preserve">Sectors to cover</w:t>
      </w:r>
    </w:p>
    <w:p>
      <w:pPr>
        <w:spacing w:after="110" w:line="274"/>
      </w:pPr>
      <w:r>
        <w:rPr>
          <w:rFonts w:ascii="Calibri" w:cs="Calibri" w:eastAsia="Calibri" w:hAnsi="Calibri"/>
          <w:b w:val="false"/>
          <w:bCs w:val="false"/>
          <w:i w:val="false"/>
          <w:iCs w:val="false"/>
          <w:color w:val="1A1A1A"/>
          <w:sz w:val="21"/>
          <w:szCs w:val="21"/>
        </w:rPr>
        <w:t xml:space="preserve">Study the leading and most instructive players in each. You don’t need all of them — go deep on the important ones rather than shallow on all.</w:t>
      </w:r>
    </w:p>
    <w:p>
      <w:pPr>
        <w:pStyle w:val="ListParagraph"/>
        <w:numPr>
          <w:ilvl w:val="0"/>
          <w:numId w:val="1"/>
        </w:numPr>
        <w:spacing w:after="64" w:line="268"/>
      </w:pPr>
      <w:r>
        <w:rPr>
          <w:rFonts w:ascii="Calibri" w:cs="Calibri" w:eastAsia="Calibri" w:hAnsi="Calibri"/>
          <w:b/>
          <w:bCs/>
          <w:color w:val="1A1A1A"/>
          <w:sz w:val="21"/>
          <w:szCs w:val="21"/>
        </w:rPr>
        <w:t xml:space="preserve">Investing / wealth / broking: </w:t>
      </w:r>
      <w:r>
        <w:rPr>
          <w:rFonts w:ascii="Calibri" w:cs="Calibri" w:eastAsia="Calibri" w:hAnsi="Calibri"/>
          <w:color w:val="1A1A1A"/>
          <w:sz w:val="21"/>
          <w:szCs w:val="21"/>
        </w:rPr>
        <w:t xml:space="preserve">Groww, Zerodha (Coin), INDmoney, Kuvera, ET Money, Paytm Money, smallcase, Angel One.</w:t>
      </w:r>
    </w:p>
    <w:p>
      <w:pPr>
        <w:pStyle w:val="ListParagraph"/>
        <w:numPr>
          <w:ilvl w:val="0"/>
          <w:numId w:val="1"/>
        </w:numPr>
        <w:spacing w:after="64" w:line="268"/>
      </w:pPr>
      <w:r>
        <w:rPr>
          <w:rFonts w:ascii="Calibri" w:cs="Calibri" w:eastAsia="Calibri" w:hAnsi="Calibri"/>
          <w:b/>
          <w:bCs/>
          <w:color w:val="1A1A1A"/>
          <w:sz w:val="21"/>
          <w:szCs w:val="21"/>
        </w:rPr>
        <w:t xml:space="preserve">Tax software: </w:t>
      </w:r>
      <w:r>
        <w:rPr>
          <w:rFonts w:ascii="Calibri" w:cs="Calibri" w:eastAsia="Calibri" w:hAnsi="Calibri"/>
          <w:color w:val="1A1A1A"/>
          <w:sz w:val="21"/>
          <w:szCs w:val="21"/>
        </w:rPr>
        <w:t xml:space="preserve">ClearTax, Quicko, TaxBuddy, myITreturn, EZTax.</w:t>
      </w:r>
    </w:p>
    <w:p>
      <w:pPr>
        <w:pStyle w:val="ListParagraph"/>
        <w:numPr>
          <w:ilvl w:val="0"/>
          <w:numId w:val="1"/>
        </w:numPr>
        <w:spacing w:after="64" w:line="268"/>
      </w:pPr>
      <w:r>
        <w:rPr>
          <w:rFonts w:ascii="Calibri" w:cs="Calibri" w:eastAsia="Calibri" w:hAnsi="Calibri"/>
          <w:b/>
          <w:bCs/>
          <w:color w:val="1A1A1A"/>
          <w:sz w:val="21"/>
          <w:szCs w:val="21"/>
        </w:rPr>
        <w:t xml:space="preserve">Insurance: </w:t>
      </w:r>
      <w:r>
        <w:rPr>
          <w:rFonts w:ascii="Calibri" w:cs="Calibri" w:eastAsia="Calibri" w:hAnsi="Calibri"/>
          <w:color w:val="1A1A1A"/>
          <w:sz w:val="21"/>
          <w:szCs w:val="21"/>
        </w:rPr>
        <w:t xml:space="preserve">Policybazaar, Ditto Insurance, Acko, Digit, InsuranceDekho, PhonePe/Paytm insurance.</w:t>
      </w:r>
    </w:p>
    <w:p>
      <w:pPr>
        <w:pStyle w:val="ListParagraph"/>
        <w:numPr>
          <w:ilvl w:val="0"/>
          <w:numId w:val="1"/>
        </w:numPr>
        <w:spacing w:after="64" w:line="268"/>
      </w:pPr>
      <w:r>
        <w:rPr>
          <w:rFonts w:ascii="Calibri" w:cs="Calibri" w:eastAsia="Calibri" w:hAnsi="Calibri"/>
          <w:b/>
          <w:bCs/>
          <w:color w:val="1A1A1A"/>
          <w:sz w:val="21"/>
          <w:szCs w:val="21"/>
        </w:rPr>
        <w:t xml:space="preserve">Money-management / neobanks / PFM: </w:t>
      </w:r>
      <w:r>
        <w:rPr>
          <w:rFonts w:ascii="Calibri" w:cs="Calibri" w:eastAsia="Calibri" w:hAnsi="Calibri"/>
          <w:color w:val="1A1A1A"/>
          <w:sz w:val="21"/>
          <w:szCs w:val="21"/>
        </w:rPr>
        <w:t xml:space="preserve">Jupiter, Fi Money, Cred, slice, OneCard, Navi, Walnut.</w:t>
      </w:r>
    </w:p>
    <w:p>
      <w:pPr>
        <w:pStyle w:val="ListParagraph"/>
        <w:numPr>
          <w:ilvl w:val="0"/>
          <w:numId w:val="1"/>
        </w:numPr>
        <w:spacing w:after="64" w:line="268"/>
      </w:pPr>
      <w:r>
        <w:rPr>
          <w:rFonts w:ascii="Calibri" w:cs="Calibri" w:eastAsia="Calibri" w:hAnsi="Calibri"/>
          <w:b/>
          <w:bCs/>
          <w:color w:val="1A1A1A"/>
          <w:sz w:val="21"/>
          <w:szCs w:val="21"/>
        </w:rPr>
        <w:t xml:space="preserve">Global analogues (for lessons, not India competitors): </w:t>
      </w:r>
      <w:r>
        <w:rPr>
          <w:rFonts w:ascii="Calibri" w:cs="Calibri" w:eastAsia="Calibri" w:hAnsi="Calibri"/>
          <w:color w:val="1A1A1A"/>
          <w:sz w:val="21"/>
          <w:szCs w:val="21"/>
        </w:rPr>
        <w:t xml:space="preserve">Mint (shut down by Intuit), Rocket Money, Cleo, Monarch, YNAB, NerdWallet — for how they monetise and, in Mint’s case, why it was killed.</w:t>
      </w:r>
    </w:p>
    <w:p>
      <w:pPr>
        <w:pStyle w:val="Heading1"/>
        <w:spacing w:after="110" w:before="240"/>
      </w:pPr>
      <w:r>
        <w:rPr>
          <w:rFonts w:ascii="Calibri" w:cs="Calibri" w:eastAsia="Calibri" w:hAnsi="Calibri"/>
          <w:b/>
          <w:bCs/>
          <w:color w:val="0B2F2A"/>
        </w:rPr>
        <w:t xml:space="preserve">For each key player, dissect these 10 things</w:t>
      </w:r>
    </w:p>
    <w:p>
      <w:pPr>
        <w:pStyle w:val="ListParagraph"/>
        <w:numPr>
          <w:ilvl w:val="0"/>
          <w:numId w:val="2"/>
        </w:numPr>
        <w:spacing w:after="60" w:line="268"/>
      </w:pPr>
      <w:r>
        <w:rPr>
          <w:rFonts w:ascii="Calibri" w:cs="Calibri" w:eastAsia="Calibri" w:hAnsi="Calibri"/>
          <w:b/>
          <w:bCs/>
          <w:color w:val="1A1A1A"/>
          <w:sz w:val="21"/>
          <w:szCs w:val="21"/>
        </w:rPr>
        <w:t xml:space="preserve">The story: </w:t>
      </w:r>
      <w:r>
        <w:rPr>
          <w:rFonts w:ascii="Calibri" w:cs="Calibri" w:eastAsia="Calibri" w:hAnsi="Calibri"/>
          <w:color w:val="1A1A1A"/>
          <w:sz w:val="21"/>
          <w:szCs w:val="21"/>
        </w:rPr>
        <w:t xml:space="preserve">What they do in one line + their founding story and timeline (who, when, and the original problem they set out to solve).</w:t>
      </w:r>
    </w:p>
    <w:p>
      <w:pPr>
        <w:pStyle w:val="ListParagraph"/>
        <w:numPr>
          <w:ilvl w:val="0"/>
          <w:numId w:val="2"/>
        </w:numPr>
        <w:spacing w:after="60" w:line="268"/>
      </w:pPr>
      <w:r>
        <w:rPr>
          <w:rFonts w:ascii="Calibri" w:cs="Calibri" w:eastAsia="Calibri" w:hAnsi="Calibri"/>
          <w:b/>
          <w:bCs/>
          <w:color w:val="1A1A1A"/>
          <w:sz w:val="21"/>
          <w:szCs w:val="21"/>
        </w:rPr>
        <w:t xml:space="preserve">Target &amp; value prop: </w:t>
      </w:r>
      <w:r>
        <w:rPr>
          <w:rFonts w:ascii="Calibri" w:cs="Calibri" w:eastAsia="Calibri" w:hAnsi="Calibri"/>
          <w:color w:val="1A1A1A"/>
          <w:sz w:val="21"/>
          <w:szCs w:val="21"/>
        </w:rPr>
        <w:t xml:space="preserve">Who is their target customer, and what is the core promise.</w:t>
      </w:r>
    </w:p>
    <w:p>
      <w:pPr>
        <w:pStyle w:val="ListParagraph"/>
        <w:numPr>
          <w:ilvl w:val="0"/>
          <w:numId w:val="2"/>
        </w:numPr>
        <w:spacing w:after="60" w:line="268"/>
      </w:pPr>
      <w:r>
        <w:rPr>
          <w:rFonts w:ascii="Calibri" w:cs="Calibri" w:eastAsia="Calibri" w:hAnsi="Calibri"/>
          <w:b/>
          <w:bCs/>
          <w:color w:val="1A1A1A"/>
          <w:sz w:val="21"/>
          <w:szCs w:val="21"/>
        </w:rPr>
        <w:t xml:space="preserve">The product: </w:t>
      </w:r>
      <w:r>
        <w:rPr>
          <w:rFonts w:ascii="Calibri" w:cs="Calibri" w:eastAsia="Calibri" w:hAnsi="Calibri"/>
          <w:color w:val="1A1A1A"/>
          <w:sz w:val="21"/>
          <w:szCs w:val="21"/>
        </w:rPr>
        <w:t xml:space="preserve">What they actually sell / the product surface (features, the hook, the paid layer).</w:t>
      </w:r>
    </w:p>
    <w:p>
      <w:pPr>
        <w:pStyle w:val="ListParagraph"/>
        <w:numPr>
          <w:ilvl w:val="0"/>
          <w:numId w:val="2"/>
        </w:numPr>
        <w:spacing w:after="60" w:line="268"/>
      </w:pPr>
      <w:r>
        <w:rPr>
          <w:rFonts w:ascii="Calibri" w:cs="Calibri" w:eastAsia="Calibri" w:hAnsi="Calibri"/>
          <w:b/>
          <w:bCs/>
          <w:color w:val="1A1A1A"/>
          <w:sz w:val="21"/>
          <w:szCs w:val="21"/>
        </w:rPr>
        <w:t xml:space="preserve">Business model: </w:t>
      </w:r>
      <w:r>
        <w:rPr>
          <w:rFonts w:ascii="Calibri" w:cs="Calibri" w:eastAsia="Calibri" w:hAnsi="Calibri"/>
          <w:color w:val="1A1A1A"/>
          <w:sz w:val="21"/>
          <w:szCs w:val="21"/>
        </w:rPr>
        <w:t xml:space="preserve">HOW they make money — commission/distribution, subscription, lead-generation, float/interest, ads, cross-sell. Get specific; use public numbers where you can.</w:t>
      </w:r>
    </w:p>
    <w:p>
      <w:pPr>
        <w:pStyle w:val="ListParagraph"/>
        <w:numPr>
          <w:ilvl w:val="0"/>
          <w:numId w:val="2"/>
        </w:numPr>
        <w:spacing w:after="60" w:line="268"/>
      </w:pPr>
      <w:r>
        <w:rPr>
          <w:rFonts w:ascii="Calibri" w:cs="Calibri" w:eastAsia="Calibri" w:hAnsi="Calibri"/>
          <w:b/>
          <w:bCs/>
          <w:color w:val="1A1A1A"/>
          <w:sz w:val="21"/>
          <w:szCs w:val="21"/>
        </w:rPr>
        <w:t xml:space="preserve">Growth engine: </w:t>
      </w:r>
      <w:r>
        <w:rPr>
          <w:rFonts w:ascii="Calibri" w:cs="Calibri" w:eastAsia="Calibri" w:hAnsi="Calibri"/>
          <w:color w:val="1A1A1A"/>
          <w:sz w:val="21"/>
          <w:szCs w:val="21"/>
        </w:rPr>
        <w:t xml:space="preserve">How they acquired users (channels, paid vs organic, referral, content) and any sense of their cost of acquisition.</w:t>
      </w:r>
    </w:p>
    <w:p>
      <w:pPr>
        <w:pStyle w:val="ListParagraph"/>
        <w:numPr>
          <w:ilvl w:val="0"/>
          <w:numId w:val="2"/>
        </w:numPr>
        <w:spacing w:after="60" w:line="268"/>
      </w:pPr>
      <w:r>
        <w:rPr>
          <w:rFonts w:ascii="Calibri" w:cs="Calibri" w:eastAsia="Calibri" w:hAnsi="Calibri"/>
          <w:b/>
          <w:bCs/>
          <w:color w:val="1A1A1A"/>
          <w:sz w:val="21"/>
          <w:szCs w:val="21"/>
        </w:rPr>
        <w:t xml:space="preserve">Traction: </w:t>
      </w:r>
      <w:r>
        <w:rPr>
          <w:rFonts w:ascii="Calibri" w:cs="Calibri" w:eastAsia="Calibri" w:hAnsi="Calibri"/>
          <w:color w:val="1A1A1A"/>
          <w:sz w:val="21"/>
          <w:szCs w:val="21"/>
        </w:rPr>
        <w:t xml:space="preserve">Scale signals — users, funding raised, valuation, revenue/profit if public.</w:t>
      </w:r>
    </w:p>
    <w:p>
      <w:pPr>
        <w:pStyle w:val="ListParagraph"/>
        <w:numPr>
          <w:ilvl w:val="0"/>
          <w:numId w:val="2"/>
        </w:numPr>
        <w:spacing w:after="60" w:line="268"/>
      </w:pPr>
      <w:r>
        <w:rPr>
          <w:rFonts w:ascii="Calibri" w:cs="Calibri" w:eastAsia="Calibri" w:hAnsi="Calibri"/>
          <w:b/>
          <w:bCs/>
          <w:color w:val="1A1A1A"/>
          <w:sz w:val="21"/>
          <w:szCs w:val="21"/>
        </w:rPr>
        <w:t xml:space="preserve">Strength: </w:t>
      </w:r>
      <w:r>
        <w:rPr>
          <w:rFonts w:ascii="Calibri" w:cs="Calibri" w:eastAsia="Calibri" w:hAnsi="Calibri"/>
          <w:color w:val="1A1A1A"/>
          <w:sz w:val="21"/>
          <w:szCs w:val="21"/>
        </w:rPr>
        <w:t xml:space="preserve">Their real strength / moat.</w:t>
      </w:r>
    </w:p>
    <w:p>
      <w:pPr>
        <w:pStyle w:val="ListParagraph"/>
        <w:numPr>
          <w:ilvl w:val="0"/>
          <w:numId w:val="2"/>
        </w:numPr>
        <w:spacing w:after="60" w:line="268"/>
      </w:pPr>
      <w:r>
        <w:rPr>
          <w:rFonts w:ascii="Calibri" w:cs="Calibri" w:eastAsia="Calibri" w:hAnsi="Calibri"/>
          <w:b/>
          <w:bCs/>
          <w:color w:val="1A1A1A"/>
          <w:sz w:val="21"/>
          <w:szCs w:val="21"/>
        </w:rPr>
        <w:t xml:space="preserve">Weakness: </w:t>
      </w:r>
      <w:r>
        <w:rPr>
          <w:rFonts w:ascii="Calibri" w:cs="Calibri" w:eastAsia="Calibri" w:hAnsi="Calibri"/>
          <w:color w:val="1A1A1A"/>
          <w:sz w:val="21"/>
          <w:szCs w:val="21"/>
        </w:rPr>
        <w:t xml:space="preserve">Weaknesses and the most common user complaints (read app-store reviews, Reddit, X).</w:t>
      </w:r>
    </w:p>
    <w:p>
      <w:pPr>
        <w:pStyle w:val="ListParagraph"/>
        <w:numPr>
          <w:ilvl w:val="0"/>
          <w:numId w:val="2"/>
        </w:numPr>
        <w:spacing w:after="60" w:line="268"/>
      </w:pPr>
      <w:r>
        <w:rPr>
          <w:rFonts w:ascii="Calibri" w:cs="Calibri" w:eastAsia="Calibri" w:hAnsi="Calibri"/>
          <w:b/>
          <w:bCs/>
          <w:color w:val="1A1A1A"/>
          <w:sz w:val="21"/>
          <w:szCs w:val="21"/>
        </w:rPr>
        <w:t xml:space="preserve">Trust &amp; compliance: </w:t>
      </w:r>
      <w:r>
        <w:rPr>
          <w:rFonts w:ascii="Calibri" w:cs="Calibri" w:eastAsia="Calibri" w:hAnsi="Calibri"/>
          <w:color w:val="1A1A1A"/>
          <w:sz w:val="21"/>
          <w:szCs w:val="21"/>
        </w:rPr>
        <w:t xml:space="preserve">Are they regulated (SEBI / IRDAI / RBI)? How do they signal trust to users? (This ties directly to your empathy finding that “SEBI/RBI approval” was the #1 trust factor.)</w:t>
      </w:r>
    </w:p>
    <w:p>
      <w:pPr>
        <w:pStyle w:val="ListParagraph"/>
        <w:numPr>
          <w:ilvl w:val="0"/>
          <w:numId w:val="2"/>
        </w:numPr>
        <w:spacing w:after="60" w:line="268"/>
      </w:pPr>
      <w:r>
        <w:rPr>
          <w:rFonts w:ascii="Calibri" w:cs="Calibri" w:eastAsia="Calibri" w:hAnsi="Calibri"/>
          <w:b/>
          <w:bCs/>
          <w:color w:val="1A1A1A"/>
          <w:sz w:val="21"/>
          <w:szCs w:val="21"/>
        </w:rPr>
        <w:t xml:space="preserve">Who pays: </w:t>
      </w:r>
      <w:r>
        <w:rPr>
          <w:rFonts w:ascii="Calibri" w:cs="Calibri" w:eastAsia="Calibri" w:hAnsi="Calibri"/>
          <w:color w:val="1A1A1A"/>
          <w:sz w:val="21"/>
          <w:szCs w:val="21"/>
        </w:rPr>
        <w:t xml:space="preserve">Do they charge the user, or monetise via distribution/commission — and is there any evidence users actually pay?</w:t>
      </w:r>
    </w:p>
    <w:p>
      <w:pPr>
        <w:pStyle w:val="Heading1"/>
        <w:spacing w:after="110" w:before="240"/>
      </w:pPr>
      <w:r>
        <w:rPr>
          <w:rFonts w:ascii="Calibri" w:cs="Calibri" w:eastAsia="Calibri" w:hAnsi="Calibri"/>
          <w:b/>
          <w:bCs/>
          <w:color w:val="0B2F2A"/>
        </w:rPr>
        <w:t xml:space="preserve">The most important part — Failure &amp; Pivot Post-mortems</w:t>
      </w:r>
    </w:p>
    <w:p>
      <w:pPr>
        <w:spacing w:after="110" w:line="274"/>
      </w:pPr>
      <w:r>
        <w:rPr>
          <w:rFonts w:ascii="Calibri" w:cs="Calibri" w:eastAsia="Calibri" w:hAnsi="Calibri"/>
          <w:b w:val="false"/>
          <w:bCs w:val="false"/>
          <w:i w:val="false"/>
          <w:iCs w:val="false"/>
          <w:color w:val="1A1A1A"/>
          <w:sz w:val="21"/>
          <w:szCs w:val="21"/>
        </w:rPr>
        <w:t xml:space="preserve">Pick 4–6 players that died, got acquired in distress, or pivoted hard, and work out WHY. This is the highest-value output of the task — avoiding a known trap is worth more than copying a winner. Strong candidates:</w:t>
      </w:r>
    </w:p>
    <w:p>
      <w:pPr>
        <w:pStyle w:val="ListParagraph"/>
        <w:numPr>
          <w:ilvl w:val="0"/>
          <w:numId w:val="1"/>
        </w:numPr>
        <w:spacing w:after="64" w:line="268"/>
      </w:pPr>
      <w:r>
        <w:rPr>
          <w:rFonts w:ascii="Calibri" w:cs="Calibri" w:eastAsia="Calibri" w:hAnsi="Calibri"/>
          <w:b/>
          <w:bCs/>
          <w:color w:val="1A1A1A"/>
          <w:sz w:val="21"/>
          <w:szCs w:val="21"/>
        </w:rPr>
        <w:t xml:space="preserve">Mint (US): </w:t>
      </w:r>
      <w:r>
        <w:rPr>
          <w:rFonts w:ascii="Calibri" w:cs="Calibri" w:eastAsia="Calibri" w:hAnsi="Calibri"/>
          <w:color w:val="1A1A1A"/>
          <w:sz w:val="21"/>
          <w:szCs w:val="21"/>
        </w:rPr>
        <w:t xml:space="preserve">shut down by Intuit despite ~3.6M users — why couldn’t a hugely popular free PFM app survive? (The classic “tracking doesn’t monetise” lesson.)</w:t>
      </w:r>
    </w:p>
    <w:p>
      <w:pPr>
        <w:pStyle w:val="ListParagraph"/>
        <w:numPr>
          <w:ilvl w:val="0"/>
          <w:numId w:val="1"/>
        </w:numPr>
        <w:spacing w:after="64" w:line="268"/>
      </w:pPr>
      <w:r>
        <w:rPr>
          <w:rFonts w:ascii="Calibri" w:cs="Calibri" w:eastAsia="Calibri" w:hAnsi="Calibri"/>
          <w:b/>
          <w:bCs/>
          <w:color w:val="1A1A1A"/>
          <w:sz w:val="21"/>
          <w:szCs w:val="21"/>
        </w:rPr>
        <w:t xml:space="preserve">Fi Money &amp; Jupiter: </w:t>
      </w:r>
      <w:r>
        <w:rPr>
          <w:rFonts w:ascii="Calibri" w:cs="Calibri" w:eastAsia="Calibri" w:hAnsi="Calibri"/>
          <w:color w:val="1A1A1A"/>
          <w:sz w:val="21"/>
          <w:szCs w:val="21"/>
        </w:rPr>
        <w:t xml:space="preserve">celebrated Indian neobanks that struggled and pivoted toward lending / distribution — what broke (partner-bank dependence, no clear monetisation, RBI actions)?</w:t>
      </w:r>
    </w:p>
    <w:p>
      <w:pPr>
        <w:pStyle w:val="ListParagraph"/>
        <w:numPr>
          <w:ilvl w:val="0"/>
          <w:numId w:val="1"/>
        </w:numPr>
        <w:spacing w:after="64" w:line="268"/>
      </w:pPr>
      <w:r>
        <w:rPr>
          <w:rFonts w:ascii="Calibri" w:cs="Calibri" w:eastAsia="Calibri" w:hAnsi="Calibri"/>
          <w:b/>
          <w:bCs/>
          <w:color w:val="1A1A1A"/>
          <w:sz w:val="21"/>
          <w:szCs w:val="21"/>
        </w:rPr>
        <w:t xml:space="preserve">Walnut (and similar): </w:t>
      </w:r>
      <w:r>
        <w:rPr>
          <w:rFonts w:ascii="Calibri" w:cs="Calibri" w:eastAsia="Calibri" w:hAnsi="Calibri"/>
          <w:color w:val="1A1A1A"/>
          <w:sz w:val="21"/>
          <w:szCs w:val="21"/>
        </w:rPr>
        <w:t xml:space="preserve">expense-tracking apps that were acquired and wound down — what did tracking-only teach us?</w:t>
      </w:r>
    </w:p>
    <w:p>
      <w:pPr>
        <w:pStyle w:val="ListParagraph"/>
        <w:numPr>
          <w:ilvl w:val="0"/>
          <w:numId w:val="1"/>
        </w:numPr>
        <w:spacing w:after="64" w:line="268"/>
      </w:pPr>
      <w:r>
        <w:rPr>
          <w:rFonts w:ascii="Calibri" w:cs="Calibri" w:eastAsia="Calibri" w:hAnsi="Calibri"/>
          <w:b/>
          <w:bCs/>
          <w:color w:val="1A1A1A"/>
          <w:sz w:val="21"/>
          <w:szCs w:val="21"/>
        </w:rPr>
        <w:t xml:space="preserve">Coverfox: </w:t>
      </w:r>
      <w:r>
        <w:rPr>
          <w:rFonts w:ascii="Calibri" w:cs="Calibri" w:eastAsia="Calibri" w:hAnsi="Calibri"/>
          <w:color w:val="1A1A1A"/>
          <w:sz w:val="21"/>
          <w:szCs w:val="21"/>
        </w:rPr>
        <w:t xml:space="preserve">an insurance player that lost ground / pivoted — what happened in insurance distribution?</w:t>
      </w:r>
    </w:p>
    <w:p>
      <w:pPr>
        <w:spacing w:after="110" w:line="274"/>
      </w:pPr>
      <w:r>
        <w:rPr>
          <w:rFonts w:ascii="Calibri" w:cs="Calibri" w:eastAsia="Calibri" w:hAnsi="Calibri"/>
          <w:b/>
          <w:bCs/>
          <w:i w:val="false"/>
          <w:iCs w:val="false"/>
          <w:color w:val="1A1A1A"/>
          <w:sz w:val="21"/>
          <w:szCs w:val="21"/>
        </w:rPr>
        <w:t xml:space="preserve">For each, answer: what was the core reason it failed — no monetisation, CAC &gt; LTV, tracking without action, regulatory/partner dependence, or something else? Then: what does PayWatch specifically need to do differently to not repeat it?</w:t>
      </w:r>
    </w:p>
    <w:p>
      <w:pPr>
        <w:pStyle w:val="Heading1"/>
        <w:spacing w:after="110" w:before="240"/>
      </w:pPr>
      <w:r>
        <w:rPr>
          <w:rFonts w:ascii="Calibri" w:cs="Calibri" w:eastAsia="Calibri" w:hAnsi="Calibri"/>
          <w:b/>
          <w:bCs/>
          <w:color w:val="0B2F2A"/>
        </w:rPr>
        <w:t xml:space="preserve">Cross-cutting questions to answer</w:t>
      </w:r>
    </w:p>
    <w:p>
      <w:pPr>
        <w:pStyle w:val="ListParagraph"/>
        <w:numPr>
          <w:ilvl w:val="0"/>
          <w:numId w:val="1"/>
        </w:numPr>
        <w:spacing w:after="64" w:line="268"/>
      </w:pPr>
      <w:r>
        <w:rPr>
          <w:rFonts w:ascii="Calibri" w:cs="Calibri" w:eastAsia="Calibri" w:hAnsi="Calibri"/>
          <w:color w:val="1A1A1A"/>
          <w:sz w:val="21"/>
          <w:szCs w:val="21"/>
        </w:rPr>
        <w:t xml:space="preserve">Which business models actually work in Indian fintech — and which look busy but don’t make money?</w:t>
      </w:r>
    </w:p>
    <w:p>
      <w:pPr>
        <w:pStyle w:val="ListParagraph"/>
        <w:numPr>
          <w:ilvl w:val="0"/>
          <w:numId w:val="1"/>
        </w:numPr>
        <w:spacing w:after="64" w:line="268"/>
      </w:pPr>
      <w:r>
        <w:rPr>
          <w:rFonts w:ascii="Calibri" w:cs="Calibri" w:eastAsia="Calibri" w:hAnsi="Calibri"/>
          <w:color w:val="1A1A1A"/>
          <w:sz w:val="21"/>
          <w:szCs w:val="21"/>
        </w:rPr>
        <w:t xml:space="preserve">Who monetises the user directly (subscription) vs via distribution (commission)? Where’s the real evidence people pay?</w:t>
      </w:r>
    </w:p>
    <w:p>
      <w:pPr>
        <w:pStyle w:val="ListParagraph"/>
        <w:numPr>
          <w:ilvl w:val="0"/>
          <w:numId w:val="1"/>
        </w:numPr>
        <w:spacing w:after="64" w:line="268"/>
      </w:pPr>
      <w:r>
        <w:rPr>
          <w:rFonts w:ascii="Calibri" w:cs="Calibri" w:eastAsia="Calibri" w:hAnsi="Calibri"/>
          <w:color w:val="1A1A1A"/>
          <w:sz w:val="21"/>
          <w:szCs w:val="21"/>
        </w:rPr>
        <w:t xml:space="preserve">How do players earn trust — with regulation, and without it? (What could PayWatch borrow, given it sits in the education lane and isn’t SEBI/RBI-regulated itself?)</w:t>
      </w:r>
    </w:p>
    <w:p>
      <w:pPr>
        <w:pStyle w:val="ListParagraph"/>
        <w:numPr>
          <w:ilvl w:val="0"/>
          <w:numId w:val="1"/>
        </w:numPr>
        <w:spacing w:after="64" w:line="268"/>
      </w:pPr>
      <w:r>
        <w:rPr>
          <w:rFonts w:ascii="Calibri" w:cs="Calibri" w:eastAsia="Calibri" w:hAnsi="Calibri"/>
          <w:color w:val="1A1A1A"/>
          <w:sz w:val="21"/>
          <w:szCs w:val="21"/>
        </w:rPr>
        <w:t xml:space="preserve">Where is the white space — what is NObody doing well that PayWatch’s cross-silo, one-score, one-plan guidance layer could own?</w:t>
      </w:r>
    </w:p>
    <w:p>
      <w:pPr>
        <w:pStyle w:val="Heading1"/>
        <w:spacing w:after="110" w:before="240"/>
      </w:pPr>
      <w:r>
        <w:rPr>
          <w:rFonts w:ascii="Calibri" w:cs="Calibri" w:eastAsia="Calibri" w:hAnsi="Calibri"/>
          <w:b/>
          <w:bCs/>
          <w:color w:val="0B2F2A"/>
        </w:rPr>
        <w:t xml:space="preserve">Deliverables</w:t>
      </w:r>
    </w:p>
    <w:p>
      <w:pPr>
        <w:pStyle w:val="ListParagraph"/>
        <w:numPr>
          <w:ilvl w:val="0"/>
          <w:numId w:val="1"/>
        </w:numPr>
        <w:spacing w:after="64" w:line="268"/>
      </w:pPr>
      <w:r>
        <w:rPr>
          <w:rFonts w:ascii="Calibri" w:cs="Calibri" w:eastAsia="Calibri" w:hAnsi="Calibri"/>
          <w:color w:val="1A1A1A"/>
          <w:sz w:val="21"/>
          <w:szCs w:val="21"/>
        </w:rPr>
        <w:t xml:space="preserve">A comparison matrix (spreadsheet) across the 10 dimensions above for the key players.</w:t>
      </w:r>
    </w:p>
    <w:p>
      <w:pPr>
        <w:pStyle w:val="ListParagraph"/>
        <w:numPr>
          <w:ilvl w:val="0"/>
          <w:numId w:val="1"/>
        </w:numPr>
        <w:spacing w:after="64" w:line="268"/>
      </w:pPr>
      <w:r>
        <w:rPr>
          <w:rFonts w:ascii="Calibri" w:cs="Calibri" w:eastAsia="Calibri" w:hAnsi="Calibri"/>
          <w:color w:val="1A1A1A"/>
          <w:sz w:val="21"/>
          <w:szCs w:val="21"/>
        </w:rPr>
        <w:t xml:space="preserve">A written report: the per-player teardowns, the failure post-mortems, and a clear “white space &amp; what this means for PayWatch” conclusion (positioning, monetisation, trust, and any feature ideas).</w:t>
      </w:r>
    </w:p>
    <w:p>
      <w:pPr>
        <w:pStyle w:val="ListParagraph"/>
        <w:numPr>
          <w:ilvl w:val="0"/>
          <w:numId w:val="1"/>
        </w:numPr>
        <w:spacing w:after="64" w:line="268"/>
      </w:pPr>
      <w:r>
        <w:rPr>
          <w:rFonts w:ascii="Calibri" w:cs="Calibri" w:eastAsia="Calibri" w:hAnsi="Calibri"/>
          <w:color w:val="1A1A1A"/>
          <w:sz w:val="21"/>
          <w:szCs w:val="21"/>
        </w:rPr>
        <w:t xml:space="preserve">A presentation of the final findings, presented to the reporting authority (same standard as Task 1).</w:t>
      </w:r>
    </w:p>
    <w:p>
      <w:pPr>
        <w:pStyle w:val="Heading1"/>
        <w:spacing w:after="110" w:before="240"/>
      </w:pPr>
      <w:r>
        <w:rPr>
          <w:rFonts w:ascii="Calibri" w:cs="Calibri" w:eastAsia="Calibri" w:hAnsi="Calibri"/>
          <w:b/>
          <w:bCs/>
          <w:color w:val="0B2F2A"/>
        </w:rPr>
        <w:t xml:space="preserve">Method &amp; sources</w:t>
      </w:r>
    </w:p>
    <w:p>
      <w:pPr>
        <w:spacing w:after="110" w:line="274"/>
      </w:pPr>
      <w:r>
        <w:rPr>
          <w:rFonts w:ascii="Calibri" w:cs="Calibri" w:eastAsia="Calibri" w:hAnsi="Calibri"/>
          <w:b w:val="false"/>
          <w:bCs w:val="false"/>
          <w:i w:val="false"/>
          <w:iCs w:val="false"/>
          <w:color w:val="1A1A1A"/>
          <w:sz w:val="21"/>
          <w:szCs w:val="21"/>
        </w:rPr>
        <w:t xml:space="preserve">App-store reviews, Reddit (r/IndianStreetBets, r/personalfinanceindia), news and startup media (Economic Times, Moneycontrol, Inc42, Entrackr, YourStory), company pricing/about pages and blogs, and funding data (Tracxn / Crunchbase / Inc42). Cite everything and keep your evidence tags.</w:t>
      </w:r>
    </w:p>
    <w:p>
      <w:pPr>
        <w:pBdr>
          <w:top w:val="single" w:color="D5E0DA" w:sz="6"/>
        </w:pBdr>
        <w:spacing w:after="120" w:before="220"/>
      </w:pPr>
      <w:r>
        <w:t xml:space="preserve"/>
      </w:r>
    </w:p>
    <w:p>
      <w:pPr>
        <w:spacing w:after="60"/>
      </w:pPr>
      <w:r>
        <w:rPr>
          <w:rFonts w:ascii="Calibri" w:cs="Calibri" w:eastAsia="Calibri" w:hAnsi="Calibri"/>
          <w:b/>
          <w:bCs/>
          <w:color w:val="1F7A5C"/>
          <w:sz w:val="20"/>
          <w:szCs w:val="20"/>
        </w:rPr>
        <w:t xml:space="preserve">A quick note</w:t>
      </w:r>
    </w:p>
    <w:p>
      <w:pPr>
        <w:spacing w:after="110" w:line="274"/>
      </w:pPr>
      <w:r>
        <w:rPr>
          <w:rFonts w:ascii="Calibri" w:cs="Calibri" w:eastAsia="Calibri" w:hAnsi="Calibri"/>
          <w:b w:val="false"/>
          <w:bCs w:val="false"/>
          <w:i w:val="false"/>
          <w:iCs w:val="false"/>
          <w:color w:val="1A1A1A"/>
          <w:sz w:val="20"/>
          <w:szCs w:val="20"/>
        </w:rPr>
        <w:t xml:space="preserve">Your Task 1 was genuinely strong — real method, honest limitations, and insight that mapped straight onto our thinking. For this one, the two things I’ll be looking for most: the failure post-mortems (the “why”, not just the “what”), and honest evidence on who actually pays. Flag early if you want to go deeper anywhere. Keep all work confidential.</w:t>
      </w:r>
    </w:p>
    <w:p>
      <w:pPr>
        <w:spacing w:after="110" w:line="274"/>
      </w:pPr>
      <w:r>
        <w:rPr>
          <w:rFonts w:ascii="Calibri" w:cs="Calibri" w:eastAsia="Calibri" w:hAnsi="Calibri"/>
          <w:b/>
          <w:bCs/>
          <w:i w:val="false"/>
          <w:iCs w:val="false"/>
          <w:color w:val="1A1A1A"/>
          <w:sz w:val="21"/>
          <w:szCs w:val="21"/>
        </w:rPr>
        <w:t xml:space="preserve">— Yash Saini, Founder, PayWatch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b/>
        <w:bCs/>
        <w:color w:val="0B2F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2026-08-29T06:51:58.423Z</dcterms:created>
  <dcterms:modified xsi:type="dcterms:W3CDTF">2026-08-29T06:51:58.424Z</dcterms:modified>
</cp:coreProperties>
</file>

<file path=docProps/custom.xml><?xml version="1.0" encoding="utf-8"?>
<Properties xmlns="http://schemas.openxmlformats.org/officeDocument/2006/custom-properties" xmlns:vt="http://schemas.openxmlformats.org/officeDocument/2006/docPropsVTypes"/>
</file>