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2F2A"/>
          <w:sz w:val="44"/>
          <w:szCs w:val="44"/>
        </w:rPr>
        <w:t xml:space="preserve">PayWatch</w:t>
      </w:r>
    </w:p>
    <w:p>
      <w:pPr>
        <w:spacing w:after="60"/>
      </w:pPr>
      <w:r>
        <w:rPr>
          <w:rFonts w:ascii="Calibri" w:cs="Calibri" w:eastAsia="Calibri" w:hAnsi="Calibri"/>
          <w:b/>
          <w:bCs/>
          <w:color w:val="1A1A1A"/>
          <w:sz w:val="28"/>
          <w:szCs w:val="28"/>
        </w:rPr>
        <w:t xml:space="preserve">Regulatory, Licensing &amp; Data-Protection Roadmap</w:t>
      </w:r>
    </w:p>
    <w:p>
      <w:pPr>
        <w:spacing w:after="120"/>
      </w:pPr>
      <w:r>
        <w:rPr>
          <w:rFonts w:ascii="Calibri" w:cs="Calibri" w:eastAsia="Calibri" w:hAnsi="Calibri"/>
          <w:i/>
          <w:iCs/>
          <w:color w:val="555555"/>
          <w:sz w:val="22"/>
          <w:szCs w:val="22"/>
        </w:rPr>
        <w:t xml:space="preserve">Prepared for legal review — Adv. Pranav Bhat &amp; team</w:t>
      </w:r>
    </w:p>
    <w:p>
      <w:pPr>
        <w:pBdr>
          <w:bottom w:val="single" w:color="1F7A5C" w:sz="6"/>
        </w:pBdr>
        <w:spacing w:after="140" w:before="40"/>
      </w:pPr>
      <w:r>
        <w:t xml:space="preserve"/>
      </w:r>
    </w:p>
    <w:p>
      <w:pPr>
        <w:spacing w:after="60" w:line="274"/>
      </w:pPr>
      <w:r>
        <w:rPr>
          <w:rFonts w:ascii="Calibri" w:cs="Calibri" w:eastAsia="Calibri" w:hAnsi="Calibri"/>
          <w:b/>
          <w:bCs/>
          <w:color w:val="0B2F2A"/>
          <w:sz w:val="21"/>
          <w:szCs w:val="21"/>
        </w:rPr>
        <w:t xml:space="preserve">Prepared by:  </w:t>
      </w:r>
      <w:r>
        <w:rPr>
          <w:rFonts w:ascii="Calibri" w:cs="Calibri" w:eastAsia="Calibri" w:hAnsi="Calibri"/>
          <w:color w:val="1A1A1A"/>
          <w:sz w:val="21"/>
          <w:szCs w:val="21"/>
        </w:rPr>
        <w:t xml:space="preserve">Yash Saini, Founder, PayWatch</w:t>
      </w:r>
    </w:p>
    <w:p>
      <w:pPr>
        <w:spacing w:after="60" w:line="274"/>
      </w:pPr>
      <w:r>
        <w:rPr>
          <w:rFonts w:ascii="Calibri" w:cs="Calibri" w:eastAsia="Calibri" w:hAnsi="Calibri"/>
          <w:b/>
          <w:bCs/>
          <w:color w:val="0B2F2A"/>
          <w:sz w:val="21"/>
          <w:szCs w:val="21"/>
        </w:rPr>
        <w:t xml:space="preserve">Date:  </w:t>
      </w:r>
      <w:r>
        <w:rPr>
          <w:rFonts w:ascii="Calibri" w:cs="Calibri" w:eastAsia="Calibri" w:hAnsi="Calibri"/>
          <w:color w:val="1A1A1A"/>
          <w:sz w:val="21"/>
          <w:szCs w:val="21"/>
        </w:rPr>
        <w:t xml:space="preserve">September 2026</w:t>
      </w:r>
    </w:p>
    <w:p>
      <w:pPr>
        <w:spacing w:after="60" w:line="274"/>
      </w:pPr>
      <w:r>
        <w:rPr>
          <w:rFonts w:ascii="Calibri" w:cs="Calibri" w:eastAsia="Calibri" w:hAnsi="Calibri"/>
          <w:b/>
          <w:bCs/>
          <w:color w:val="0B2F2A"/>
          <w:sz w:val="21"/>
          <w:szCs w:val="21"/>
        </w:rPr>
        <w:t xml:space="preserve">Nature:  </w:t>
      </w:r>
      <w:r>
        <w:rPr>
          <w:rFonts w:ascii="Calibri" w:cs="Calibri" w:eastAsia="Calibri" w:hAnsi="Calibri"/>
          <w:color w:val="1A1A1A"/>
          <w:sz w:val="21"/>
          <w:szCs w:val="21"/>
        </w:rPr>
        <w:t xml:space="preserve">Founder’s working plan of ALL possible paths (present → end state), for the legal team to assess feasibility, flag risks, and advise which are workable. This is not a legal opinion; it is the client’s laydown for your review.</w:t>
      </w:r>
    </w:p>
    <w:p>
      <w:pPr>
        <w:spacing w:after="60" w:line="280"/>
      </w:pPr>
      <w:r>
        <w:rPr>
          <w:rFonts w:ascii="Calibri" w:cs="Calibri" w:eastAsia="Calibri" w:hAnsi="Calibri"/>
          <w:b w:val="false"/>
          <w:bCs w:val="false"/>
          <w:i w:val="false"/>
          <w:iCs w:val="false"/>
          <w:color w:val="555555"/>
          <w:sz w:val="20"/>
          <w:szCs w:val="20"/>
        </w:rPr>
        <w:t xml:space="preserve">PayWatch is a consumer personal-finance application handling sensitive financial personal data. Every regulated surface, every partnership route, and every data-protection obligation is mapped below, including grey areas we specifically want your view on. We have flagged points needing legal confirmation with a ⚠ marker.</w:t>
      </w:r>
    </w:p>
    <w:p>
      <w:pPr>
        <w:pStyle w:val="Heading1"/>
        <w:spacing w:after="120" w:before="260"/>
      </w:pPr>
      <w:r>
        <w:rPr>
          <w:rFonts w:ascii="Calibri" w:cs="Calibri" w:eastAsia="Calibri" w:hAnsi="Calibri"/>
          <w:b/>
          <w:bCs/>
          <w:color w:val="0B2F2A"/>
        </w:rPr>
        <w:t xml:space="preserve">1 · Executive summary</w:t>
      </w:r>
    </w:p>
    <w:p>
      <w:pPr>
        <w:spacing w:after="120" w:line="280"/>
      </w:pPr>
      <w:r>
        <w:rPr>
          <w:rFonts w:ascii="Calibri" w:cs="Calibri" w:eastAsia="Calibri" w:hAnsi="Calibri"/>
          <w:b w:val="false"/>
          <w:bCs w:val="false"/>
          <w:i w:val="false"/>
          <w:iCs w:val="false"/>
          <w:color w:val="1A1A1A"/>
          <w:sz w:val="21"/>
          <w:szCs w:val="21"/>
        </w:rPr>
        <w:t xml:space="preserve">PayWatch gives an individual their whole financial picture (income, spending, savings, investments, insurance, tax) and tells them what to do next — with, in future, one-tap action (invest, buy insurance, file tax) executed through licensed partners. Because it touches investing, insurance, tax and financial personal data, it sits across four regulators — SEBI, IRDAI, the Income-Tax Department, and the RBI/data-protection regime (DPDP + RBI). Our strategy is deliberately staged: </w:t>
      </w:r>
    </w:p>
    <w:p>
      <w:pPr>
        <w:pStyle w:val="ListParagraph"/>
        <w:numPr>
          <w:ilvl w:val="0"/>
          <w:numId w:val="1"/>
        </w:numPr>
        <w:spacing w:after="66" w:line="274"/>
      </w:pPr>
      <w:r>
        <w:rPr>
          <w:rFonts w:ascii="Calibri" w:cs="Calibri" w:eastAsia="Calibri" w:hAnsi="Calibri"/>
          <w:color w:val="1A1A1A"/>
          <w:sz w:val="21"/>
          <w:szCs w:val="21"/>
        </w:rPr>
        <w:t xml:space="preserve">Operate today in the LOW-regulation lanes (education/organisation + tax preparation + a tech layer on licensed partners), which need no financial licence.</w:t>
      </w:r>
    </w:p>
    <w:p>
      <w:pPr>
        <w:pStyle w:val="ListParagraph"/>
        <w:numPr>
          <w:ilvl w:val="0"/>
          <w:numId w:val="1"/>
        </w:numPr>
        <w:spacing w:after="66" w:line="274"/>
      </w:pPr>
      <w:r>
        <w:rPr>
          <w:rFonts w:ascii="Calibri" w:cs="Calibri" w:eastAsia="Calibri" w:hAnsi="Calibri"/>
          <w:color w:val="1A1A1A"/>
          <w:sz w:val="21"/>
          <w:szCs w:val="21"/>
        </w:rPr>
        <w:t xml:space="preserve">Add each licence/registration only as a MILESTONE, when the corresponding feature is validated and worth the compliance burden — never license ahead of demand.</w:t>
      </w:r>
    </w:p>
    <w:p>
      <w:pPr>
        <w:pStyle w:val="ListParagraph"/>
        <w:numPr>
          <w:ilvl w:val="0"/>
          <w:numId w:val="1"/>
        </w:numPr>
        <w:spacing w:after="66" w:line="274"/>
      </w:pPr>
      <w:r>
        <w:rPr>
          <w:rFonts w:ascii="Calibri" w:cs="Calibri" w:eastAsia="Calibri" w:hAnsi="Calibri"/>
          <w:color w:val="1A1A1A"/>
          <w:sz w:val="21"/>
          <w:szCs w:val="21"/>
        </w:rPr>
        <w:t xml:space="preserve">For any regulated action (investing, insurance), keep the money-handling and the regulated sale with a LICENSED PARTNER; PayWatch is the intelligence + interface layer and never holds client funds or securities.</w:t>
      </w:r>
    </w:p>
    <w:p>
      <w:pPr>
        <w:pStyle w:val="ListParagraph"/>
        <w:numPr>
          <w:ilvl w:val="0"/>
          <w:numId w:val="1"/>
        </w:numPr>
        <w:spacing w:after="66" w:line="274"/>
      </w:pPr>
      <w:r>
        <w:rPr>
          <w:rFonts w:ascii="Calibri" w:cs="Calibri" w:eastAsia="Calibri" w:hAnsi="Calibri"/>
          <w:color w:val="1A1A1A"/>
          <w:sz w:val="21"/>
          <w:szCs w:val="21"/>
        </w:rPr>
        <w:t xml:space="preserve">Treat data protection as the highest-priority, always-on obligation — financial personal data carries penalties up to ₹250 crore under the DPDP Act.</w:t>
      </w:r>
    </w:p>
    <w:p>
      <w:pPr>
        <w:spacing w:after="120" w:line="280"/>
      </w:pPr>
      <w:r>
        <w:rPr>
          <w:rFonts w:ascii="Calibri" w:cs="Calibri" w:eastAsia="Calibri" w:hAnsi="Calibri"/>
          <w:b w:val="false"/>
          <w:bCs w:val="false"/>
          <w:i/>
          <w:iCs/>
          <w:color w:val="555555"/>
          <w:sz w:val="21"/>
          <w:szCs w:val="21"/>
        </w:rPr>
        <w:t xml:space="preserve">We understand from our first discussion that fintech licensing (RBI/SEBI/IRDAI) is severe and cannot be obtained casually, and that “piggybacking” on licensed entities is itself regulated. This document lays out every path so you can tell us which are realistically workable given that reality.</w:t>
      </w:r>
    </w:p>
    <w:p>
      <w:pPr>
        <w:pStyle w:val="Heading1"/>
        <w:spacing w:after="120" w:before="260"/>
      </w:pPr>
      <w:r>
        <w:rPr>
          <w:rFonts w:ascii="Calibri" w:cs="Calibri" w:eastAsia="Calibri" w:hAnsi="Calibri"/>
          <w:b/>
          <w:bCs/>
          <w:color w:val="0B2F2A"/>
        </w:rPr>
        <w:t xml:space="preserve">2 · What PayWatch does, and which regulator each surface touches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700"/>
        <w:gridCol w:w="2100"/>
      </w:tblGrid>
      <w:tr>
        <w:trPr>
          <w:tblHeader/>
        </w:trPr>
        <w:tc>
          <w:tcPr>
            <w:tcW w:type="dxa" w:w="3200"/>
            <w:tcBorders>
              <w:top w:val="single" w:color="D5E0DA" w:sz="4"/>
              <w:left w:val="single" w:color="D5E0DA" w:sz="4"/>
              <w:bottom w:val="single" w:color="D5E0DA" w:sz="4"/>
              <w:right w:val="single" w:color="D5E0DA" w:sz="4"/>
            </w:tcBorders>
            <w:shd w:fill="0B2F2A" w:val="clear"/>
            <w:tcMar>
              <w:top w:type="dxa" w:w="60"/>
              <w:left w:type="dxa" w:w="90"/>
              <w:bottom w:type="dxa" w:w="60"/>
              <w:right w:type="dxa" w:w="90"/>
            </w:tcMar>
          </w:tcPr>
          <w:p>
            <w:r>
              <w:rPr>
                <w:rFonts w:ascii="Calibri" w:cs="Calibri" w:eastAsia="Calibri" w:hAnsi="Calibri"/>
                <w:b/>
                <w:bCs/>
                <w:color w:val="FFFFFF"/>
                <w:sz w:val="18"/>
                <w:szCs w:val="18"/>
              </w:rPr>
              <w:t xml:space="preserve">Feature / surface</w:t>
            </w:r>
          </w:p>
        </w:tc>
        <w:tc>
          <w:tcPr>
            <w:tcW w:type="dxa" w:w="2600"/>
            <w:tcBorders>
              <w:top w:val="single" w:color="D5E0DA" w:sz="4"/>
              <w:left w:val="single" w:color="D5E0DA" w:sz="4"/>
              <w:bottom w:val="single" w:color="D5E0DA" w:sz="4"/>
              <w:right w:val="single" w:color="D5E0DA" w:sz="4"/>
            </w:tcBorders>
            <w:shd w:fill="0B2F2A" w:val="clear"/>
            <w:tcMar>
              <w:top w:type="dxa" w:w="60"/>
              <w:left w:type="dxa" w:w="90"/>
              <w:bottom w:type="dxa" w:w="60"/>
              <w:right w:type="dxa" w:w="90"/>
            </w:tcMar>
          </w:tcPr>
          <w:p>
            <w:r>
              <w:rPr>
                <w:rFonts w:ascii="Calibri" w:cs="Calibri" w:eastAsia="Calibri" w:hAnsi="Calibri"/>
                <w:b/>
                <w:bCs/>
                <w:color w:val="FFFFFF"/>
                <w:sz w:val="18"/>
                <w:szCs w:val="18"/>
              </w:rPr>
              <w:t xml:space="preserve">Activity</w:t>
            </w:r>
          </w:p>
        </w:tc>
        <w:tc>
          <w:tcPr>
            <w:tcW w:type="dxa" w:w="1700"/>
            <w:tcBorders>
              <w:top w:val="single" w:color="D5E0DA" w:sz="4"/>
              <w:left w:val="single" w:color="D5E0DA" w:sz="4"/>
              <w:bottom w:val="single" w:color="D5E0DA" w:sz="4"/>
              <w:right w:val="single" w:color="D5E0DA" w:sz="4"/>
            </w:tcBorders>
            <w:shd w:fill="0B2F2A" w:val="clear"/>
            <w:tcMar>
              <w:top w:type="dxa" w:w="60"/>
              <w:left w:type="dxa" w:w="90"/>
              <w:bottom w:type="dxa" w:w="60"/>
              <w:right w:type="dxa" w:w="90"/>
            </w:tcMar>
          </w:tcPr>
          <w:p>
            <w:r>
              <w:rPr>
                <w:rFonts w:ascii="Calibri" w:cs="Calibri" w:eastAsia="Calibri" w:hAnsi="Calibri"/>
                <w:b/>
                <w:bCs/>
                <w:color w:val="FFFFFF"/>
                <w:sz w:val="18"/>
                <w:szCs w:val="18"/>
              </w:rPr>
              <w:t xml:space="preserve">Regulator</w:t>
            </w:r>
          </w:p>
        </w:tc>
        <w:tc>
          <w:tcPr>
            <w:tcW w:type="dxa" w:w="2100"/>
            <w:tcBorders>
              <w:top w:val="single" w:color="D5E0DA" w:sz="4"/>
              <w:left w:val="single" w:color="D5E0DA" w:sz="4"/>
              <w:bottom w:val="single" w:color="D5E0DA" w:sz="4"/>
              <w:right w:val="single" w:color="D5E0DA" w:sz="4"/>
            </w:tcBorders>
            <w:shd w:fill="0B2F2A" w:val="clear"/>
            <w:tcMar>
              <w:top w:type="dxa" w:w="60"/>
              <w:left w:type="dxa" w:w="90"/>
              <w:bottom w:type="dxa" w:w="60"/>
              <w:right w:type="dxa" w:w="90"/>
            </w:tcMar>
          </w:tcPr>
          <w:p>
            <w:r>
              <w:rPr>
                <w:rFonts w:ascii="Calibri" w:cs="Calibri" w:eastAsia="Calibri" w:hAnsi="Calibri"/>
                <w:b/>
                <w:bCs/>
                <w:color w:val="FFFFFF"/>
                <w:sz w:val="18"/>
                <w:szCs w:val="18"/>
              </w:rPr>
              <w:t xml:space="preserve">Licence needed?</w:t>
            </w:r>
          </w:p>
        </w:tc>
      </w:tr>
      <w:tr>
        <w:tc>
          <w:tcPr>
            <w:tcW w:type="dxa" w:w="3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Money Health Score, planning, alerts</w:t>
            </w:r>
          </w:p>
        </w:tc>
        <w:tc>
          <w:tcPr>
            <w:tcW w:type="dxa" w:w="2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Education + organisation of the user’s own data</w:t>
            </w:r>
          </w:p>
        </w:tc>
        <w:tc>
          <w:tcPr>
            <w:tcW w:type="dxa" w:w="17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 (none)</w:t>
            </w:r>
          </w:p>
        </w:tc>
        <w:tc>
          <w:tcPr>
            <w:tcW w:type="dxa" w:w="21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No</w:t>
            </w:r>
          </w:p>
        </w:tc>
      </w:tr>
      <w:tr>
        <w:tc>
          <w:tcPr>
            <w:tcW w:type="dxa" w:w="3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Tax computation + guided self-filing</w:t>
            </w:r>
          </w:p>
        </w:tc>
        <w:tc>
          <w:tcPr>
            <w:tcW w:type="dxa" w:w="2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Preparing/computing returns, guiding the user to self-file</w:t>
            </w:r>
          </w:p>
        </w:tc>
        <w:tc>
          <w:tcPr>
            <w:tcW w:type="dxa" w:w="17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Income-Tax Dept</w:t>
            </w:r>
          </w:p>
        </w:tc>
        <w:tc>
          <w:tcPr>
            <w:tcW w:type="dxa" w:w="21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No (ERI only for in-app one-click filing)</w:t>
            </w:r>
          </w:p>
        </w:tc>
      </w:tr>
      <w:tr>
        <w:tc>
          <w:tcPr>
            <w:tcW w:type="dxa" w:w="3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Investment guidance</w:t>
            </w:r>
          </w:p>
        </w:tc>
        <w:tc>
          <w:tcPr>
            <w:tcW w:type="dxa" w:w="2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Asset-class / fund-category education (no product named)</w:t>
            </w:r>
          </w:p>
        </w:tc>
        <w:tc>
          <w:tcPr>
            <w:tcW w:type="dxa" w:w="17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SEBI / AMFI</w:t>
            </w:r>
          </w:p>
        </w:tc>
        <w:tc>
          <w:tcPr>
            <w:tcW w:type="dxa" w:w="21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No while category-only; MFD/RA/RIA to go further</w:t>
            </w:r>
          </w:p>
        </w:tc>
      </w:tr>
      <w:tr>
        <w:tc>
          <w:tcPr>
            <w:tcW w:type="dxa" w:w="3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In-app mutual-fund investing</w:t>
            </w:r>
          </w:p>
        </w:tc>
        <w:tc>
          <w:tcPr>
            <w:tcW w:type="dxa" w:w="2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Distributing MF / SIP transactions</w:t>
            </w:r>
          </w:p>
        </w:tc>
        <w:tc>
          <w:tcPr>
            <w:tcW w:type="dxa" w:w="17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AMFI (ARN) + BSE StAR MF</w:t>
            </w:r>
          </w:p>
        </w:tc>
        <w:tc>
          <w:tcPr>
            <w:tcW w:type="dxa" w:w="21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Yes — AMFI MFD (ARN)</w:t>
            </w:r>
          </w:p>
        </w:tc>
      </w:tr>
      <w:tr>
        <w:tc>
          <w:tcPr>
            <w:tcW w:type="dxa" w:w="3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In-app stock / basket investing</w:t>
            </w:r>
          </w:p>
        </w:tc>
        <w:tc>
          <w:tcPr>
            <w:tcW w:type="dxa" w:w="2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Recommending + executing securities</w:t>
            </w:r>
          </w:p>
        </w:tc>
        <w:tc>
          <w:tcPr>
            <w:tcW w:type="dxa" w:w="17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SEBI (RA/RIA) + broker</w:t>
            </w:r>
          </w:p>
        </w:tc>
        <w:tc>
          <w:tcPr>
            <w:tcW w:type="dxa" w:w="21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Yes — RA/RIA + broker partner</w:t>
            </w:r>
          </w:p>
        </w:tc>
      </w:tr>
      <w:tr>
        <w:tc>
          <w:tcPr>
            <w:tcW w:type="dxa" w:w="3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Insurance compare + buy</w:t>
            </w:r>
          </w:p>
        </w:tc>
        <w:tc>
          <w:tcPr>
            <w:tcW w:type="dxa" w:w="2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Solicitation / sale of insurance</w:t>
            </w:r>
          </w:p>
        </w:tc>
        <w:tc>
          <w:tcPr>
            <w:tcW w:type="dxa" w:w="17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IRDAI</w:t>
            </w:r>
          </w:p>
        </w:tc>
        <w:tc>
          <w:tcPr>
            <w:tcW w:type="dxa" w:w="21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Yes — via licensed partner or own corporate-agent/broker licence</w:t>
            </w:r>
          </w:p>
        </w:tc>
      </w:tr>
      <w:tr>
        <w:tc>
          <w:tcPr>
            <w:tcW w:type="dxa" w:w="3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Bank-data auto-sync</w:t>
            </w:r>
          </w:p>
        </w:tc>
        <w:tc>
          <w:tcPr>
            <w:tcW w:type="dxa" w:w="2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Consented account aggregation</w:t>
            </w:r>
          </w:p>
        </w:tc>
        <w:tc>
          <w:tcPr>
            <w:tcW w:type="dxa" w:w="17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RBI (AA / FIU)</w:t>
            </w:r>
          </w:p>
        </w:tc>
        <w:tc>
          <w:tcPr>
            <w:tcW w:type="dxa" w:w="21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Yes — FIU registration (or via a TSP/partner)</w:t>
            </w:r>
          </w:p>
        </w:tc>
      </w:tr>
      <w:tr>
        <w:tc>
          <w:tcPr>
            <w:tcW w:type="dxa" w:w="3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All of the above</w:t>
            </w:r>
          </w:p>
        </w:tc>
        <w:tc>
          <w:tcPr>
            <w:tcW w:type="dxa" w:w="2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Processing financial personal data</w:t>
            </w:r>
          </w:p>
        </w:tc>
        <w:tc>
          <w:tcPr>
            <w:tcW w:type="dxa" w:w="17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DPDP Act + RBI</w:t>
            </w:r>
          </w:p>
        </w:tc>
        <w:tc>
          <w:tcPr>
            <w:tcW w:type="dxa" w:w="21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Data Fiduciary obligations (always)</w:t>
            </w:r>
          </w:p>
        </w:tc>
      </w:tr>
    </w:tbl>
    <w:p>
      <w:pPr>
        <w:spacing w:after="40" w:line="280"/>
      </w:pPr>
      <w:r>
        <w:rPr>
          <w:rFonts w:ascii="Calibri" w:cs="Calibri" w:eastAsia="Calibri" w:hAnsi="Calibri"/>
          <w:b w:val="false"/>
          <w:bCs w:val="false"/>
          <w:i w:val="false"/>
          <w:iCs w:val="false"/>
          <w:color w:val="1A1A1A"/>
          <w:sz w:val="21"/>
          <w:szCs w:val="21"/>
        </w:rPr>
        <w:t xml:space="preserve"/>
      </w:r>
    </w:p>
    <w:p>
      <w:pPr>
        <w:pStyle w:val="Heading1"/>
        <w:spacing w:after="120" w:before="260"/>
      </w:pPr>
      <w:r>
        <w:rPr>
          <w:rFonts w:ascii="Calibri" w:cs="Calibri" w:eastAsia="Calibri" w:hAnsi="Calibri"/>
          <w:b/>
          <w:bCs/>
          <w:color w:val="0B2F2A"/>
        </w:rPr>
        <w:t xml:space="preserve">3 · Guiding compliance principles (baked into the product)</w:t>
      </w:r>
    </w:p>
    <w:p>
      <w:pPr>
        <w:pStyle w:val="ListParagraph"/>
        <w:numPr>
          <w:ilvl w:val="0"/>
          <w:numId w:val="1"/>
        </w:numPr>
        <w:spacing w:after="66" w:line="274"/>
      </w:pPr>
      <w:r>
        <w:rPr>
          <w:rFonts w:ascii="Calibri" w:cs="Calibri" w:eastAsia="Calibri" w:hAnsi="Calibri"/>
          <w:b/>
          <w:bCs/>
          <w:color w:val="1A1A1A"/>
          <w:sz w:val="21"/>
          <w:szCs w:val="21"/>
        </w:rPr>
        <w:t xml:space="preserve">Localisation: </w:t>
      </w:r>
      <w:r>
        <w:rPr>
          <w:rFonts w:ascii="Calibri" w:cs="Calibri" w:eastAsia="Calibri" w:hAnsi="Calibri"/>
          <w:color w:val="1A1A1A"/>
          <w:sz w:val="21"/>
          <w:szCs w:val="21"/>
        </w:rPr>
        <w:t xml:space="preserve">Data residency: all data stored in India (Supabase, Mumbai region) — aligns with RBI localisation and DPDP.</w:t>
      </w:r>
    </w:p>
    <w:p>
      <w:pPr>
        <w:pStyle w:val="ListParagraph"/>
        <w:numPr>
          <w:ilvl w:val="0"/>
          <w:numId w:val="1"/>
        </w:numPr>
        <w:spacing w:after="66" w:line="274"/>
      </w:pPr>
      <w:r>
        <w:rPr>
          <w:rFonts w:ascii="Calibri" w:cs="Calibri" w:eastAsia="Calibri" w:hAnsi="Calibri"/>
          <w:b/>
          <w:bCs/>
          <w:color w:val="1A1A1A"/>
          <w:sz w:val="21"/>
          <w:szCs w:val="21"/>
        </w:rPr>
        <w:t xml:space="preserve">Education lane: </w:t>
      </w:r>
      <w:r>
        <w:rPr>
          <w:rFonts w:ascii="Calibri" w:cs="Calibri" w:eastAsia="Calibri" w:hAnsi="Calibri"/>
          <w:color w:val="1A1A1A"/>
          <w:sz w:val="21"/>
          <w:szCs w:val="21"/>
        </w:rPr>
        <w:t xml:space="preserve">Category/education only until licensed — we never name a specific stock, mutual-fund scheme or insurer product, and never claim to be an adviser.</w:t>
      </w:r>
    </w:p>
    <w:p>
      <w:pPr>
        <w:pStyle w:val="ListParagraph"/>
        <w:numPr>
          <w:ilvl w:val="0"/>
          <w:numId w:val="1"/>
        </w:numPr>
        <w:spacing w:after="66" w:line="274"/>
      </w:pPr>
      <w:r>
        <w:rPr>
          <w:rFonts w:ascii="Calibri" w:cs="Calibri" w:eastAsia="Calibri" w:hAnsi="Calibri"/>
          <w:b/>
          <w:bCs/>
          <w:color w:val="1A1A1A"/>
          <w:sz w:val="21"/>
          <w:szCs w:val="21"/>
        </w:rPr>
        <w:t xml:space="preserve">Propose → confirm: </w:t>
      </w:r>
      <w:r>
        <w:rPr>
          <w:rFonts w:ascii="Calibri" w:cs="Calibri" w:eastAsia="Calibri" w:hAnsi="Calibri"/>
          <w:color w:val="1A1A1A"/>
          <w:sz w:val="21"/>
          <w:szCs w:val="21"/>
        </w:rPr>
        <w:t xml:space="preserve">The AI never changes financial data or transacts on its own — it PROPOSES a typed action, the user CONFIRMS, and a deterministic, validated handler applies it. No silent changes.</w:t>
      </w:r>
    </w:p>
    <w:p>
      <w:pPr>
        <w:pStyle w:val="ListParagraph"/>
        <w:numPr>
          <w:ilvl w:val="0"/>
          <w:numId w:val="1"/>
        </w:numPr>
        <w:spacing w:after="66" w:line="274"/>
      </w:pPr>
      <w:r>
        <w:rPr>
          <w:rFonts w:ascii="Calibri" w:cs="Calibri" w:eastAsia="Calibri" w:hAnsi="Calibri"/>
          <w:b/>
          <w:bCs/>
          <w:color w:val="1A1A1A"/>
          <w:sz w:val="21"/>
          <w:szCs w:val="21"/>
        </w:rPr>
        <w:t xml:space="preserve">No custody: </w:t>
      </w:r>
      <w:r>
        <w:rPr>
          <w:rFonts w:ascii="Calibri" w:cs="Calibri" w:eastAsia="Calibri" w:hAnsi="Calibri"/>
          <w:color w:val="1A1A1A"/>
          <w:sz w:val="21"/>
          <w:szCs w:val="21"/>
        </w:rPr>
        <w:t xml:space="preserve">PayWatch never holds client money or securities — execution always happens at a licensed partner (broker/AMC/insurer) in the user’s own account. This avoids broker/PA/custody licences and liability.</w:t>
      </w:r>
    </w:p>
    <w:p>
      <w:pPr>
        <w:pStyle w:val="ListParagraph"/>
        <w:numPr>
          <w:ilvl w:val="0"/>
          <w:numId w:val="1"/>
        </w:numPr>
        <w:spacing w:after="66" w:line="274"/>
      </w:pPr>
      <w:r>
        <w:rPr>
          <w:rFonts w:ascii="Calibri" w:cs="Calibri" w:eastAsia="Calibri" w:hAnsi="Calibri"/>
          <w:b/>
          <w:bCs/>
          <w:color w:val="1A1A1A"/>
          <w:sz w:val="21"/>
          <w:szCs w:val="21"/>
        </w:rPr>
        <w:t xml:space="preserve">Disclosures: </w:t>
      </w:r>
      <w:r>
        <w:rPr>
          <w:rFonts w:ascii="Calibri" w:cs="Calibri" w:eastAsia="Calibri" w:hAnsi="Calibri"/>
          <w:color w:val="1A1A1A"/>
          <w:sz w:val="21"/>
          <w:szCs w:val="21"/>
        </w:rPr>
        <w:t xml:space="preserve">No guaranteed-return claims; risk disclosures on every projection; consent ledger, data export and hard-delete already built.</w:t>
      </w:r>
    </w:p>
    <w:p>
      <w:pPr>
        <w:pStyle w:val="Heading1"/>
        <w:spacing w:after="120" w:before="260"/>
      </w:pPr>
      <w:r>
        <w:rPr>
          <w:rFonts w:ascii="Calibri" w:cs="Calibri" w:eastAsia="Calibri" w:hAnsi="Calibri"/>
          <w:b/>
          <w:bCs/>
          <w:color w:val="0B2F2A"/>
        </w:rPr>
        <w:t xml:space="preserve">4 · Foundational: entity, brand, tax registration</w:t>
      </w:r>
    </w:p>
    <w:p>
      <w:pPr>
        <w:pStyle w:val="Heading2"/>
        <w:spacing w:after="90" w:before="200"/>
      </w:pPr>
      <w:r>
        <w:rPr>
          <w:rFonts w:ascii="Calibri" w:cs="Calibri" w:eastAsia="Calibri" w:hAnsi="Calibri"/>
          <w:b/>
          <w:bCs/>
          <w:color w:val="1F7A5C"/>
        </w:rPr>
        <w:t xml:space="preserve">4.1 Company incorporation</w:t>
      </w:r>
    </w:p>
    <w:p>
      <w:pPr>
        <w:pStyle w:val="ListParagraph"/>
        <w:numPr>
          <w:ilvl w:val="0"/>
          <w:numId w:val="1"/>
        </w:numPr>
        <w:spacing w:after="66" w:line="274"/>
      </w:pPr>
      <w:r>
        <w:rPr>
          <w:rFonts w:ascii="Calibri" w:cs="Calibri" w:eastAsia="Calibri" w:hAnsi="Calibri"/>
          <w:color w:val="1A1A1A"/>
          <w:sz w:val="21"/>
          <w:szCs w:val="21"/>
        </w:rPr>
        <w:t xml:space="preserve">Incorporate as a Private Limited Company (needed for investor funding, ESOPs, and as the entity under which all licences sit). Requires a minimum 2 directors/shareholders — founder + a trusted second (family/co-founder with a small stake).</w:t>
      </w:r>
    </w:p>
    <w:p>
      <w:pPr>
        <w:pStyle w:val="ListParagraph"/>
        <w:numPr>
          <w:ilvl w:val="0"/>
          <w:numId w:val="1"/>
        </w:numPr>
        <w:spacing w:after="66" w:line="274"/>
      </w:pPr>
      <w:r>
        <w:rPr>
          <w:rFonts w:ascii="Calibri" w:cs="Calibri" w:eastAsia="Calibri" w:hAnsi="Calibri"/>
          <w:color w:val="1A1A1A"/>
          <w:sz w:val="21"/>
          <w:szCs w:val="21"/>
        </w:rPr>
        <w:t xml:space="preserve">Register for DPIIT (Startup India) recognition — tax benefits + reduced trademark fees.</w:t>
      </w:r>
    </w:p>
    <w:p>
      <w:pPr>
        <w:pStyle w:val="ListParagraph"/>
        <w:numPr>
          <w:ilvl w:val="0"/>
          <w:numId w:val="1"/>
        </w:numPr>
        <w:spacing w:after="66" w:line="274"/>
      </w:pPr>
      <w:r>
        <w:rPr>
          <w:rFonts w:ascii="Calibri" w:cs="Calibri" w:eastAsia="Calibri" w:hAnsi="Calibri"/>
          <w:color w:val="1A1A1A"/>
          <w:sz w:val="21"/>
          <w:szCs w:val="21"/>
        </w:rPr>
        <w:t xml:space="preserve">PayWatch is NOT an NBFC — it does not lend, accept deposits, or hold funds, so no RBI NBFC registration is triggered. (If lending is ever added, it would be under RBI Digital Lending Guidelines as a Lending Service Provider partnering a licensed NBFC/bank — a separate future analysis.)</w:t>
      </w:r>
    </w:p>
    <w:p>
      <w:pPr>
        <w:pStyle w:val="Heading2"/>
        <w:spacing w:after="90" w:before="200"/>
      </w:pPr>
      <w:r>
        <w:rPr>
          <w:rFonts w:ascii="Calibri" w:cs="Calibri" w:eastAsia="Calibri" w:hAnsi="Calibri"/>
          <w:b/>
          <w:bCs/>
          <w:color w:val="1F7A5C"/>
        </w:rPr>
        <w:t xml:space="preserve">4.2 Trademark — including the “PayWatch is already owned” problem</w:t>
      </w:r>
    </w:p>
    <w:p>
      <w:pPr>
        <w:pStyle w:val="ListParagraph"/>
        <w:numPr>
          <w:ilvl w:val="0"/>
          <w:numId w:val="1"/>
        </w:numPr>
        <w:spacing w:after="66" w:line="274"/>
      </w:pPr>
      <w:r>
        <w:rPr>
          <w:rFonts w:ascii="Calibri" w:cs="Calibri" w:eastAsia="Calibri" w:hAnsi="Calibri"/>
          <w:color w:val="1A1A1A"/>
          <w:sz w:val="21"/>
          <w:szCs w:val="21"/>
        </w:rPr>
        <w:t xml:space="preserve">We want to register the mark in classes 9 (software), 36 (financial services), 42 (SaaS/tech) — and, given our education + distribution scope, likely also 35 (business/marketplace) and 41 (education).</w:t>
      </w:r>
    </w:p>
    <w:p>
      <w:pPr>
        <w:pStyle w:val="ListParagraph"/>
        <w:numPr>
          <w:ilvl w:val="0"/>
          <w:numId w:val="1"/>
        </w:numPr>
        <w:spacing w:after="66" w:line="274"/>
      </w:pPr>
      <w:r>
        <w:rPr>
          <w:rFonts w:ascii="Calibri" w:cs="Calibri" w:eastAsia="Calibri" w:hAnsi="Calibri"/>
          <w:color w:val="1A1A1A"/>
          <w:sz w:val="21"/>
          <w:szCs w:val="21"/>
        </w:rPr>
        <w:t xml:space="preserve">CRITICAL ISSUE: the “PayWatch” word-mark appears to already be registered/used by another party (and separately, a “DhanSaarthi” name we considered is used by a wealth-management firm). We need your view on: (a) whether the existing “PayWatch” mark is in a conflicting class, its status, and whether it is vulnerable to a non-use cancellation (Trade Marks Act s.47) or obtainable via assignment; (b) if not obtainable, we will rebrand — we are separately screening distinctive coined names and will run the finalists past you before we commit.</w:t>
      </w:r>
    </w:p>
    <w:p>
      <w:pPr>
        <w:pStyle w:val="Heading2"/>
        <w:spacing w:after="90" w:before="200"/>
      </w:pPr>
      <w:r>
        <w:rPr>
          <w:rFonts w:ascii="Calibri" w:cs="Calibri" w:eastAsia="Calibri" w:hAnsi="Calibri"/>
          <w:b/>
          <w:bCs/>
          <w:color w:val="1F7A5C"/>
        </w:rPr>
        <w:t xml:space="preserve">4.3 Tax registrations</w:t>
      </w:r>
    </w:p>
    <w:p>
      <w:pPr>
        <w:pStyle w:val="ListParagraph"/>
        <w:numPr>
          <w:ilvl w:val="0"/>
          <w:numId w:val="1"/>
        </w:numPr>
        <w:spacing w:after="66" w:line="274"/>
      </w:pPr>
      <w:r>
        <w:rPr>
          <w:rFonts w:ascii="Calibri" w:cs="Calibri" w:eastAsia="Calibri" w:hAnsi="Calibri"/>
          <w:color w:val="1A1A1A"/>
          <w:sz w:val="21"/>
          <w:szCs w:val="21"/>
        </w:rPr>
        <w:t xml:space="preserve">GST registration (billing already issues 18% GST invoices). PAN/TAN with incorporation.</w:t>
      </w:r>
    </w:p>
    <w:p>
      <w:pPr>
        <w:pStyle w:val="Heading1"/>
        <w:spacing w:after="120" w:before="260"/>
      </w:pPr>
      <w:r>
        <w:rPr>
          <w:rFonts w:ascii="Calibri" w:cs="Calibri" w:eastAsia="Calibri" w:hAnsi="Calibri"/>
          <w:b/>
          <w:bCs/>
          <w:color w:val="0B2F2A"/>
        </w:rPr>
        <w:t xml:space="preserve">5 · Data protection — the highest-priority obligation</w:t>
      </w:r>
    </w:p>
    <w:p>
      <w:pPr>
        <w:spacing w:after="120" w:line="280"/>
      </w:pPr>
      <w:r>
        <w:rPr>
          <w:rFonts w:ascii="Calibri" w:cs="Calibri" w:eastAsia="Calibri" w:hAnsi="Calibri"/>
          <w:b w:val="false"/>
          <w:bCs w:val="false"/>
          <w:i w:val="false"/>
          <w:iCs w:val="false"/>
          <w:color w:val="1A1A1A"/>
          <w:sz w:val="21"/>
          <w:szCs w:val="21"/>
        </w:rPr>
        <w:t xml:space="preserve">PayWatch processes sensitive financial personal data (income, holdings, insurance, tax, bank statements). This is the area we most want to get 100% right — penalties under the DPDP Act reach up to ₹250 crore, and a breach in a financial-data app is existential.</w:t>
      </w:r>
    </w:p>
    <w:p>
      <w:pPr>
        <w:pStyle w:val="Heading2"/>
        <w:spacing w:after="90" w:before="200"/>
      </w:pPr>
      <w:r>
        <w:rPr>
          <w:rFonts w:ascii="Calibri" w:cs="Calibri" w:eastAsia="Calibri" w:hAnsi="Calibri"/>
          <w:b/>
          <w:bCs/>
          <w:color w:val="1F7A5C"/>
        </w:rPr>
        <w:t xml:space="preserve">5.1 DPDP Act 2023 + Rules 2025</w:t>
      </w:r>
    </w:p>
    <w:p>
      <w:pPr>
        <w:pStyle w:val="ListParagraph"/>
        <w:numPr>
          <w:ilvl w:val="0"/>
          <w:numId w:val="1"/>
        </w:numPr>
        <w:spacing w:after="66" w:line="274"/>
      </w:pPr>
      <w:r>
        <w:rPr>
          <w:rFonts w:ascii="Calibri" w:cs="Calibri" w:eastAsia="Calibri" w:hAnsi="Calibri"/>
          <w:color w:val="1A1A1A"/>
          <w:sz w:val="21"/>
          <w:szCs w:val="21"/>
        </w:rPr>
        <w:t xml:space="preserve">PayWatch is a Data Fiduciary. Rules were notified 13 Nov 2025 with a phased runway — consent-manager provisions ~Nov 2026, substantive obligations from ~mid-2027 — so we have time to formalise, but must build correctly now.</w:t>
      </w:r>
    </w:p>
    <w:p>
      <w:pPr>
        <w:pStyle w:val="ListParagraph"/>
        <w:numPr>
          <w:ilvl w:val="0"/>
          <w:numId w:val="1"/>
        </w:numPr>
        <w:spacing w:after="66" w:line="274"/>
      </w:pPr>
      <w:r>
        <w:rPr>
          <w:rFonts w:ascii="Calibri" w:cs="Calibri" w:eastAsia="Calibri" w:hAnsi="Calibri"/>
          <w:color w:val="1A1A1A"/>
          <w:sz w:val="21"/>
          <w:szCs w:val="21"/>
        </w:rPr>
        <w:t xml:space="preserve">Financial data is treated as sensitive (Section 8) — explicit, purpose-limited consent required.</w:t>
      </w:r>
    </w:p>
    <w:p>
      <w:pPr>
        <w:pStyle w:val="ListParagraph"/>
        <w:numPr>
          <w:ilvl w:val="0"/>
          <w:numId w:val="1"/>
        </w:numPr>
        <w:spacing w:after="66" w:line="274"/>
      </w:pPr>
      <w:r>
        <w:rPr>
          <w:rFonts w:ascii="Calibri" w:cs="Calibri" w:eastAsia="Calibri" w:hAnsi="Calibri"/>
          <w:color w:val="1A1A1A"/>
          <w:sz w:val="21"/>
          <w:szCs w:val="21"/>
        </w:rPr>
        <w:t xml:space="preserve">Built already: consent ledger, JSON data export, hard delete (7-day), audit log, AA-revocation, app-layer AES-256 encryption at rest, India-only storage.</w:t>
      </w:r>
    </w:p>
    <w:p>
      <w:pPr>
        <w:pStyle w:val="ListParagraph"/>
        <w:numPr>
          <w:ilvl w:val="0"/>
          <w:numId w:val="1"/>
        </w:numPr>
        <w:spacing w:after="66" w:line="274"/>
      </w:pPr>
      <w:r>
        <w:rPr>
          <w:rFonts w:ascii="Calibri" w:cs="Calibri" w:eastAsia="Calibri" w:hAnsi="Calibri"/>
          <w:color w:val="1A1A1A"/>
          <w:sz w:val="21"/>
          <w:szCs w:val="21"/>
        </w:rPr>
        <w:t xml:space="preserve">To formalise (need your help): a standalone DPDP consent notice, privacy policy, breach-notification process, grievance officer, under-18 (parental) consent handling, data-retention schedule, and processor agreements with each vendor (Supabase, Razorpay, AI provider, insurer/broker partners).</w:t>
      </w:r>
    </w:p>
    <w:p>
      <w:pPr>
        <w:pStyle w:val="Heading2"/>
        <w:spacing w:after="90" w:before="200"/>
      </w:pPr>
      <w:r>
        <w:rPr>
          <w:rFonts w:ascii="Calibri" w:cs="Calibri" w:eastAsia="Calibri" w:hAnsi="Calibri"/>
          <w:b/>
          <w:bCs/>
          <w:color w:val="1F7A5C"/>
        </w:rPr>
        <w:t xml:space="preserve">5.2 Significant Data Fiduciary (SDF) — future trigger at scale</w:t>
      </w:r>
    </w:p>
    <w:p>
      <w:pPr>
        <w:pStyle w:val="ListParagraph"/>
        <w:numPr>
          <w:ilvl w:val="0"/>
          <w:numId w:val="1"/>
        </w:numPr>
        <w:spacing w:after="66" w:line="274"/>
      </w:pPr>
      <w:r>
        <w:rPr>
          <w:rFonts w:ascii="Calibri" w:cs="Calibri" w:eastAsia="Calibri" w:hAnsi="Calibri"/>
          <w:color w:val="1A1A1A"/>
          <w:sz w:val="21"/>
          <w:szCs w:val="21"/>
        </w:rPr>
        <w:t xml:space="preserve">If PayWatch crosses the volume/sensitivity threshold the Government notifies (guidance suggests ~50 lakh Indian users), it becomes an SDF with extra duties: an India-based Data Protection Officer, an independent data auditor, annual DPIA + audit, and algorithmic due-diligence on our AI.</w:t>
      </w:r>
    </w:p>
    <w:p>
      <w:pPr>
        <w:pStyle w:val="ListParagraph"/>
        <w:numPr>
          <w:ilvl w:val="0"/>
          <w:numId w:val="1"/>
        </w:numPr>
        <w:spacing w:after="66" w:line="274"/>
      </w:pPr>
      <w:r>
        <w:rPr>
          <w:rFonts w:ascii="Calibri" w:cs="Calibri" w:eastAsia="Calibri" w:hAnsi="Calibri"/>
          <w:color w:val="1A1A1A"/>
          <w:sz w:val="21"/>
          <w:szCs w:val="21"/>
        </w:rPr>
        <w:t xml:space="preserve">Not immediate (we have no users yet), but we want to design for it so we are not caught out at scale. We’d like your view on when to appoint a DPO and start DPIAs.</w:t>
      </w:r>
    </w:p>
    <w:p>
      <w:pPr>
        <w:pStyle w:val="Heading2"/>
        <w:spacing w:after="90" w:before="200"/>
      </w:pPr>
      <w:r>
        <w:rPr>
          <w:rFonts w:ascii="Calibri" w:cs="Calibri" w:eastAsia="Calibri" w:hAnsi="Calibri"/>
          <w:b/>
          <w:bCs/>
          <w:color w:val="1F7A5C"/>
        </w:rPr>
        <w:t xml:space="preserve">5.3 RBI data-localisation overlap</w:t>
      </w:r>
    </w:p>
    <w:p>
      <w:pPr>
        <w:pStyle w:val="ListParagraph"/>
        <w:numPr>
          <w:ilvl w:val="0"/>
          <w:numId w:val="1"/>
        </w:numPr>
        <w:spacing w:after="66" w:line="274"/>
      </w:pPr>
      <w:r>
        <w:rPr>
          <w:rFonts w:ascii="Calibri" w:cs="Calibri" w:eastAsia="Calibri" w:hAnsi="Calibri"/>
          <w:color w:val="1A1A1A"/>
          <w:sz w:val="21"/>
          <w:szCs w:val="21"/>
        </w:rPr>
        <w:t xml:space="preserve">RBI mandates payment/financial data be stored in India; where a sectoral RBI rule is stricter than DPDP, the RBI rule prevails. Payment credentials flow through Razorpay (the licensed Payment Aggregator), which bears the payment-data localisation obligation; PayWatch stores its own data in India already.</w:t>
      </w:r>
    </w:p>
    <w:p>
      <w:pPr>
        <w:pStyle w:val="Heading1"/>
        <w:spacing w:after="120" w:before="260"/>
      </w:pPr>
      <w:r>
        <w:rPr>
          <w:rFonts w:ascii="Calibri" w:cs="Calibri" w:eastAsia="Calibri" w:hAnsi="Calibri"/>
          <w:b/>
          <w:bCs/>
          <w:color w:val="0B2F2A"/>
        </w:rPr>
        <w:t xml:space="preserve">6 · Domain-by-domain: the possible paths, with limits &amp; grey areas</w:t>
      </w:r>
    </w:p>
    <w:p>
      <w:pPr>
        <w:pStyle w:val="Heading2"/>
        <w:spacing w:after="90" w:before="200"/>
      </w:pPr>
      <w:r>
        <w:rPr>
          <w:rFonts w:ascii="Calibri" w:cs="Calibri" w:eastAsia="Calibri" w:hAnsi="Calibri"/>
          <w:b/>
          <w:bCs/>
          <w:color w:val="1F7A5C"/>
        </w:rPr>
        <w:t xml:space="preserve">6.1 Tax (Income-Tax Department)</w:t>
      </w:r>
    </w:p>
    <w:p>
      <w:pPr>
        <w:pStyle w:val="ListParagraph"/>
        <w:numPr>
          <w:ilvl w:val="0"/>
          <w:numId w:val="1"/>
        </w:numPr>
        <w:spacing w:after="66" w:line="274"/>
      </w:pPr>
      <w:r>
        <w:rPr>
          <w:rFonts w:ascii="Calibri" w:cs="Calibri" w:eastAsia="Calibri" w:hAnsi="Calibri"/>
          <w:b/>
          <w:bCs/>
          <w:color w:val="1A1A1A"/>
          <w:sz w:val="21"/>
          <w:szCs w:val="21"/>
        </w:rPr>
        <w:t xml:space="preserve">Path A — </w:t>
      </w:r>
      <w:r>
        <w:rPr>
          <w:rFonts w:ascii="Calibri" w:cs="Calibri" w:eastAsia="Calibri" w:hAnsi="Calibri"/>
          <w:color w:val="1A1A1A"/>
          <w:sz w:val="21"/>
          <w:szCs w:val="21"/>
        </w:rPr>
        <w:t xml:space="preserve">NOW (no licence): PayWatch computes the user’s full return and guides them to self-file on the government portal. Preparing/computing/guiding needs no registration.</w:t>
      </w:r>
    </w:p>
    <w:p>
      <w:pPr>
        <w:pStyle w:val="ListParagraph"/>
        <w:numPr>
          <w:ilvl w:val="0"/>
          <w:numId w:val="1"/>
        </w:numPr>
        <w:spacing w:after="66" w:line="274"/>
      </w:pPr>
      <w:r>
        <w:rPr>
          <w:rFonts w:ascii="Calibri" w:cs="Calibri" w:eastAsia="Calibri" w:hAnsi="Calibri"/>
          <w:b/>
          <w:bCs/>
          <w:color w:val="1A1A1A"/>
          <w:sz w:val="21"/>
          <w:szCs w:val="21"/>
        </w:rPr>
        <w:t xml:space="preserve">Path B — </w:t>
      </w:r>
      <w:r>
        <w:rPr>
          <w:rFonts w:ascii="Calibri" w:cs="Calibri" w:eastAsia="Calibri" w:hAnsi="Calibri"/>
          <w:color w:val="1A1A1A"/>
          <w:sz w:val="21"/>
          <w:szCs w:val="21"/>
        </w:rPr>
        <w:t xml:space="preserve">LATER: register as an e-Return Intermediary (ERI) to enable one-click filing from inside the app (like ClearTax/Quicko). ERI for a company requires net worth &gt; ₹1 crore, a Digital Signature Certificate and a due-diligence certificate — a scale-stage step.</w:t>
      </w:r>
    </w:p>
    <w:p>
      <w:pPr>
        <w:pStyle w:val="ListParagraph"/>
        <w:numPr>
          <w:ilvl w:val="0"/>
          <w:numId w:val="1"/>
        </w:numPr>
        <w:spacing w:after="66" w:line="274"/>
      </w:pPr>
      <w:r>
        <w:rPr>
          <w:rFonts w:ascii="Calibri" w:cs="Calibri" w:eastAsia="Calibri" w:hAnsi="Calibri"/>
          <w:b/>
          <w:bCs/>
          <w:color w:val="1A1A1A"/>
          <w:sz w:val="21"/>
          <w:szCs w:val="21"/>
        </w:rPr>
        <w:t xml:space="preserve">Hard limit — </w:t>
      </w:r>
      <w:r>
        <w:rPr>
          <w:rFonts w:ascii="Calibri" w:cs="Calibri" w:eastAsia="Calibri" w:hAnsi="Calibri"/>
          <w:color w:val="1A1A1A"/>
          <w:sz w:val="21"/>
          <w:szCs w:val="21"/>
        </w:rPr>
        <w:t xml:space="preserve">Tax audits (s.44AB) and certifications (e.g. 15CB) legally require a CA’s signature/UDIN — software cannot remove these (affects larger businesses, not regular individuals). Our engine flags this case.</w:t>
      </w:r>
    </w:p>
    <w:p>
      <w:pPr>
        <w:pStyle w:val="Heading2"/>
        <w:spacing w:after="90" w:before="200"/>
      </w:pPr>
      <w:r>
        <w:rPr>
          <w:rFonts w:ascii="Calibri" w:cs="Calibri" w:eastAsia="Calibri" w:hAnsi="Calibri"/>
          <w:b/>
          <w:bCs/>
          <w:color w:val="1F7A5C"/>
        </w:rPr>
        <w:t xml:space="preserve">6.2 Investing (SEBI + AMFI) — the three-layer model</w:t>
      </w:r>
    </w:p>
    <w:p>
      <w:pPr>
        <w:spacing w:after="120" w:line="280"/>
      </w:pPr>
      <w:r>
        <w:rPr>
          <w:rFonts w:ascii="Calibri" w:cs="Calibri" w:eastAsia="Calibri" w:hAnsi="Calibri"/>
          <w:b w:val="false"/>
          <w:bCs w:val="false"/>
          <w:i w:val="false"/>
          <w:iCs w:val="false"/>
          <w:color w:val="1A1A1A"/>
          <w:sz w:val="21"/>
          <w:szCs w:val="21"/>
        </w:rPr>
        <w:t xml:space="preserve">We separate three layers, because who owns each is a distinct decision: (A) Data + personalization — always PayWatch, not regulated; (B) Recommendation (naming a fund/stock) — regulated, needs a licence or a licensed partner; (C) Execution (placing the trade) — always a broker/AMC partner; PayWatch never holds funds/securities.</w:t>
      </w:r>
    </w:p>
    <w:p>
      <w:pPr>
        <w:pStyle w:val="ListParagraph"/>
        <w:numPr>
          <w:ilvl w:val="0"/>
          <w:numId w:val="1"/>
        </w:numPr>
        <w:spacing w:after="66" w:line="274"/>
      </w:pPr>
      <w:r>
        <w:rPr>
          <w:rFonts w:ascii="Calibri" w:cs="Calibri" w:eastAsia="Calibri" w:hAnsi="Calibri"/>
          <w:b/>
          <w:bCs/>
          <w:color w:val="1A1A1A"/>
          <w:sz w:val="21"/>
          <w:szCs w:val="21"/>
        </w:rPr>
        <w:t xml:space="preserve">Path A (now) — </w:t>
      </w:r>
      <w:r>
        <w:rPr>
          <w:rFonts w:ascii="Calibri" w:cs="Calibri" w:eastAsia="Calibri" w:hAnsi="Calibri"/>
          <w:color w:val="1A1A1A"/>
          <w:sz w:val="21"/>
          <w:szCs w:val="21"/>
        </w:rPr>
        <w:t xml:space="preserve">Category/education only — asset-class and fund-CATEGORY guidance, no product named, no &lt;3-month price data beside a named security (finfluencer rule). No licence. This is where we are now.</w:t>
      </w:r>
    </w:p>
    <w:p>
      <w:pPr>
        <w:pStyle w:val="ListParagraph"/>
        <w:numPr>
          <w:ilvl w:val="0"/>
          <w:numId w:val="1"/>
        </w:numPr>
        <w:spacing w:after="66" w:line="274"/>
      </w:pPr>
      <w:r>
        <w:rPr>
          <w:rFonts w:ascii="Calibri" w:cs="Calibri" w:eastAsia="Calibri" w:hAnsi="Calibri"/>
          <w:b/>
          <w:bCs/>
          <w:color w:val="1A1A1A"/>
          <w:sz w:val="21"/>
          <w:szCs w:val="21"/>
        </w:rPr>
        <w:t xml:space="preserve">Path B (near-term) — </w:t>
      </w:r>
      <w:r>
        <w:rPr>
          <w:rFonts w:ascii="Calibri" w:cs="Calibri" w:eastAsia="Calibri" w:hAnsi="Calibri"/>
          <w:color w:val="1A1A1A"/>
          <w:sz w:val="21"/>
          <w:szCs w:val="21"/>
        </w:rPr>
        <w:t xml:space="preserve">AMFI Mutual Fund Distributor (ARN): NISM Series V-A exam + ARN (~₹5k). Lets users actually invest in mutual funds / SIPs in-app, executed via BSE StAR MF. MFD = distribution (trail commission from AMCs), NOT advice — we must not charge advisory fees or give personalised “buy this scheme for you” advice for a fee. Cheapest “tell + act” step, right for our beginner users.</w:t>
      </w:r>
    </w:p>
    <w:p>
      <w:pPr>
        <w:pStyle w:val="ListParagraph"/>
        <w:numPr>
          <w:ilvl w:val="0"/>
          <w:numId w:val="1"/>
        </w:numPr>
        <w:spacing w:after="66" w:line="274"/>
      </w:pPr>
      <w:r>
        <w:rPr>
          <w:rFonts w:ascii="Calibri" w:cs="Calibri" w:eastAsia="Calibri" w:hAnsi="Calibri"/>
          <w:b/>
          <w:bCs/>
          <w:color w:val="1A1A1A"/>
          <w:sz w:val="21"/>
          <w:szCs w:val="21"/>
        </w:rPr>
        <w:t xml:space="preserve">Path C — </w:t>
      </w:r>
      <w:r>
        <w:rPr>
          <w:rFonts w:ascii="Calibri" w:cs="Calibri" w:eastAsia="Calibri" w:hAnsi="Calibri"/>
          <w:color w:val="1A1A1A"/>
          <w:sz w:val="21"/>
          <w:szCs w:val="21"/>
        </w:rPr>
        <w:t xml:space="preserve">SEBI Research Analyst (RA): allows one-to-many “buy/sell” recommendations on specific securities (research). This is the licence to name a stock. Ongoing compliance, net-worth and NISM Series XV requirements.</w:t>
      </w:r>
    </w:p>
    <w:p>
      <w:pPr>
        <w:pStyle w:val="ListParagraph"/>
        <w:numPr>
          <w:ilvl w:val="0"/>
          <w:numId w:val="1"/>
        </w:numPr>
        <w:spacing w:after="66" w:line="274"/>
      </w:pPr>
      <w:r>
        <w:rPr>
          <w:rFonts w:ascii="Calibri" w:cs="Calibri" w:eastAsia="Calibri" w:hAnsi="Calibri"/>
          <w:b/>
          <w:bCs/>
          <w:color w:val="1A1A1A"/>
          <w:sz w:val="21"/>
          <w:szCs w:val="21"/>
        </w:rPr>
        <w:t xml:space="preserve">Path D — </w:t>
      </w:r>
      <w:r>
        <w:rPr>
          <w:rFonts w:ascii="Calibri" w:cs="Calibri" w:eastAsia="Calibri" w:hAnsi="Calibri"/>
          <w:color w:val="1A1A1A"/>
          <w:sz w:val="21"/>
          <w:szCs w:val="21"/>
        </w:rPr>
        <w:t xml:space="preserve">SEBI Registered Investment Adviser (RIA): personalised, fee-only advice after assessing the individual. NISM X-A + X-B, qualification/experience + net-worth criteria, fiduciary duty, audits. Heaviest path — only if we charge for personalised “buy X for you”.</w:t>
      </w:r>
    </w:p>
    <w:p>
      <w:pPr>
        <w:pStyle w:val="ListParagraph"/>
        <w:numPr>
          <w:ilvl w:val="0"/>
          <w:numId w:val="1"/>
        </w:numPr>
        <w:spacing w:after="66" w:line="274"/>
      </w:pPr>
      <w:r>
        <w:rPr>
          <w:rFonts w:ascii="Calibri" w:cs="Calibri" w:eastAsia="Calibri" w:hAnsi="Calibri"/>
          <w:b/>
          <w:bCs/>
          <w:color w:val="1A1A1A"/>
          <w:sz w:val="21"/>
          <w:szCs w:val="21"/>
        </w:rPr>
        <w:t xml:space="preserve">Execution — </w:t>
      </w:r>
      <w:r>
        <w:rPr>
          <w:rFonts w:ascii="Calibri" w:cs="Calibri" w:eastAsia="Calibri" w:hAnsi="Calibri"/>
          <w:color w:val="1A1A1A"/>
          <w:sz w:val="21"/>
          <w:szCs w:val="21"/>
        </w:rPr>
        <w:t xml:space="preserve">For stocks/baskets we can EXECUTE via a broker API (e.g. Zerodha Kite Connect, Angel SmartAPI) into the user’s OWN demat — no broker licence, no custody. The recommendation layer we either own (RA/RIA above) or, as a short bridge, partner a licensed RA (the “smallcase” model). We do NOT intend to permanently outsource the recommendation engine, and we will NOT share the user’s financial profile with a recommendation partner (privacy) — execution partners receive only the order, via the user’s own broker login.</w:t>
      </w:r>
    </w:p>
    <w:p>
      <w:pPr>
        <w:pStyle w:val="Heading2"/>
        <w:spacing w:after="90" w:before="200"/>
      </w:pPr>
      <w:r>
        <w:rPr>
          <w:rFonts w:ascii="Calibri" w:cs="Calibri" w:eastAsia="Calibri" w:hAnsi="Calibri"/>
          <w:b/>
          <w:bCs/>
          <w:color w:val="1F7A5C"/>
        </w:rPr>
        <w:t xml:space="preserve">6.3 Insurance (IRDAI)</w:t>
      </w:r>
    </w:p>
    <w:p>
      <w:pPr>
        <w:pStyle w:val="ListParagraph"/>
        <w:numPr>
          <w:ilvl w:val="0"/>
          <w:numId w:val="1"/>
        </w:numPr>
        <w:spacing w:after="66" w:line="274"/>
      </w:pPr>
      <w:r>
        <w:rPr>
          <w:rFonts w:ascii="Calibri" w:cs="Calibri" w:eastAsia="Calibri" w:hAnsi="Calibri"/>
          <w:b/>
          <w:bCs/>
          <w:color w:val="1A1A1A"/>
          <w:sz w:val="21"/>
          <w:szCs w:val="21"/>
        </w:rPr>
        <w:t xml:space="preserve">Path A (now) — </w:t>
      </w:r>
      <w:r>
        <w:rPr>
          <w:rFonts w:ascii="Calibri" w:cs="Calibri" w:eastAsia="Calibri" w:hAnsi="Calibri"/>
          <w:color w:val="1A1A1A"/>
          <w:sz w:val="21"/>
          <w:szCs w:val="21"/>
        </w:rPr>
        <w:t xml:space="preserve">Tech + discovery layer on a LICENSED PARTNER: we build the whole experience (education, needs discovery, comparison-style UX, policy management) but the regulated sale, premium collection and issuance are owned by an IRDAI-licensed partner (embedded-insurance infra such as Zopper/Riskcovry, or a broker) via their quote/issue APIs. Go live without our own licence; validate; then decide. Our current build is intent-only — indicative premiums, an application that captures intent, NO premium collected, NO policy issued.</w:t>
      </w:r>
    </w:p>
    <w:p>
      <w:pPr>
        <w:pStyle w:val="ListParagraph"/>
        <w:numPr>
          <w:ilvl w:val="0"/>
          <w:numId w:val="1"/>
        </w:numPr>
        <w:spacing w:after="66" w:line="274"/>
      </w:pPr>
      <w:r>
        <w:rPr>
          <w:rFonts w:ascii="Calibri" w:cs="Calibri" w:eastAsia="Calibri" w:hAnsi="Calibri"/>
          <w:b/>
          <w:bCs/>
          <w:color w:val="1A1A1A"/>
          <w:sz w:val="21"/>
          <w:szCs w:val="21"/>
        </w:rPr>
        <w:t xml:space="preserve">Path B (own licence) — </w:t>
      </w:r>
      <w:r>
        <w:rPr>
          <w:rFonts w:ascii="Calibri" w:cs="Calibri" w:eastAsia="Calibri" w:hAnsi="Calibri"/>
          <w:color w:val="1A1A1A"/>
          <w:sz w:val="21"/>
          <w:szCs w:val="21"/>
        </w:rPr>
        <w:t xml:space="preserve">IRDAI Corporate Agent: ₹50 lakh share capital + ₹50 lakh net worth maintained; may tie up with up to 3 insurers per category (life/general/health) = up to 9 total; needs a Principal Officer + specified persons / PoSP with IRDAI certification, board-approved open-architecture policy, anti-mis-selling and grievance processes. Own the margin, end-to-end in-app (the CRED model).</w:t>
      </w:r>
    </w:p>
    <w:p>
      <w:pPr>
        <w:pStyle w:val="ListParagraph"/>
        <w:numPr>
          <w:ilvl w:val="0"/>
          <w:numId w:val="1"/>
        </w:numPr>
        <w:spacing w:after="66" w:line="274"/>
      </w:pPr>
      <w:r>
        <w:rPr>
          <w:rFonts w:ascii="Calibri" w:cs="Calibri" w:eastAsia="Calibri" w:hAnsi="Calibri"/>
          <w:b/>
          <w:bCs/>
          <w:color w:val="1A1A1A"/>
          <w:sz w:val="21"/>
          <w:szCs w:val="21"/>
        </w:rPr>
        <w:t xml:space="preserve">Alternatives — </w:t>
      </w:r>
      <w:r>
        <w:rPr>
          <w:rFonts w:ascii="Calibri" w:cs="Calibri" w:eastAsia="Calibri" w:hAnsi="Calibri"/>
          <w:color w:val="1A1A1A"/>
          <w:sz w:val="21"/>
          <w:szCs w:val="21"/>
        </w:rPr>
        <w:t xml:space="preserve">IRDAI Direct Broker (₹75 lakh capital + ₹50 lakh net worth; any insurer, higher burden) or Web Aggregator; and Bima Sugam — IRDAI’s unified zero-commission marketplace rail phasing in — as the long-term rail to design toward.</w:t>
      </w:r>
    </w:p>
    <w:p>
      <w:pPr>
        <w:pStyle w:val="ListParagraph"/>
        <w:numPr>
          <w:ilvl w:val="0"/>
          <w:numId w:val="1"/>
        </w:numPr>
        <w:spacing w:after="66" w:line="274"/>
      </w:pPr>
      <w:r>
        <w:rPr>
          <w:rFonts w:ascii="Calibri" w:cs="Calibri" w:eastAsia="Calibri" w:hAnsi="Calibri"/>
          <w:b/>
          <w:bCs/>
          <w:color w:val="1A1A1A"/>
          <w:sz w:val="21"/>
          <w:szCs w:val="21"/>
        </w:rPr>
        <w:t xml:space="preserve">Wording rule — </w:t>
      </w:r>
      <w:r>
        <w:rPr>
          <w:rFonts w:ascii="Calibri" w:cs="Calibri" w:eastAsia="Calibri" w:hAnsi="Calibri"/>
          <w:color w:val="1A1A1A"/>
          <w:sz w:val="21"/>
          <w:szCs w:val="21"/>
        </w:rPr>
        <w:t xml:space="preserve">Compliance wording (already enforced in our UI): never “best plan for you / we recommend / cheapest &amp; best”. We use “options based on the details you provided, arranged through our IRDAI-licensed partner, subject to insurer terms/underwriting — not advice”.</w:t>
      </w:r>
    </w:p>
    <w:p>
      <w:pPr>
        <w:pStyle w:val="Heading2"/>
        <w:spacing w:after="90" w:before="200"/>
      </w:pPr>
      <w:r>
        <w:rPr>
          <w:rFonts w:ascii="Calibri" w:cs="Calibri" w:eastAsia="Calibri" w:hAnsi="Calibri"/>
          <w:b/>
          <w:bCs/>
          <w:color w:val="1F7A5C"/>
        </w:rPr>
        <w:t xml:space="preserve">6.4 Bank-data aggregation (RBI / Account Aggregator)</w:t>
      </w:r>
    </w:p>
    <w:p>
      <w:pPr>
        <w:pStyle w:val="ListParagraph"/>
        <w:numPr>
          <w:ilvl w:val="0"/>
          <w:numId w:val="1"/>
        </w:numPr>
        <w:spacing w:after="66" w:line="274"/>
      </w:pPr>
      <w:r>
        <w:rPr>
          <w:rFonts w:ascii="Calibri" w:cs="Calibri" w:eastAsia="Calibri" w:hAnsi="Calibri"/>
          <w:b/>
          <w:bCs/>
          <w:color w:val="1A1A1A"/>
          <w:sz w:val="21"/>
          <w:szCs w:val="21"/>
        </w:rPr>
        <w:t xml:space="preserve">Path A — </w:t>
      </w:r>
      <w:r>
        <w:rPr>
          <w:rFonts w:ascii="Calibri" w:cs="Calibri" w:eastAsia="Calibri" w:hAnsi="Calibri"/>
          <w:color w:val="1A1A1A"/>
          <w:sz w:val="21"/>
          <w:szCs w:val="21"/>
        </w:rPr>
        <w:t xml:space="preserve">NOW: users upload bank statements (no live bank connection) — no RBI registration. This is deliberate.</w:t>
      </w:r>
    </w:p>
    <w:p>
      <w:pPr>
        <w:pStyle w:val="ListParagraph"/>
        <w:numPr>
          <w:ilvl w:val="0"/>
          <w:numId w:val="1"/>
        </w:numPr>
        <w:spacing w:after="66" w:line="274"/>
      </w:pPr>
      <w:r>
        <w:rPr>
          <w:rFonts w:ascii="Calibri" w:cs="Calibri" w:eastAsia="Calibri" w:hAnsi="Calibri"/>
          <w:b/>
          <w:bCs/>
          <w:color w:val="1A1A1A"/>
          <w:sz w:val="21"/>
          <w:szCs w:val="21"/>
        </w:rPr>
        <w:t xml:space="preserve">Path B — </w:t>
      </w:r>
      <w:r>
        <w:rPr>
          <w:rFonts w:ascii="Calibri" w:cs="Calibri" w:eastAsia="Calibri" w:hAnsi="Calibri"/>
          <w:color w:val="1A1A1A"/>
          <w:sz w:val="21"/>
          <w:szCs w:val="21"/>
        </w:rPr>
        <w:t xml:space="preserve">LATER: live consented bank data via the Account Aggregator framework. To be a Financial Information User (FIU) an entity must be regulated by RBI/SEBI/IRDAI/PFRDA — a plain app cannot be an FIU directly; we would access AA either after holding one of the above registrations or via a licensed Technical Service Provider (TSP)/partner. Data is only relayed, not stored, under AA.</w:t>
      </w:r>
    </w:p>
    <w:p>
      <w:pPr>
        <w:pStyle w:val="Heading2"/>
        <w:spacing w:after="90" w:before="200"/>
      </w:pPr>
      <w:r>
        <w:rPr>
          <w:rFonts w:ascii="Calibri" w:cs="Calibri" w:eastAsia="Calibri" w:hAnsi="Calibri"/>
          <w:b/>
          <w:bCs/>
          <w:color w:val="1F7A5C"/>
        </w:rPr>
        <w:t xml:space="preserve">6.5 CA collaboration feature (ICAI)</w:t>
      </w:r>
    </w:p>
    <w:p>
      <w:pPr>
        <w:pStyle w:val="ListParagraph"/>
        <w:numPr>
          <w:ilvl w:val="0"/>
          <w:numId w:val="1"/>
        </w:numPr>
        <w:spacing w:after="66" w:line="274"/>
      </w:pPr>
      <w:r>
        <w:rPr>
          <w:rFonts w:ascii="Calibri" w:cs="Calibri" w:eastAsia="Calibri" w:hAnsi="Calibri"/>
          <w:color w:val="1A1A1A"/>
          <w:sz w:val="21"/>
          <w:szCs w:val="21"/>
        </w:rPr>
        <w:t xml:space="preserve">This is a PRIVATE user↔own-CA collaboration tool (code-based handshake + document sharing), NOT a CA marketplace/directory. ICAI bans CA advertising/solicitation, aggregator listings for exclusive services, and fee-sharing with non-members. We therefore do not build CA discovery/listing/ratings/quotes and never take commission from CAs — we monetise the user.</w:t>
      </w:r>
    </w:p>
    <w:p>
      <w:pPr>
        <w:pStyle w:val="Heading2"/>
        <w:spacing w:after="90" w:before="200"/>
      </w:pPr>
      <w:r>
        <w:rPr>
          <w:rFonts w:ascii="Calibri" w:cs="Calibri" w:eastAsia="Calibri" w:hAnsi="Calibri"/>
          <w:b/>
          <w:bCs/>
          <w:color w:val="1F7A5C"/>
        </w:rPr>
        <w:t xml:space="preserve">6.6 Payments (RBI / Razorpay)</w:t>
      </w:r>
    </w:p>
    <w:p>
      <w:pPr>
        <w:pStyle w:val="ListParagraph"/>
        <w:numPr>
          <w:ilvl w:val="0"/>
          <w:numId w:val="1"/>
        </w:numPr>
        <w:spacing w:after="66" w:line="274"/>
      </w:pPr>
      <w:r>
        <w:rPr>
          <w:rFonts w:ascii="Calibri" w:cs="Calibri" w:eastAsia="Calibri" w:hAnsi="Calibri"/>
          <w:color w:val="1A1A1A"/>
          <w:sz w:val="21"/>
          <w:szCs w:val="21"/>
        </w:rPr>
        <w:t xml:space="preserve">Subscriptions are collected via Razorpay (the licensed Payment Aggregator). PayWatch is a merchant (needs Razorpay KYC), not a Payment Aggregator — no PA licence required.</w:t>
      </w:r>
    </w:p>
    <w:p>
      <w:pPr>
        <w:pStyle w:val="Heading1"/>
        <w:spacing w:after="120" w:before="260"/>
      </w:pPr>
      <w:r>
        <w:rPr>
          <w:rFonts w:ascii="Calibri" w:cs="Calibri" w:eastAsia="Calibri" w:hAnsi="Calibri"/>
          <w:b/>
          <w:bCs/>
          <w:color w:val="0B2F2A"/>
        </w:rPr>
        <w:t xml:space="preserve">7 · “Piggybacking on licensed entities” — the strings attached</w:t>
      </w:r>
    </w:p>
    <w:p>
      <w:pPr>
        <w:spacing w:after="120" w:line="280"/>
      </w:pPr>
      <w:r>
        <w:rPr>
          <w:rFonts w:ascii="Calibri" w:cs="Calibri" w:eastAsia="Calibri" w:hAnsi="Calibri"/>
          <w:b w:val="false"/>
          <w:bCs w:val="false"/>
          <w:i w:val="false"/>
          <w:iCs w:val="false"/>
          <w:color w:val="1A1A1A"/>
          <w:sz w:val="21"/>
          <w:szCs w:val="21"/>
        </w:rPr>
        <w:t xml:space="preserve">You flagged that partnering/piggybacking is itself regulated. Our understanding of the strings on each partner route — please correct and add:</w:t>
      </w:r>
    </w:p>
    <w:p>
      <w:pPr>
        <w:pStyle w:val="ListParagraph"/>
        <w:numPr>
          <w:ilvl w:val="0"/>
          <w:numId w:val="1"/>
        </w:numPr>
        <w:spacing w:after="66" w:line="274"/>
      </w:pPr>
      <w:r>
        <w:rPr>
          <w:rFonts w:ascii="Calibri" w:cs="Calibri" w:eastAsia="Calibri" w:hAnsi="Calibri"/>
          <w:b/>
          <w:bCs/>
          <w:color w:val="1A1A1A"/>
          <w:sz w:val="21"/>
          <w:szCs w:val="21"/>
        </w:rPr>
        <w:t xml:space="preserve">MFD (funds): </w:t>
      </w:r>
      <w:r>
        <w:rPr>
          <w:rFonts w:ascii="Calibri" w:cs="Calibri" w:eastAsia="Calibri" w:hAnsi="Calibri"/>
          <w:color w:val="1A1A1A"/>
          <w:sz w:val="21"/>
          <w:szCs w:val="21"/>
        </w:rPr>
        <w:t xml:space="preserve">You (the entity) still need the ARN; the AMC/BSE StAR MF relationship is distribution. Straightforward, low barrier.</w:t>
      </w:r>
    </w:p>
    <w:p>
      <w:pPr>
        <w:pStyle w:val="ListParagraph"/>
        <w:numPr>
          <w:ilvl w:val="0"/>
          <w:numId w:val="1"/>
        </w:numPr>
        <w:spacing w:after="66" w:line="274"/>
      </w:pPr>
      <w:r>
        <w:rPr>
          <w:rFonts w:ascii="Calibri" w:cs="Calibri" w:eastAsia="Calibri" w:hAnsi="Calibri"/>
          <w:b/>
          <w:bCs/>
          <w:color w:val="1A1A1A"/>
          <w:sz w:val="21"/>
          <w:szCs w:val="21"/>
        </w:rPr>
        <w:t xml:space="preserve">Broker (stocks): </w:t>
      </w:r>
      <w:r>
        <w:rPr>
          <w:rFonts w:ascii="Calibri" w:cs="Calibri" w:eastAsia="Calibri" w:hAnsi="Calibri"/>
          <w:color w:val="1A1A1A"/>
          <w:sz w:val="21"/>
          <w:szCs w:val="21"/>
        </w:rPr>
        <w:t xml:space="preserve">You cannot simply “use” a broker’s licence — acting for a broker means becoming a registered Authorised Person/sub-broker with the exchange, or purely providing execution to the user’s OWN broker account via API (our preferred, lighter route). Recommendation still needs RA/RIA.</w:t>
      </w:r>
    </w:p>
    <w:p>
      <w:pPr>
        <w:pStyle w:val="ListParagraph"/>
        <w:numPr>
          <w:ilvl w:val="0"/>
          <w:numId w:val="1"/>
        </w:numPr>
        <w:spacing w:after="66" w:line="274"/>
      </w:pPr>
      <w:r>
        <w:rPr>
          <w:rFonts w:ascii="Calibri" w:cs="Calibri" w:eastAsia="Calibri" w:hAnsi="Calibri"/>
          <w:b/>
          <w:bCs/>
          <w:color w:val="1A1A1A"/>
          <w:sz w:val="21"/>
          <w:szCs w:val="21"/>
        </w:rPr>
        <w:t xml:space="preserve">Insurance partner: </w:t>
      </w:r>
      <w:r>
        <w:rPr>
          <w:rFonts w:ascii="Calibri" w:cs="Calibri" w:eastAsia="Calibri" w:hAnsi="Calibri"/>
          <w:color w:val="1A1A1A"/>
          <w:sz w:val="21"/>
          <w:szCs w:val="21"/>
        </w:rPr>
        <w:t xml:space="preserve">Selling under a partner’s licence still requires PayWatch’s role to fit an IRDAI-permitted structure (e.g. our staff as PoSP of the partner) OR to stay purely a technology provider with no solicitation/collection. The partner’s licence does not automatically cover our activities.</w:t>
      </w:r>
    </w:p>
    <w:p>
      <w:pPr>
        <w:pStyle w:val="ListParagraph"/>
        <w:numPr>
          <w:ilvl w:val="0"/>
          <w:numId w:val="1"/>
        </w:numPr>
        <w:spacing w:after="66" w:line="274"/>
      </w:pPr>
      <w:r>
        <w:rPr>
          <w:rFonts w:ascii="Calibri" w:cs="Calibri" w:eastAsia="Calibri" w:hAnsi="Calibri"/>
          <w:b/>
          <w:bCs/>
          <w:color w:val="1A1A1A"/>
          <w:sz w:val="21"/>
          <w:szCs w:val="21"/>
        </w:rPr>
        <w:t xml:space="preserve">AA/TSP: </w:t>
      </w:r>
      <w:r>
        <w:rPr>
          <w:rFonts w:ascii="Calibri" w:cs="Calibri" w:eastAsia="Calibri" w:hAnsi="Calibri"/>
          <w:color w:val="1A1A1A"/>
          <w:sz w:val="21"/>
          <w:szCs w:val="21"/>
        </w:rPr>
        <w:t xml:space="preserve">FIU status cannot be borrowed casually — either we hold a qualifying registration or we integrate via a licensed TSP under the framework’s rules.</w:t>
      </w:r>
    </w:p>
    <w:p>
      <w:pPr>
        <w:pStyle w:val="Heading1"/>
        <w:spacing w:after="120" w:before="260"/>
      </w:pPr>
      <w:r>
        <w:rPr>
          <w:rFonts w:ascii="Calibri" w:cs="Calibri" w:eastAsia="Calibri" w:hAnsi="Calibri"/>
          <w:b/>
          <w:bCs/>
          <w:color w:val="0B2F2A"/>
        </w:rPr>
        <w:t xml:space="preserve">8 · The staged master plan (what, when, how, grey areas)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400"/>
        <w:gridCol w:w="1600"/>
      </w:tblGrid>
      <w:tr>
        <w:trPr>
          <w:tblHeader/>
        </w:trPr>
        <w:tc>
          <w:tcPr>
            <w:tcW w:type="dxa" w:w="2200"/>
            <w:tcBorders>
              <w:top w:val="single" w:color="D5E0DA" w:sz="4"/>
              <w:left w:val="single" w:color="D5E0DA" w:sz="4"/>
              <w:bottom w:val="single" w:color="D5E0DA" w:sz="4"/>
              <w:right w:val="single" w:color="D5E0DA" w:sz="4"/>
            </w:tcBorders>
            <w:shd w:fill="0B2F2A" w:val="clear"/>
            <w:tcMar>
              <w:top w:type="dxa" w:w="60"/>
              <w:left w:type="dxa" w:w="90"/>
              <w:bottom w:type="dxa" w:w="60"/>
              <w:right w:type="dxa" w:w="90"/>
            </w:tcMar>
          </w:tcPr>
          <w:p>
            <w:r>
              <w:rPr>
                <w:rFonts w:ascii="Calibri" w:cs="Calibri" w:eastAsia="Calibri" w:hAnsi="Calibri"/>
                <w:b/>
                <w:bCs/>
                <w:color w:val="FFFFFF"/>
                <w:sz w:val="18"/>
                <w:szCs w:val="18"/>
              </w:rPr>
              <w:t xml:space="preserve">Phase</w:t>
            </w:r>
          </w:p>
        </w:tc>
        <w:tc>
          <w:tcPr>
            <w:tcW w:type="dxa" w:w="3400"/>
            <w:tcBorders>
              <w:top w:val="single" w:color="D5E0DA" w:sz="4"/>
              <w:left w:val="single" w:color="D5E0DA" w:sz="4"/>
              <w:bottom w:val="single" w:color="D5E0DA" w:sz="4"/>
              <w:right w:val="single" w:color="D5E0DA" w:sz="4"/>
            </w:tcBorders>
            <w:shd w:fill="0B2F2A" w:val="clear"/>
            <w:tcMar>
              <w:top w:type="dxa" w:w="60"/>
              <w:left w:type="dxa" w:w="90"/>
              <w:bottom w:type="dxa" w:w="60"/>
              <w:right w:type="dxa" w:w="90"/>
            </w:tcMar>
          </w:tcPr>
          <w:p>
            <w:r>
              <w:rPr>
                <w:rFonts w:ascii="Calibri" w:cs="Calibri" w:eastAsia="Calibri" w:hAnsi="Calibri"/>
                <w:b/>
                <w:bCs/>
                <w:color w:val="FFFFFF"/>
                <w:sz w:val="18"/>
                <w:szCs w:val="18"/>
              </w:rPr>
              <w:t xml:space="preserve">Registrations / licences</w:t>
            </w:r>
          </w:p>
        </w:tc>
        <w:tc>
          <w:tcPr>
            <w:tcW w:type="dxa" w:w="2400"/>
            <w:tcBorders>
              <w:top w:val="single" w:color="D5E0DA" w:sz="4"/>
              <w:left w:val="single" w:color="D5E0DA" w:sz="4"/>
              <w:bottom w:val="single" w:color="D5E0DA" w:sz="4"/>
              <w:right w:val="single" w:color="D5E0DA" w:sz="4"/>
            </w:tcBorders>
            <w:shd w:fill="0B2F2A" w:val="clear"/>
            <w:tcMar>
              <w:top w:type="dxa" w:w="60"/>
              <w:left w:type="dxa" w:w="90"/>
              <w:bottom w:type="dxa" w:w="60"/>
              <w:right w:type="dxa" w:w="90"/>
            </w:tcMar>
          </w:tcPr>
          <w:p>
            <w:r>
              <w:rPr>
                <w:rFonts w:ascii="Calibri" w:cs="Calibri" w:eastAsia="Calibri" w:hAnsi="Calibri"/>
                <w:b/>
                <w:bCs/>
                <w:color w:val="FFFFFF"/>
                <w:sz w:val="18"/>
                <w:szCs w:val="18"/>
              </w:rPr>
              <w:t xml:space="preserve">Trigger</w:t>
            </w:r>
          </w:p>
        </w:tc>
        <w:tc>
          <w:tcPr>
            <w:tcW w:type="dxa" w:w="1600"/>
            <w:tcBorders>
              <w:top w:val="single" w:color="D5E0DA" w:sz="4"/>
              <w:left w:val="single" w:color="D5E0DA" w:sz="4"/>
              <w:bottom w:val="single" w:color="D5E0DA" w:sz="4"/>
              <w:right w:val="single" w:color="D5E0DA" w:sz="4"/>
            </w:tcBorders>
            <w:shd w:fill="0B2F2A" w:val="clear"/>
            <w:tcMar>
              <w:top w:type="dxa" w:w="60"/>
              <w:left w:type="dxa" w:w="90"/>
              <w:bottom w:type="dxa" w:w="60"/>
              <w:right w:type="dxa" w:w="90"/>
            </w:tcMar>
          </w:tcPr>
          <w:p>
            <w:r>
              <w:rPr>
                <w:rFonts w:ascii="Calibri" w:cs="Calibri" w:eastAsia="Calibri" w:hAnsi="Calibri"/>
                <w:b/>
                <w:bCs/>
                <w:color w:val="FFFFFF"/>
                <w:sz w:val="18"/>
                <w:szCs w:val="18"/>
              </w:rPr>
              <w:t xml:space="preserve">Cost / bar</w:t>
            </w:r>
          </w:p>
        </w:tc>
      </w:tr>
      <w:tr>
        <w:tc>
          <w:tcPr>
            <w:tcW w:type="dxa" w:w="2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0 · Now → validation</w:t>
            </w:r>
          </w:p>
        </w:tc>
        <w:tc>
          <w:tcPr>
            <w:tcW w:type="dxa" w:w="34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Pvt Ltd + DPIIT; trademark; DPDP baseline; GST</w:t>
            </w:r>
          </w:p>
        </w:tc>
        <w:tc>
          <w:tcPr>
            <w:tcW w:type="dxa" w:w="24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Foundational — do now</w:t>
            </w:r>
          </w:p>
        </w:tc>
        <w:tc>
          <w:tcPr>
            <w:tcW w:type="dxa" w:w="1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&lt; ~₹1L + prof. fees</w:t>
            </w:r>
          </w:p>
        </w:tc>
      </w:tr>
      <w:tr>
        <w:tc>
          <w:tcPr>
            <w:tcW w:type="dxa" w:w="2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1 · First revenue</w:t>
            </w:r>
          </w:p>
        </w:tc>
        <w:tc>
          <w:tcPr>
            <w:tcW w:type="dxa" w:w="34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AMFI MFD (ARN)</w:t>
            </w:r>
          </w:p>
        </w:tc>
        <w:tc>
          <w:tcPr>
            <w:tcW w:type="dxa" w:w="24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Investing demand validated</w:t>
            </w:r>
          </w:p>
        </w:tc>
        <w:tc>
          <w:tcPr>
            <w:tcW w:type="dxa" w:w="1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~₹5k + exam</w:t>
            </w:r>
          </w:p>
        </w:tc>
      </w:tr>
      <w:tr>
        <w:tc>
          <w:tcPr>
            <w:tcW w:type="dxa" w:w="2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2 · Distribution</w:t>
            </w:r>
          </w:p>
        </w:tc>
        <w:tc>
          <w:tcPr>
            <w:tcW w:type="dxa" w:w="34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Insurance partner (broker/embedded) → later Corporate Agent</w:t>
            </w:r>
          </w:p>
        </w:tc>
        <w:tc>
          <w:tcPr>
            <w:tcW w:type="dxa" w:w="24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Insurance volume appears</w:t>
            </w:r>
          </w:p>
        </w:tc>
        <w:tc>
          <w:tcPr>
            <w:tcW w:type="dxa" w:w="1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Partner: low · CA: ₹50L net worth</w:t>
            </w:r>
          </w:p>
        </w:tc>
      </w:tr>
      <w:tr>
        <w:tc>
          <w:tcPr>
            <w:tcW w:type="dxa" w:w="22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3 · Scale</w:t>
            </w:r>
          </w:p>
        </w:tc>
        <w:tc>
          <w:tcPr>
            <w:tcW w:type="dxa" w:w="34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ERI (tax e-file); AA/FIU (bank data); SEBI RA/RIA (own recommendations); SDF data duties</w:t>
            </w:r>
          </w:p>
        </w:tc>
        <w:tc>
          <w:tcPr>
            <w:tcW w:type="dxa" w:w="24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Scale + revenue justify</w:t>
            </w:r>
          </w:p>
        </w:tc>
        <w:tc>
          <w:tcPr>
            <w:tcW w:type="dxa" w:w="1600"/>
            <w:tcBorders>
              <w:top w:val="single" w:color="D5E0DA" w:sz="4"/>
              <w:left w:val="single" w:color="D5E0DA" w:sz="4"/>
              <w:bottom w:val="single" w:color="D5E0DA" w:sz="4"/>
              <w:right w:val="single" w:color="D5E0DA" w:sz="4"/>
            </w:tcBorders>
            <w:tcMar>
              <w:top w:type="dxa" w:w="60"/>
              <w:left w:type="dxa" w:w="90"/>
              <w:bottom w:type="dxa" w:w="60"/>
              <w:right w:type="dxa" w:w="90"/>
            </w:tcMar>
          </w:tcPr>
          <w:p>
            <w:r>
              <w:rPr>
                <w:rFonts w:ascii="Calibri" w:cs="Calibri" w:eastAsia="Calibri" w:hAnsi="Calibri"/>
                <w:b w:val="false"/>
                <w:bCs w:val="false"/>
                <w:color w:val="1A1A1A"/>
                <w:sz w:val="18"/>
                <w:szCs w:val="18"/>
              </w:rPr>
              <w:t xml:space="preserve">ERI ₹1cr net worth; RA/RIA net worth+exams; SDF: DPO+audits</w:t>
            </w:r>
          </w:p>
        </w:tc>
      </w:tr>
    </w:tbl>
    <w:p>
      <w:pPr>
        <w:spacing w:after="40" w:line="280"/>
      </w:pPr>
      <w:r>
        <w:rPr>
          <w:rFonts w:ascii="Calibri" w:cs="Calibri" w:eastAsia="Calibri" w:hAnsi="Calibri"/>
          <w:b w:val="false"/>
          <w:bCs w:val="false"/>
          <w:i w:val="false"/>
          <w:iCs w:val="false"/>
          <w:color w:val="1A1A1A"/>
          <w:sz w:val="21"/>
          <w:szCs w:val="21"/>
        </w:rPr>
        <w:t xml:space="preserve"/>
      </w:r>
    </w:p>
    <w:p>
      <w:pPr>
        <w:spacing w:after="120" w:line="280"/>
      </w:pPr>
      <w:r>
        <w:rPr>
          <w:rFonts w:ascii="Calibri" w:cs="Calibri" w:eastAsia="Calibri" w:hAnsi="Calibri"/>
          <w:b w:val="false"/>
          <w:bCs w:val="false"/>
          <w:i/>
          <w:iCs/>
          <w:color w:val="555555"/>
          <w:sz w:val="21"/>
          <w:szCs w:val="21"/>
        </w:rPr>
        <w:t xml:space="preserve">Principle throughout: capital-light and licence-light early; licence-heavy only once revenue and validation de-risk it. We never collect premium, hold securities, or give paid personalised advice until the matching licence/partner is in place.</w:t>
      </w:r>
    </w:p>
    <w:p>
      <w:pPr>
        <w:pStyle w:val="Heading1"/>
        <w:spacing w:after="120" w:before="260"/>
      </w:pPr>
      <w:r>
        <w:rPr>
          <w:rFonts w:ascii="Calibri" w:cs="Calibri" w:eastAsia="Calibri" w:hAnsi="Calibri"/>
          <w:b/>
          <w:bCs/>
          <w:color w:val="0B2F2A"/>
        </w:rPr>
        <w:t xml:space="preserve">9 · The grey areas / open questions we want your view on</w:t>
      </w:r>
    </w:p>
    <w:p>
      <w:pPr>
        <w:pStyle w:val="ListParagraph"/>
        <w:numPr>
          <w:ilvl w:val="0"/>
          <w:numId w:val="2"/>
        </w:numPr>
        <w:spacing w:after="66" w:line="274"/>
      </w:pPr>
      <w:r>
        <w:rPr>
          <w:rFonts w:ascii="Calibri" w:cs="Calibri" w:eastAsia="Calibri" w:hAnsi="Calibri"/>
          <w:b/>
          <w:bCs/>
          <w:color w:val="0B2F2A"/>
          <w:sz w:val="21"/>
          <w:szCs w:val="21"/>
        </w:rPr>
        <w:t xml:space="preserve">Q1. </w:t>
      </w:r>
      <w:r>
        <w:rPr>
          <w:rFonts w:ascii="Calibri" w:cs="Calibri" w:eastAsia="Calibri" w:hAnsi="Calibri"/>
          <w:color w:val="1A1A1A"/>
          <w:sz w:val="21"/>
          <w:szCs w:val="21"/>
        </w:rPr>
        <w:t xml:space="preserve">Is our pre-licence build (category-only guidance + intent-only insurance + statement-upload) genuinely outside SEBI/IRDAI/RBI licensing?</w:t>
      </w:r>
    </w:p>
    <w:p>
      <w:pPr>
        <w:pStyle w:val="ListParagraph"/>
        <w:numPr>
          <w:ilvl w:val="0"/>
          <w:numId w:val="2"/>
        </w:numPr>
        <w:spacing w:after="66" w:line="274"/>
      </w:pPr>
      <w:r>
        <w:rPr>
          <w:rFonts w:ascii="Calibri" w:cs="Calibri" w:eastAsia="Calibri" w:hAnsi="Calibri"/>
          <w:b/>
          <w:bCs/>
          <w:color w:val="0B2F2A"/>
          <w:sz w:val="21"/>
          <w:szCs w:val="21"/>
        </w:rPr>
        <w:t xml:space="preserve">Q2. </w:t>
      </w:r>
      <w:r>
        <w:rPr>
          <w:rFonts w:ascii="Calibri" w:cs="Calibri" w:eastAsia="Calibri" w:hAnsi="Calibri"/>
          <w:color w:val="1A1A1A"/>
          <w:sz w:val="21"/>
          <w:szCs w:val="21"/>
        </w:rPr>
        <w:t xml:space="preserve">Trademark: status of the existing “PayWatch” mark, non-use cancellation vs assignment feasibility, and class strategy (9/36/42 + 35/41).</w:t>
      </w:r>
    </w:p>
    <w:p>
      <w:pPr>
        <w:pStyle w:val="ListParagraph"/>
        <w:numPr>
          <w:ilvl w:val="0"/>
          <w:numId w:val="2"/>
        </w:numPr>
        <w:spacing w:after="66" w:line="274"/>
      </w:pPr>
      <w:r>
        <w:rPr>
          <w:rFonts w:ascii="Calibri" w:cs="Calibri" w:eastAsia="Calibri" w:hAnsi="Calibri"/>
          <w:b/>
          <w:bCs/>
          <w:color w:val="0B2F2A"/>
          <w:sz w:val="21"/>
          <w:szCs w:val="21"/>
        </w:rPr>
        <w:t xml:space="preserve">Q3. </w:t>
      </w:r>
      <w:r>
        <w:rPr>
          <w:rFonts w:ascii="Calibri" w:cs="Calibri" w:eastAsia="Calibri" w:hAnsi="Calibri"/>
          <w:color w:val="1A1A1A"/>
          <w:sz w:val="21"/>
          <w:szCs w:val="21"/>
        </w:rPr>
        <w:t xml:space="preserve">Data protection: is our gap list complete for a financial-data app; what must exist pre-launch vs by mid-2027; when to appoint a DPO / start DPIAs.</w:t>
      </w:r>
    </w:p>
    <w:p>
      <w:pPr>
        <w:pStyle w:val="ListParagraph"/>
        <w:numPr>
          <w:ilvl w:val="0"/>
          <w:numId w:val="2"/>
        </w:numPr>
        <w:spacing w:after="66" w:line="274"/>
      </w:pPr>
      <w:r>
        <w:rPr>
          <w:rFonts w:ascii="Calibri" w:cs="Calibri" w:eastAsia="Calibri" w:hAnsi="Calibri"/>
          <w:b/>
          <w:bCs/>
          <w:color w:val="0B2F2A"/>
          <w:sz w:val="21"/>
          <w:szCs w:val="21"/>
        </w:rPr>
        <w:t xml:space="preserve">Q4. </w:t>
      </w:r>
      <w:r>
        <w:rPr>
          <w:rFonts w:ascii="Calibri" w:cs="Calibri" w:eastAsia="Calibri" w:hAnsi="Calibri"/>
          <w:color w:val="1A1A1A"/>
          <w:sz w:val="21"/>
          <w:szCs w:val="21"/>
        </w:rPr>
        <w:t xml:space="preserve">Investing: the RA vs RIA scope for our use-case; the liability position on market losses; the MFD “distribution vs advice” line; and the strings on broker execution / partnering a licensed RA.</w:t>
      </w:r>
    </w:p>
    <w:p>
      <w:pPr>
        <w:pStyle w:val="ListParagraph"/>
        <w:numPr>
          <w:ilvl w:val="0"/>
          <w:numId w:val="2"/>
        </w:numPr>
        <w:spacing w:after="66" w:line="274"/>
      </w:pPr>
      <w:r>
        <w:rPr>
          <w:rFonts w:ascii="Calibri" w:cs="Calibri" w:eastAsia="Calibri" w:hAnsi="Calibri"/>
          <w:b/>
          <w:bCs/>
          <w:color w:val="0B2F2A"/>
          <w:sz w:val="21"/>
          <w:szCs w:val="21"/>
        </w:rPr>
        <w:t xml:space="preserve">Q5. </w:t>
      </w:r>
      <w:r>
        <w:rPr>
          <w:rFonts w:ascii="Calibri" w:cs="Calibri" w:eastAsia="Calibri" w:hAnsi="Calibri"/>
          <w:color w:val="1A1A1A"/>
          <w:sz w:val="21"/>
          <w:szCs w:val="21"/>
        </w:rPr>
        <w:t xml:space="preserve">Insurance: exactly what we may do on the partner route without an IRDAI licence (indicative premiums, needs quiz, intent capture) — where is the solicitation line?</w:t>
      </w:r>
    </w:p>
    <w:p>
      <w:pPr>
        <w:pStyle w:val="ListParagraph"/>
        <w:numPr>
          <w:ilvl w:val="0"/>
          <w:numId w:val="2"/>
        </w:numPr>
        <w:spacing w:after="66" w:line="274"/>
      </w:pPr>
      <w:r>
        <w:rPr>
          <w:rFonts w:ascii="Calibri" w:cs="Calibri" w:eastAsia="Calibri" w:hAnsi="Calibri"/>
          <w:b/>
          <w:bCs/>
          <w:color w:val="0B2F2A"/>
          <w:sz w:val="21"/>
          <w:szCs w:val="21"/>
        </w:rPr>
        <w:t xml:space="preserve">Q6. </w:t>
      </w:r>
      <w:r>
        <w:rPr>
          <w:rFonts w:ascii="Calibri" w:cs="Calibri" w:eastAsia="Calibri" w:hAnsi="Calibri"/>
          <w:color w:val="1A1A1A"/>
          <w:sz w:val="21"/>
          <w:szCs w:val="21"/>
        </w:rPr>
        <w:t xml:space="preserve">AA/bank data: cleanest lawful route given the FIU eligibility gate.</w:t>
      </w:r>
    </w:p>
    <w:p>
      <w:pPr>
        <w:pStyle w:val="ListParagraph"/>
        <w:numPr>
          <w:ilvl w:val="0"/>
          <w:numId w:val="2"/>
        </w:numPr>
        <w:spacing w:after="66" w:line="274"/>
      </w:pPr>
      <w:r>
        <w:rPr>
          <w:rFonts w:ascii="Calibri" w:cs="Calibri" w:eastAsia="Calibri" w:hAnsi="Calibri"/>
          <w:b/>
          <w:bCs/>
          <w:color w:val="0B2F2A"/>
          <w:sz w:val="21"/>
          <w:szCs w:val="21"/>
        </w:rPr>
        <w:t xml:space="preserve">Q7. </w:t>
      </w:r>
      <w:r>
        <w:rPr>
          <w:rFonts w:ascii="Calibri" w:cs="Calibri" w:eastAsia="Calibri" w:hAnsi="Calibri"/>
          <w:color w:val="1A1A1A"/>
          <w:sz w:val="21"/>
          <w:szCs w:val="21"/>
        </w:rPr>
        <w:t xml:space="preserve">CA feature: confirmation it stays clear of ICAI advertising/solicitation/fee-sharing.</w:t>
      </w:r>
    </w:p>
    <w:p>
      <w:pPr>
        <w:pStyle w:val="ListParagraph"/>
        <w:numPr>
          <w:ilvl w:val="0"/>
          <w:numId w:val="2"/>
        </w:numPr>
        <w:spacing w:after="66" w:line="274"/>
      </w:pPr>
      <w:r>
        <w:rPr>
          <w:rFonts w:ascii="Calibri" w:cs="Calibri" w:eastAsia="Calibri" w:hAnsi="Calibri"/>
          <w:b/>
          <w:bCs/>
          <w:color w:val="0B2F2A"/>
          <w:sz w:val="21"/>
          <w:szCs w:val="21"/>
        </w:rPr>
        <w:t xml:space="preserve">Q8. </w:t>
      </w:r>
      <w:r>
        <w:rPr>
          <w:rFonts w:ascii="Calibri" w:cs="Calibri" w:eastAsia="Calibri" w:hAnsi="Calibri"/>
          <w:color w:val="1A1A1A"/>
          <w:sz w:val="21"/>
          <w:szCs w:val="21"/>
        </w:rPr>
        <w:t xml:space="preserve">Structure: FDI conditions and a cap-table that keeps future licences (fit-and-proper, net worth) clean.</w:t>
      </w:r>
    </w:p>
    <w:p>
      <w:pPr>
        <w:pStyle w:val="Heading1"/>
        <w:spacing w:after="120" w:before="260"/>
      </w:pPr>
      <w:r>
        <w:rPr>
          <w:rFonts w:ascii="Calibri" w:cs="Calibri" w:eastAsia="Calibri" w:hAnsi="Calibri"/>
          <w:b/>
          <w:bCs/>
          <w:color w:val="0B2F2A"/>
        </w:rPr>
        <w:t xml:space="preserve">10 · What we are asking of the legal team</w:t>
      </w:r>
    </w:p>
    <w:p>
      <w:pPr>
        <w:pStyle w:val="ListParagraph"/>
        <w:numPr>
          <w:ilvl w:val="0"/>
          <w:numId w:val="1"/>
        </w:numPr>
        <w:spacing w:after="66" w:line="274"/>
      </w:pPr>
      <w:r>
        <w:rPr>
          <w:rFonts w:ascii="Calibri" w:cs="Calibri" w:eastAsia="Calibri" w:hAnsi="Calibri"/>
          <w:color w:val="1A1A1A"/>
          <w:sz w:val="21"/>
          <w:szCs w:val="21"/>
        </w:rPr>
        <w:t xml:space="preserve">Review the paths above and tell us which are realistically workable given the real-world difficulty of RBI/SEBI/IRDAI licensing, and which to sequence when.</w:t>
      </w:r>
    </w:p>
    <w:p>
      <w:pPr>
        <w:pStyle w:val="ListParagraph"/>
        <w:numPr>
          <w:ilvl w:val="0"/>
          <w:numId w:val="1"/>
        </w:numPr>
        <w:spacing w:after="66" w:line="274"/>
      </w:pPr>
      <w:r>
        <w:rPr>
          <w:rFonts w:ascii="Calibri" w:cs="Calibri" w:eastAsia="Calibri" w:hAnsi="Calibri"/>
          <w:color w:val="1A1A1A"/>
          <w:sz w:val="21"/>
          <w:szCs w:val="21"/>
        </w:rPr>
        <w:t xml:space="preserve">Handle the foundational work you offered: incorporation and trademark (including the “PayWatch” ownership question).</w:t>
      </w:r>
    </w:p>
    <w:p>
      <w:pPr>
        <w:pStyle w:val="ListParagraph"/>
        <w:numPr>
          <w:ilvl w:val="0"/>
          <w:numId w:val="1"/>
        </w:numPr>
        <w:spacing w:after="66" w:line="274"/>
      </w:pPr>
      <w:r>
        <w:rPr>
          <w:rFonts w:ascii="Calibri" w:cs="Calibri" w:eastAsia="Calibri" w:hAnsi="Calibri"/>
          <w:color w:val="1A1A1A"/>
          <w:sz w:val="21"/>
          <w:szCs w:val="21"/>
        </w:rPr>
        <w:t xml:space="preserve">Guide us from the legal/compliance perspective on the data-protection build and the licensing sequence — we understand you cannot arrange regulator meetings, and we are not asking you to.</w:t>
      </w:r>
    </w:p>
    <w:p>
      <w:pPr>
        <w:pStyle w:val="ListParagraph"/>
        <w:numPr>
          <w:ilvl w:val="0"/>
          <w:numId w:val="1"/>
        </w:numPr>
        <w:spacing w:after="66" w:line="274"/>
      </w:pPr>
      <w:r>
        <w:rPr>
          <w:rFonts w:ascii="Calibri" w:cs="Calibri" w:eastAsia="Calibri" w:hAnsi="Calibri"/>
          <w:color w:val="1A1A1A"/>
          <w:sz w:val="21"/>
          <w:szCs w:val="21"/>
        </w:rPr>
        <w:t xml:space="preserve">Flag anything we have missed — in this domain a 0.1% compliance gap is unacceptable, especially on financial personal data.</w:t>
      </w:r>
    </w:p>
    <w:p>
      <w:pPr>
        <w:pBdr>
          <w:top w:val="single" w:color="D5E0DA" w:sz="6"/>
        </w:pBdr>
        <w:spacing w:after="80" w:before="220"/>
      </w:pPr>
      <w:r>
        <w:t xml:space="preserve"/>
      </w:r>
    </w:p>
    <w:p>
      <w:pPr>
        <w:spacing w:after="120" w:line="280"/>
      </w:pPr>
      <w:r>
        <w:rPr>
          <w:rFonts w:ascii="Calibri" w:cs="Calibri" w:eastAsia="Calibri" w:hAnsi="Calibri"/>
          <w:b w:val="false"/>
          <w:bCs w:val="false"/>
          <w:i/>
          <w:iCs/>
          <w:color w:val="555555"/>
          <w:sz w:val="19"/>
          <w:szCs w:val="19"/>
        </w:rPr>
        <w:t xml:space="preserve">This document is the founder’s working plan for your review, not a legal opinion, and every regulatory point is stated to the best of our understanding and subject to your correction and to verification against current official sources.</w:t>
      </w:r>
    </w:p>
    <w:p>
      <w:pPr>
        <w:spacing w:after="120" w:line="280"/>
      </w:pPr>
      <w:r>
        <w:rPr>
          <w:rFonts w:ascii="Calibri" w:cs="Calibri" w:eastAsia="Calibri" w:hAnsi="Calibri"/>
          <w:b/>
          <w:bCs/>
          <w:i w:val="false"/>
          <w:iCs w:val="false"/>
          <w:color w:val="1A1A1A"/>
          <w:sz w:val="21"/>
          <w:szCs w:val="21"/>
        </w:rPr>
        <w:t xml:space="preserve">— Yash Saini, Founder, PayWatch</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b/>
        <w:bCs/>
        <w:color w:val="0B2F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2026-09-12T04:39:50.559Z</dcterms:created>
  <dcterms:modified xsi:type="dcterms:W3CDTF">2026-09-12T04:39:50.559Z</dcterms:modified>
</cp:coreProperties>
</file>

<file path=docProps/custom.xml><?xml version="1.0" encoding="utf-8"?>
<Properties xmlns="http://schemas.openxmlformats.org/officeDocument/2006/custom-properties" xmlns:vt="http://schemas.openxmlformats.org/officeDocument/2006/docPropsVTypes"/>
</file>