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rPr/>
      </w:pPr>
      <w:r>
        <w:rPr/>
      </w:r>
    </w:p>
    <w:p>
      <w:pPr>
        <w:pStyle w:val="TextBody"/>
        <w:rPr/>
      </w:pPr>
      <w:r>
        <w:rPr/>
      </w:r>
    </w:p>
    <w:p>
      <w:pPr>
        <w:pStyle w:val="TextBody"/>
        <w:rPr/>
      </w:pPr>
      <w:r>
        <w:rPr/>
      </w:r>
    </w:p>
    <w:tbl>
      <w:tblPr>
        <w:tblW w:w="10000" w:type="dxa"/>
        <w:jc w:val="left"/>
        <w:tblInd w:w="0" w:type="dxa"/>
        <w:tblLayout w:type="fixed"/>
        <w:tblCellMar>
          <w:top w:w="100" w:type="dxa"/>
          <w:left w:w="120" w:type="dxa"/>
          <w:bottom w:w="100" w:type="dxa"/>
          <w:right w:w="120" w:type="dxa"/>
        </w:tblCellMar>
      </w:tblPr>
      <w:tblGrid>
        <w:gridCol w:w="10000"/>
      </w:tblGrid>
      <w:tr>
        <w:trPr/>
        <w:tc>
          <w:tcPr>
            <w:tcW w:w="10000" w:type="dxa"/>
            <w:tcBorders>
              <w:bottom w:val="single" w:sz="4" w:space="0" w:color="D0DAE6"/>
            </w:tcBorders>
            <w:shd w:fill="F3F7FC" w:val="clear"/>
          </w:tcPr>
          <w:p>
            <w:pPr>
              <w:pStyle w:val="Normal"/>
              <w:widowControl w:val="false"/>
              <w:spacing w:before="120" w:after="120"/>
              <w:jc w:val="center"/>
              <w:rPr>
                <w:rFonts w:ascii="Calibri" w:hAnsi="Calibri" w:eastAsia="Calibri" w:cs="Calibri"/>
                <w:i/>
                <w:i/>
                <w:iCs/>
                <w:color w:val="4A5568"/>
                <w:sz w:val="18"/>
                <w:szCs w:val="18"/>
              </w:rPr>
            </w:pPr>
            <w:r>
              <w:rPr/>
              <w:drawing>
                <wp:anchor behindDoc="0" distT="0" distB="0" distL="0" distR="0" simplePos="0" locked="0" layoutInCell="0" allowOverlap="1" relativeHeight="2">
                  <wp:simplePos x="0" y="0"/>
                  <wp:positionH relativeFrom="column">
                    <wp:posOffset>2309495</wp:posOffset>
                  </wp:positionH>
                  <wp:positionV relativeFrom="paragraph">
                    <wp:posOffset>22860</wp:posOffset>
                  </wp:positionV>
                  <wp:extent cx="1350645" cy="12712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350645" cy="1271270"/>
                          </a:xfrm>
                          <a:prstGeom prst="rect">
                            <a:avLst/>
                          </a:prstGeom>
                        </pic:spPr>
                      </pic:pic>
                    </a:graphicData>
                  </a:graphic>
                </wp:anchor>
              </w:drawing>
            </w:r>
          </w:p>
          <w:p>
            <w:pPr>
              <w:pStyle w:val="Normal"/>
              <w:widowControl w:val="false"/>
              <w:spacing w:before="120" w:after="120"/>
              <w:jc w:val="center"/>
              <w:rPr>
                <w:rFonts w:ascii="Calibri" w:hAnsi="Calibri" w:eastAsia="Calibri" w:cs="Calibri"/>
                <w:i/>
                <w:i/>
                <w:iCs/>
                <w:color w:val="4A5568"/>
                <w:sz w:val="18"/>
                <w:szCs w:val="18"/>
              </w:rPr>
            </w:pPr>
            <w:r>
              <w:rPr/>
            </w:r>
          </w:p>
          <w:p>
            <w:pPr>
              <w:pStyle w:val="Normal"/>
              <w:widowControl w:val="false"/>
              <w:spacing w:before="120" w:after="120"/>
              <w:jc w:val="center"/>
              <w:rPr>
                <w:rFonts w:ascii="Calibri" w:hAnsi="Calibri" w:eastAsia="Calibri" w:cs="Calibri"/>
                <w:i/>
                <w:i/>
                <w:iCs/>
                <w:color w:val="4A5568"/>
                <w:sz w:val="18"/>
                <w:szCs w:val="18"/>
              </w:rPr>
            </w:pPr>
            <w:r>
              <w:rPr/>
            </w:r>
          </w:p>
          <w:p>
            <w:pPr>
              <w:pStyle w:val="Normal"/>
              <w:widowControl w:val="false"/>
              <w:spacing w:before="120" w:after="120"/>
              <w:jc w:val="center"/>
              <w:rPr>
                <w:rFonts w:ascii="Calibri" w:hAnsi="Calibri" w:eastAsia="Calibri" w:cs="Calibri"/>
                <w:i/>
                <w:i/>
                <w:iCs/>
                <w:color w:val="4A5568"/>
                <w:sz w:val="18"/>
                <w:szCs w:val="18"/>
              </w:rPr>
            </w:pPr>
            <w:r>
              <w:rPr/>
            </w:r>
          </w:p>
          <w:p>
            <w:pPr>
              <w:pStyle w:val="Normal"/>
              <w:widowControl w:val="false"/>
              <w:spacing w:before="120" w:after="120"/>
              <w:jc w:val="center"/>
              <w:rPr>
                <w:rFonts w:ascii="Calibri" w:hAnsi="Calibri" w:eastAsia="Calibri" w:cs="Calibri"/>
                <w:i/>
                <w:i/>
                <w:iCs/>
                <w:color w:val="4A5568"/>
                <w:sz w:val="18"/>
                <w:szCs w:val="18"/>
              </w:rPr>
            </w:pPr>
            <w:r>
              <w:rPr/>
            </w:r>
          </w:p>
          <w:p>
            <w:pPr>
              <w:pStyle w:val="Normal"/>
              <w:widowControl w:val="false"/>
              <w:spacing w:before="120" w:after="120"/>
              <w:jc w:val="center"/>
              <w:rPr>
                <w:rFonts w:ascii="Calibri" w:hAnsi="Calibri" w:eastAsia="Calibri" w:cs="Calibri"/>
                <w:i/>
                <w:i/>
                <w:iCs/>
                <w:color w:val="4A5568"/>
                <w:sz w:val="18"/>
                <w:szCs w:val="18"/>
              </w:rPr>
            </w:pPr>
            <w:r>
              <w:rPr/>
            </w:r>
          </w:p>
        </w:tc>
      </w:tr>
    </w:tbl>
    <w:p>
      <w:pPr>
        <w:pStyle w:val="Normal"/>
        <w:spacing w:before="400" w:after="0"/>
        <w:rPr/>
      </w:pPr>
      <w:r>
        <w:rPr/>
      </w:r>
    </w:p>
    <w:p>
      <w:pPr>
        <w:pStyle w:val="Normal"/>
        <w:jc w:val="center"/>
        <w:rPr/>
      </w:pPr>
      <w:r>
        <w:rPr>
          <w:rFonts w:eastAsia="Calibri" w:cs="Calibri"/>
          <w:b/>
          <w:bCs/>
          <w:color w:val="4A5568"/>
          <w:sz w:val="22"/>
          <w:szCs w:val="22"/>
        </w:rPr>
        <w:t>PROJECT REQUIREMENT SCOPE DOCUMENT</w:t>
      </w:r>
    </w:p>
    <w:p>
      <w:pPr>
        <w:pStyle w:val="Normal"/>
        <w:spacing w:before="200" w:after="100"/>
        <w:jc w:val="center"/>
        <w:rPr/>
      </w:pPr>
      <w:r>
        <w:rPr>
          <w:rFonts w:eastAsia="Calibri" w:cs="Calibri"/>
          <w:b/>
          <w:bCs/>
          <w:color w:val="1554A0"/>
          <w:sz w:val="40"/>
          <w:szCs w:val="40"/>
        </w:rPr>
        <w:t>SkyAI Virtual Jewellery Try-On Platform</w:t>
      </w:r>
    </w:p>
    <w:p>
      <w:pPr>
        <w:pStyle w:val="Normal"/>
        <w:spacing w:before="0" w:after="100"/>
        <w:jc w:val="center"/>
        <w:rPr/>
      </w:pPr>
      <w:r>
        <w:rPr>
          <w:rFonts w:eastAsia="Calibri" w:cs="Calibri"/>
          <w:b/>
          <w:bCs/>
          <w:color w:val="09A8D8"/>
          <w:sz w:val="24"/>
          <w:szCs w:val="24"/>
        </w:rPr>
        <w:t>A Subscription SaaS Platform for Brands &amp; Retailers — Web, In-Store and E-Commerce</w:t>
      </w:r>
    </w:p>
    <w:p>
      <w:pPr>
        <w:pStyle w:val="Normal"/>
        <w:spacing w:before="0" w:after="400"/>
        <w:jc w:val="center"/>
        <w:rPr/>
      </w:pPr>
      <w:r>
        <w:rPr>
          <w:rFonts w:eastAsia="Calibri" w:cs="Calibri"/>
          <w:i/>
          <w:iCs/>
          <w:color w:val="4A5568"/>
          <w:sz w:val="20"/>
          <w:szCs w:val="20"/>
        </w:rPr>
        <w:t>Generative-AI powered try-on, delivered as a multi-tenant service</w:t>
      </w:r>
    </w:p>
    <w:tbl>
      <w:tblPr>
        <w:tblW w:w="10000" w:type="dxa"/>
        <w:jc w:val="left"/>
        <w:tblInd w:w="0" w:type="dxa"/>
        <w:tblLayout w:type="fixed"/>
        <w:tblCellMar>
          <w:top w:w="100" w:type="dxa"/>
          <w:left w:w="120" w:type="dxa"/>
          <w:bottom w:w="100" w:type="dxa"/>
          <w:right w:w="120" w:type="dxa"/>
        </w:tblCellMar>
      </w:tblPr>
      <w:tblGrid>
        <w:gridCol w:w="2400"/>
        <w:gridCol w:w="7599"/>
      </w:tblGrid>
      <w:tr>
        <w:trPr/>
        <w:tc>
          <w:tcPr>
            <w:tcW w:w="2400" w:type="dxa"/>
            <w:tcBorders>
              <w:top w:val="single" w:sz="4" w:space="0" w:color="D0DAE6"/>
              <w:left w:val="single" w:sz="4" w:space="0" w:color="D0DAE6"/>
              <w:bottom w:val="single" w:sz="4" w:space="0" w:color="D0DAE6"/>
              <w:right w:val="single" w:sz="4" w:space="0" w:color="D0DAE6"/>
            </w:tcBorders>
            <w:shd w:fill="F3F7FC" w:val="clear"/>
          </w:tcPr>
          <w:p>
            <w:pPr>
              <w:pStyle w:val="Normal"/>
              <w:widowControl w:val="false"/>
              <w:rPr/>
            </w:pPr>
            <w:r>
              <w:rPr>
                <w:rFonts w:eastAsia="Calibri" w:cs="Calibri"/>
                <w:b/>
                <w:bCs/>
                <w:color w:val="1554A0"/>
                <w:sz w:val="19"/>
                <w:szCs w:val="19"/>
              </w:rPr>
              <w:t>Document ID</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SAI-FDD-2026-02</w:t>
            </w:r>
          </w:p>
        </w:tc>
      </w:tr>
      <w:tr>
        <w:trPr/>
        <w:tc>
          <w:tcPr>
            <w:tcW w:w="2400" w:type="dxa"/>
            <w:tcBorders>
              <w:top w:val="single" w:sz="4" w:space="0" w:color="D0DAE6"/>
              <w:left w:val="single" w:sz="4" w:space="0" w:color="D0DAE6"/>
              <w:bottom w:val="single" w:sz="4" w:space="0" w:color="D0DAE6"/>
              <w:right w:val="single" w:sz="4" w:space="0" w:color="D0DAE6"/>
            </w:tcBorders>
            <w:shd w:fill="F3F7FC" w:val="clear"/>
          </w:tcPr>
          <w:p>
            <w:pPr>
              <w:pStyle w:val="Normal"/>
              <w:widowControl w:val="false"/>
              <w:rPr/>
            </w:pPr>
            <w:r>
              <w:rPr>
                <w:rFonts w:eastAsia="Calibri" w:cs="Calibri"/>
                <w:b/>
                <w:bCs/>
                <w:color w:val="1554A0"/>
                <w:sz w:val="19"/>
                <w:szCs w:val="19"/>
              </w:rPr>
              <w:t>Document version</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2.0 (supersedes catalogue-production-first draft v1.0)</w:t>
            </w:r>
          </w:p>
        </w:tc>
      </w:tr>
      <w:tr>
        <w:trPr/>
        <w:tc>
          <w:tcPr>
            <w:tcW w:w="2400" w:type="dxa"/>
            <w:tcBorders>
              <w:top w:val="single" w:sz="4" w:space="0" w:color="D0DAE6"/>
              <w:left w:val="single" w:sz="4" w:space="0" w:color="D0DAE6"/>
              <w:bottom w:val="single" w:sz="4" w:space="0" w:color="D0DAE6"/>
              <w:right w:val="single" w:sz="4" w:space="0" w:color="D0DAE6"/>
            </w:tcBorders>
            <w:shd w:fill="F3F7FC" w:val="clear"/>
          </w:tcPr>
          <w:p>
            <w:pPr>
              <w:pStyle w:val="Normal"/>
              <w:widowControl w:val="false"/>
              <w:rPr/>
            </w:pPr>
            <w:r>
              <w:rPr>
                <w:rFonts w:eastAsia="Calibri" w:cs="Calibri"/>
                <w:b/>
                <w:bCs/>
                <w:color w:val="1554A0"/>
                <w:sz w:val="19"/>
                <w:szCs w:val="19"/>
              </w:rPr>
              <w:t>Date</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23 August 2026</w:t>
            </w:r>
          </w:p>
        </w:tc>
      </w:tr>
      <w:tr>
        <w:trPr/>
        <w:tc>
          <w:tcPr>
            <w:tcW w:w="2400" w:type="dxa"/>
            <w:tcBorders>
              <w:top w:val="single" w:sz="4" w:space="0" w:color="D0DAE6"/>
              <w:left w:val="single" w:sz="4" w:space="0" w:color="D0DAE6"/>
              <w:bottom w:val="single" w:sz="4" w:space="0" w:color="D0DAE6"/>
              <w:right w:val="single" w:sz="4" w:space="0" w:color="D0DAE6"/>
            </w:tcBorders>
            <w:shd w:fill="F3F7FC" w:val="clear"/>
          </w:tcPr>
          <w:p>
            <w:pPr>
              <w:pStyle w:val="Normal"/>
              <w:widowControl w:val="false"/>
              <w:rPr/>
            </w:pPr>
            <w:r>
              <w:rPr>
                <w:rFonts w:eastAsia="Calibri" w:cs="Calibri"/>
                <w:b/>
                <w:bCs/>
                <w:color w:val="1554A0"/>
                <w:sz w:val="19"/>
                <w:szCs w:val="19"/>
              </w:rPr>
              <w:t>Prepared by</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Jigir Shah</w:t>
            </w:r>
          </w:p>
        </w:tc>
      </w:tr>
      <w:tr>
        <w:trPr/>
        <w:tc>
          <w:tcPr>
            <w:tcW w:w="2400" w:type="dxa"/>
            <w:tcBorders>
              <w:top w:val="single" w:sz="4" w:space="0" w:color="D0DAE6"/>
              <w:left w:val="single" w:sz="4" w:space="0" w:color="D0DAE6"/>
              <w:bottom w:val="single" w:sz="4" w:space="0" w:color="D0DAE6"/>
              <w:right w:val="single" w:sz="4" w:space="0" w:color="D0DAE6"/>
            </w:tcBorders>
            <w:shd w:fill="F3F7FC" w:val="clear"/>
          </w:tcPr>
          <w:p>
            <w:pPr>
              <w:pStyle w:val="Normal"/>
              <w:widowControl w:val="false"/>
              <w:rPr/>
            </w:pPr>
            <w:r>
              <w:rPr>
                <w:rFonts w:eastAsia="Calibri" w:cs="Calibri"/>
                <w:b/>
                <w:bCs/>
                <w:color w:val="1554A0"/>
                <w:sz w:val="19"/>
                <w:szCs w:val="19"/>
              </w:rPr>
              <w:t>Covers</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Concept, scope framing, functional and non-functional requirements, rendering approach, subscription model, architecture, technology stack, compliance, acceptance criteria, deliverables</w:t>
            </w:r>
          </w:p>
        </w:tc>
      </w:tr>
      <w:tr>
        <w:trPr/>
        <w:tc>
          <w:tcPr>
            <w:tcW w:w="2400" w:type="dxa"/>
            <w:tcBorders>
              <w:top w:val="single" w:sz="4" w:space="0" w:color="D0DAE6"/>
              <w:left w:val="single" w:sz="4" w:space="0" w:color="D0DAE6"/>
              <w:bottom w:val="single" w:sz="4" w:space="0" w:color="D0DAE6"/>
              <w:right w:val="single" w:sz="4" w:space="0" w:color="D0DAE6"/>
            </w:tcBorders>
            <w:shd w:fill="F3F7FC" w:val="clear"/>
          </w:tcPr>
          <w:p>
            <w:pPr>
              <w:pStyle w:val="Normal"/>
              <w:widowControl w:val="false"/>
              <w:rPr/>
            </w:pPr>
            <w:r>
              <w:rPr>
                <w:rFonts w:eastAsia="Calibri" w:cs="Calibri"/>
                <w:b/>
                <w:bCs/>
                <w:color w:val="1554A0"/>
                <w:sz w:val="19"/>
                <w:szCs w:val="19"/>
              </w:rPr>
              <w:t>Status</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Draft for internal review</w:t>
            </w:r>
          </w:p>
        </w:tc>
      </w:tr>
    </w:tbl>
    <w:p>
      <w:pPr>
        <w:pStyle w:val="Normal"/>
        <w:rPr/>
      </w:pPr>
      <w:r>
        <w:br w:type="page"/>
      </w:r>
      <w:r>
        <w:rPr/>
      </w:r>
    </w:p>
    <w:p>
      <w:pPr>
        <w:pStyle w:val="Heading1"/>
        <w:pBdr>
          <w:bottom w:val="single" w:sz="8" w:space="4" w:color="1554A0"/>
        </w:pBdr>
        <w:spacing w:before="400" w:after="200"/>
        <w:rPr/>
      </w:pPr>
      <w:r>
        <w:rPr>
          <w:rFonts w:eastAsia="Calibri" w:cs="Calibri" w:ascii="Calibri" w:hAnsi="Calibri"/>
          <w:b/>
          <w:bCs/>
          <w:color w:val="1554A0"/>
          <w:sz w:val="28"/>
          <w:szCs w:val="28"/>
        </w:rPr>
        <w:t>1. Overview</w:t>
      </w:r>
    </w:p>
    <w:p>
      <w:pPr>
        <w:pStyle w:val="Normal"/>
        <w:spacing w:lineRule="exact" w:line="276" w:before="0" w:after="160"/>
        <w:rPr/>
      </w:pPr>
      <w:r>
        <w:rPr>
          <w:rFonts w:eastAsia="Calibri" w:cs="Calibri"/>
          <w:color w:val="1A2733"/>
          <w:sz w:val="21"/>
          <w:szCs w:val="21"/>
        </w:rPr>
        <w:t>Jewellery is difficult to sell and difficult to buy without it being seen worn. On the merchandising side, producing worn photography for every piece and every metal or stone variant is slow and expensive, and many pieces — bespoke work, one-off pieces, or stock that has just arrived — never get catalogue photography at all. On the buying side, a shopper cannot easily judge how a chain will sit at their neckline or how a ring will read against their own hand, whether they are browsing from home or standing at the store counter.</w:t>
      </w:r>
    </w:p>
    <w:p>
      <w:pPr>
        <w:pStyle w:val="Normal"/>
        <w:spacing w:lineRule="exact" w:line="276" w:before="0" w:after="160"/>
        <w:rPr/>
      </w:pPr>
      <w:r>
        <w:rPr>
          <w:rFonts w:eastAsia="Calibri" w:cs="Calibri"/>
          <w:b/>
          <w:bCs/>
          <w:color w:val="1A2733"/>
          <w:sz w:val="21"/>
          <w:szCs w:val="21"/>
        </w:rPr>
        <w:t>SkyAI Virtual Jewellery Try-On</w:t>
      </w:r>
      <w:r>
        <w:rPr>
          <w:rFonts w:eastAsia="Calibri" w:cs="Calibri"/>
          <w:color w:val="1A2733"/>
          <w:sz w:val="21"/>
          <w:szCs w:val="21"/>
        </w:rPr>
        <w:t xml:space="preserve"> is a multi-tenant, subscription SaaS platform that gives jewellery brands and retailers an AI-powered try-on experience they can offer under their own name — to a shopper at home, or to a customer standing in the store with a staff member assisting. It is built in two phases that share a single technical core.</w:t>
      </w:r>
    </w:p>
    <w:p>
      <w:pPr>
        <w:pStyle w:val="Normal"/>
        <w:spacing w:lineRule="exact" w:line="276" w:before="0" w:after="160"/>
        <w:rPr/>
      </w:pPr>
      <w:r>
        <w:rPr>
          <w:rFonts w:eastAsia="Calibri" w:cs="Calibri"/>
          <w:b/>
          <w:bCs/>
          <w:color w:val="1A2733"/>
          <w:sz w:val="21"/>
          <w:szCs w:val="21"/>
        </w:rPr>
        <w:t>Phase 1 — Core Try-On Platform (Web &amp; In-Store).</w:t>
      </w:r>
      <w:r>
        <w:rPr>
          <w:rFonts w:eastAsia="Calibri" w:cs="Calibri"/>
          <w:color w:val="1A2733"/>
          <w:sz w:val="21"/>
          <w:szCs w:val="21"/>
        </w:rPr>
        <w:t xml:space="preserve"> A subscribing brand or store makes try-on available two ways: online, as a standalone web experience the shopper opens directly; and in-store, on a staff-operated kiosk or tablet. Two independent choices drive every session: the jewellery can come from the brand's pre-built catalogue, </w:t>
      </w:r>
      <w:r>
        <w:rPr>
          <w:rFonts w:eastAsia="Calibri" w:cs="Calibri"/>
          <w:b/>
          <w:bCs/>
          <w:color w:val="1A2733"/>
          <w:sz w:val="21"/>
          <w:szCs w:val="21"/>
        </w:rPr>
        <w:t>or be photographed on the spot, right there,</w:t>
      </w:r>
      <w:r>
        <w:rPr>
          <w:rFonts w:eastAsia="Calibri" w:cs="Calibri"/>
          <w:color w:val="1A2733"/>
          <w:sz w:val="21"/>
          <w:szCs w:val="21"/>
        </w:rPr>
        <w:t xml:space="preserve"> so a piece that has never been catalogued can still be tried on immediately; and the portrait can be the customer's own photograph or a preset model image. Every render is produced by generative AI models end to end — the system does not use a simple detect-and-paste overlay at any stage. Brands and stores pay for the service on a recurring subscription; the platform tracks entitlement and usage, but actual payment collection happens outside the system (invoicing, a payment link, or the brand's existing billing relationship with SkyAI).</w:t>
      </w:r>
      <w:r>
        <w:rPr>
          <w:rFonts w:eastAsia="Calibri" w:cs="Calibri"/>
          <w:color w:val="1A2733"/>
          <w:sz w:val="21"/>
          <w:szCs w:val="21"/>
        </w:rPr>
        <w:t xml:space="preserve"> Each subscribing brand is served on its own domain, with its own page design and branding, so the experience reads as the brand’s own rather than SkyAI’s.</w:t>
      </w:r>
    </w:p>
    <w:p>
      <w:pPr>
        <w:pStyle w:val="Normal"/>
        <w:spacing w:lineRule="exact" w:line="276" w:before="0" w:after="160"/>
        <w:rPr/>
      </w:pPr>
      <w:r>
        <w:rPr>
          <w:rFonts w:eastAsia="Calibri" w:cs="Calibri"/>
          <w:b/>
          <w:bCs/>
          <w:color w:val="1A2733"/>
          <w:sz w:val="21"/>
          <w:szCs w:val="21"/>
        </w:rPr>
        <w:t>Phase 2 — E-Commerce Plugin Extension.</w:t>
      </w:r>
      <w:r>
        <w:rPr>
          <w:rFonts w:eastAsia="Calibri" w:cs="Calibri"/>
          <w:color w:val="1A2733"/>
          <w:sz w:val="21"/>
          <w:szCs w:val="21"/>
        </w:rPr>
        <w:t xml:space="preserve"> The same core engine — asset library, capture pipeline, and GenAI placement — is exposed through plugins built for e-commerce platforms, starting with Shopify and extensible to others (WooCommerce, Magento), so the try-on control appears directly on a merchant's online product page and drives that platform's real cart and checkout.</w:t>
      </w:r>
    </w:p>
    <w:p>
      <w:pPr>
        <w:pStyle w:val="Normal"/>
        <w:spacing w:lineRule="exact" w:line="276" w:before="0" w:after="160"/>
        <w:rPr/>
      </w:pPr>
      <w:r>
        <w:rPr>
          <w:rFonts w:eastAsia="Calibri" w:cs="Calibri"/>
          <w:b/>
          <w:bCs/>
          <w:color w:val="1A2733"/>
          <w:sz w:val="21"/>
          <w:szCs w:val="21"/>
        </w:rPr>
        <w:t>Fidelity goal. The design of the piece is treated as inviolable: shape, gem cut, proportion, metal finish, engraving and hallmark must survive placement unaltered, whether the piece came from the catalogue or was captured moments earlier on the spot. Realism of integration — lighting, contact shadow, occlusion, perspective — is pursued through generative AI models constrained to preserve that geometry, never through a simple object-placement overlay. Section 4 sets out how this is achieved.</w:t>
      </w:r>
      <w:r>
        <w:rPr>
          <w:rFonts w:eastAsia="Calibri" w:cs="Calibri"/>
          <w:color w:val="1A2733"/>
          <w:sz w:val="21"/>
          <w:szCs w:val="21"/>
        </w:rPr>
      </w:r>
    </w:p>
    <w:p>
      <w:pPr>
        <w:pStyle w:val="Heading1"/>
        <w:pBdr>
          <w:bottom w:val="single" w:sz="8" w:space="4" w:color="1554A0"/>
        </w:pBdr>
        <w:spacing w:before="400" w:after="200"/>
        <w:rPr/>
      </w:pPr>
      <w:r>
        <w:rPr>
          <w:rFonts w:eastAsia="Calibri" w:cs="Calibri" w:ascii="Calibri" w:hAnsi="Calibri"/>
          <w:b/>
          <w:bCs/>
          <w:color w:val="1554A0"/>
          <w:sz w:val="28"/>
          <w:szCs w:val="28"/>
        </w:rPr>
        <w:t>2. Scope Framing — Two Delivery Phases</w:t>
      </w:r>
    </w:p>
    <w:p>
      <w:pPr>
        <w:pStyle w:val="Normal"/>
        <w:spacing w:lineRule="exact" w:line="276" w:before="0" w:after="160"/>
        <w:rPr/>
      </w:pPr>
      <w:r>
        <w:rPr>
          <w:rFonts w:eastAsia="Calibri" w:cs="Calibri"/>
          <w:color w:val="1A2733"/>
          <w:sz w:val="21"/>
          <w:szCs w:val="21"/>
        </w:rPr>
        <w:t>The two phases serve different access channels and are measured differently. They are stated separately so that scope, acceptance and commercials can be agreed for each on its own terms.</w:t>
      </w:r>
    </w:p>
    <w:tbl>
      <w:tblPr>
        <w:tblW w:w="10000" w:type="dxa"/>
        <w:jc w:val="left"/>
        <w:tblInd w:w="0" w:type="dxa"/>
        <w:tblLayout w:type="fixed"/>
        <w:tblCellMar>
          <w:top w:w="100" w:type="dxa"/>
          <w:left w:w="120" w:type="dxa"/>
          <w:bottom w:w="100" w:type="dxa"/>
          <w:right w:w="120" w:type="dxa"/>
        </w:tblCellMar>
      </w:tblPr>
      <w:tblGrid>
        <w:gridCol w:w="1800"/>
        <w:gridCol w:w="4100"/>
        <w:gridCol w:w="4100"/>
      </w:tblGrid>
      <w:tr>
        <w:trPr>
          <w:tblHeader w:val="true"/>
        </w:trPr>
        <w:tc>
          <w:tcPr>
            <w:tcW w:w="18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Dimension</w:t>
            </w:r>
          </w:p>
        </w:tc>
        <w:tc>
          <w:tcPr>
            <w:tcW w:w="41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Phase 1 — Core Platform (Web &amp; In-Store)</w:t>
            </w:r>
          </w:p>
        </w:tc>
        <w:tc>
          <w:tcPr>
            <w:tcW w:w="41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Phase 2 — E-Commerce Plugin</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Primary user</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Shopper at home, or a customer in-store assisted by a staff member</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Online shopper on the merchant's own storefront</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Access channel</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Standalone web app (direct link / QR code) and an in-store kiosk or tablet mode, under the subscribing brand's own portal</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Embedded “Try It On” control on the product page, via a platform-specific plugin</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Jewellery input</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Brand catalogue asset, or a photograph of the physical piece captured on the spot</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Brand catalogue asset, pre-mapped to SKU and variant</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Output</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On-screen try-on preview; downloadable / shareable image</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On-screen preview inside the product page, plus add-to-cart on the real storefront cart</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Commercial model</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Recurring subscription per brand/store, tiered by usage; payment collection is external to the system</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Same core subscription, extended with per-store plugin activation</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Volume pattern</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Interactive, on-demand; concurrency spikes at peak store hours across kiosks</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Interactive, unpredictable, concurrent with storefront traffic</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Latency budget</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Seconds — see section 8</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Seconds — see section 8</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Fidelity bar</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Sufficient to build purchase confidence, online and at the counter</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Sufficient to build purchase confidence</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Delivery form</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Web application, kiosk mode, brand admin &amp; subscription portal</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Platform-specific plugin (Shopify first) plus backend service</w:t>
            </w:r>
          </w:p>
        </w:tc>
      </w:tr>
      <w:tr>
        <w:trPr/>
        <w:tc>
          <w:tcPr>
            <w:tcW w:w="1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Depends on</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t>
            </w:r>
          </w:p>
        </w:tc>
        <w:tc>
          <w:tcPr>
            <w:tcW w:w="4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Phase 1 render/placement engine and asset library</w:t>
            </w:r>
          </w:p>
        </w:tc>
      </w:tr>
    </w:tbl>
    <w:p>
      <w:pPr>
        <w:pStyle w:val="Normal"/>
        <w:spacing w:lineRule="exact" w:line="276" w:before="0" w:after="160"/>
        <w:rPr/>
      </w:pPr>
      <w:r>
        <w:rPr>
          <w:rFonts w:eastAsia="Calibri" w:cs="Calibri"/>
          <w:i/>
          <w:iCs/>
          <w:color w:val="4A5568"/>
          <w:sz w:val="21"/>
          <w:szCs w:val="21"/>
        </w:rPr>
        <w:t>Note. An on-the-spot capture can optionally be saved into the brand's permanent catalogue for reuse, which also seeds the asset library that Phase 2 depends on. Sequencing Phase 1 first is materially cheaper overall.</w:t>
      </w:r>
    </w:p>
    <w:p>
      <w:pPr>
        <w:pStyle w:val="Heading1"/>
        <w:pBdr>
          <w:bottom w:val="single" w:sz="8" w:space="4" w:color="1554A0"/>
        </w:pBdr>
        <w:spacing w:before="400" w:after="200"/>
        <w:rPr/>
      </w:pPr>
      <w:r>
        <w:rPr>
          <w:rFonts w:eastAsia="Calibri" w:cs="Calibri" w:ascii="Calibri" w:hAnsi="Calibri"/>
          <w:b/>
          <w:bCs/>
          <w:color w:val="1554A0"/>
          <w:sz w:val="28"/>
          <w:szCs w:val="28"/>
        </w:rPr>
        <w:t>3. How It Works</w:t>
      </w:r>
    </w:p>
    <w:p>
      <w:pPr>
        <w:pStyle w:val="Heading2"/>
        <w:spacing w:before="260" w:after="120"/>
        <w:rPr/>
      </w:pPr>
      <w:r>
        <w:rPr>
          <w:rFonts w:eastAsia="Calibri" w:cs="Calibri" w:ascii="Calibri" w:hAnsi="Calibri"/>
          <w:b/>
          <w:bCs/>
          <w:color w:val="09A8D8"/>
          <w:sz w:val="24"/>
          <w:szCs w:val="24"/>
        </w:rPr>
        <w:t>3.1 Phase 1 — Try-On Flow (Web &amp; In-Store)</w:t>
      </w:r>
    </w:p>
    <w:p>
      <w:pPr>
        <w:pStyle w:val="ListParagraph"/>
        <w:numPr>
          <w:ilvl w:val="0"/>
          <w:numId w:val="3"/>
        </w:numPr>
        <w:spacing w:lineRule="exact" w:line="270" w:before="0" w:after="100"/>
        <w:rPr/>
      </w:pPr>
      <w:r>
        <w:rPr>
          <w:rFonts w:eastAsia="Calibri" w:cs="Calibri"/>
          <w:b/>
          <w:bCs/>
          <w:color w:val="1A2733"/>
          <w:sz w:val="21"/>
          <w:szCs w:val="21"/>
        </w:rPr>
        <w:t xml:space="preserve">Step 1 — Start session. </w:t>
      </w:r>
      <w:r>
        <w:rPr>
          <w:rFonts w:eastAsia="Calibri" w:cs="Calibri"/>
          <w:color w:val="1A2733"/>
          <w:sz w:val="21"/>
          <w:szCs w:val="21"/>
        </w:rPr>
        <w:t>The shopper opens the try-on web app directly (at home), or a store associate starts a session on the store's kiosk/tablet for the customer (in-store). The session is tied to the subscribing brand's tenant.</w:t>
      </w:r>
    </w:p>
    <w:p>
      <w:pPr>
        <w:pStyle w:val="ListParagraph"/>
        <w:numPr>
          <w:ilvl w:val="0"/>
          <w:numId w:val="1"/>
        </w:numPr>
        <w:spacing w:lineRule="exact" w:line="270" w:before="0" w:after="100"/>
        <w:rPr/>
      </w:pPr>
      <w:r>
        <w:rPr>
          <w:rFonts w:eastAsia="Calibri" w:cs="Calibri"/>
          <w:b/>
          <w:bCs/>
          <w:color w:val="1A2733"/>
          <w:sz w:val="21"/>
          <w:szCs w:val="21"/>
        </w:rPr>
        <w:t xml:space="preserve">Step 2 — Choose the jewellery. </w:t>
      </w:r>
      <w:r>
        <w:rPr>
          <w:rFonts w:eastAsia="Calibri" w:cs="Calibri"/>
          <w:color w:val="1A2733"/>
          <w:sz w:val="21"/>
          <w:szCs w:val="21"/>
        </w:rPr>
        <w:t xml:space="preserve">Two options are offered: (a) select a pre-onboarded piece from the brand's catalogue; or (b) </w:t>
      </w:r>
      <w:r>
        <w:rPr>
          <w:rFonts w:eastAsia="Calibri" w:cs="Calibri"/>
          <w:b/>
          <w:bCs/>
          <w:color w:val="1A2733"/>
          <w:sz w:val="21"/>
          <w:szCs w:val="21"/>
        </w:rPr>
        <w:t>capture the physical piece on the spot</w:t>
      </w:r>
      <w:r>
        <w:rPr>
          <w:rFonts w:eastAsia="Calibri" w:cs="Calibri"/>
          <w:color w:val="1A2733"/>
          <w:sz w:val="21"/>
          <w:szCs w:val="21"/>
        </w:rPr>
        <w:t xml:space="preserve"> with the device or kiosk camera. On-the-spot capture is segmented into a clean layer immediately and, once approved, can be used for that session only or saved into the brand's catalogue for future reuse.</w:t>
      </w:r>
    </w:p>
    <w:p>
      <w:pPr>
        <w:pStyle w:val="ListParagraph"/>
        <w:numPr>
          <w:ilvl w:val="0"/>
          <w:numId w:val="1"/>
        </w:numPr>
        <w:spacing w:lineRule="exact" w:line="270" w:before="0" w:after="100"/>
        <w:rPr/>
      </w:pPr>
      <w:r>
        <w:rPr>
          <w:rFonts w:eastAsia="Calibri" w:cs="Calibri"/>
          <w:b/>
          <w:bCs/>
          <w:color w:val="1A2733"/>
          <w:sz w:val="21"/>
          <w:szCs w:val="21"/>
        </w:rPr>
        <w:t xml:space="preserve">Step 3 — Choose the portrait. </w:t>
      </w:r>
      <w:r>
        <w:rPr>
          <w:rFonts w:eastAsia="Calibri" w:cs="Calibri"/>
          <w:color w:val="1A2733"/>
          <w:sz w:val="21"/>
          <w:szCs w:val="21"/>
        </w:rPr>
        <w:t>The shopper uploads a photograph, takes one live with the camera, or selects a preset model image from a curated library.</w:t>
      </w:r>
    </w:p>
    <w:p>
      <w:pPr>
        <w:pStyle w:val="ListParagraph"/>
        <w:numPr>
          <w:ilvl w:val="0"/>
          <w:numId w:val="1"/>
        </w:numPr>
        <w:spacing w:lineRule="exact" w:line="270" w:before="0" w:after="100"/>
        <w:rPr/>
      </w:pPr>
      <w:r>
        <w:rPr>
          <w:rFonts w:eastAsia="Calibri" w:cs="Calibri"/>
          <w:b/>
          <w:bCs/>
          <w:color w:val="1A2733"/>
          <w:sz w:val="21"/>
          <w:szCs w:val="21"/>
        </w:rPr>
        <w:t>Step 4 — Generate. The render engine places the piece on the chosen portrait at the correct anchor, scale, orientation and lighting. This step is performed entirely by generative AI models constrained to the piece's exact geometry — never a pasted overlay — per the approach in section 4.</w:t>
      </w:r>
      <w:r>
        <w:rPr>
          <w:rFonts w:eastAsia="Calibri" w:cs="Calibri"/>
          <w:color w:val="1A2733"/>
          <w:sz w:val="21"/>
          <w:szCs w:val="21"/>
        </w:rPr>
      </w:r>
    </w:p>
    <w:p>
      <w:pPr>
        <w:pStyle w:val="ListParagraph"/>
        <w:numPr>
          <w:ilvl w:val="0"/>
          <w:numId w:val="1"/>
        </w:numPr>
        <w:spacing w:lineRule="exact" w:line="270" w:before="0" w:after="100"/>
        <w:rPr/>
      </w:pPr>
      <w:r>
        <w:rPr>
          <w:rFonts w:eastAsia="Calibri" w:cs="Calibri"/>
          <w:b/>
          <w:bCs/>
          <w:color w:val="1A2733"/>
          <w:sz w:val="21"/>
          <w:szCs w:val="21"/>
        </w:rPr>
        <w:t xml:space="preserve">Step 5 — Review and compare. </w:t>
      </w:r>
      <w:r>
        <w:rPr>
          <w:rFonts w:eastAsia="Calibri" w:cs="Calibri"/>
          <w:color w:val="1A2733"/>
          <w:sz w:val="21"/>
          <w:szCs w:val="21"/>
        </w:rPr>
        <w:t>The shopper or associate reviews the result, tries alternate pieces or portraits, and compares variants side by side.</w:t>
      </w:r>
    </w:p>
    <w:p>
      <w:pPr>
        <w:pStyle w:val="ListParagraph"/>
        <w:numPr>
          <w:ilvl w:val="0"/>
          <w:numId w:val="1"/>
        </w:numPr>
        <w:spacing w:lineRule="exact" w:line="270" w:before="0" w:after="100"/>
        <w:rPr/>
      </w:pPr>
      <w:r>
        <w:rPr>
          <w:rFonts w:eastAsia="Calibri" w:cs="Calibri"/>
          <w:b/>
          <w:bCs/>
          <w:color w:val="1A2733"/>
          <w:sz w:val="21"/>
          <w:szCs w:val="21"/>
        </w:rPr>
        <w:t xml:space="preserve">Step 6 — Save or share. </w:t>
      </w:r>
      <w:r>
        <w:rPr>
          <w:rFonts w:eastAsia="Calibri" w:cs="Calibri"/>
          <w:color w:val="1A2733"/>
          <w:sz w:val="21"/>
          <w:szCs w:val="21"/>
        </w:rPr>
        <w:t>The final image can be downloaded, emailed or shared, carrying a watermark and provenance metadata per section 9.</w:t>
      </w:r>
    </w:p>
    <w:p>
      <w:pPr>
        <w:pStyle w:val="Normal"/>
        <w:spacing w:lineRule="exact" w:line="276" w:before="0" w:after="160"/>
        <w:rPr/>
      </w:pPr>
      <w:r>
        <w:rPr>
          <w:rFonts w:eastAsia="Calibri" w:cs="Calibri"/>
          <w:i/>
          <w:iCs/>
          <w:color w:val="4A5568"/>
          <w:sz w:val="21"/>
          <w:szCs w:val="21"/>
        </w:rPr>
        <w:t>Phase 1 has no shopping cart or checkout — it is a brand-hosted, standalone experience, in the browser or in-store, independent of any specific e-commerce platform. Cart and checkout are introduced in Phase 2.</w:t>
      </w:r>
    </w:p>
    <w:p>
      <w:pPr>
        <w:pStyle w:val="Heading2"/>
        <w:spacing w:before="260" w:after="120"/>
        <w:rPr/>
      </w:pPr>
      <w:r>
        <w:rPr>
          <w:rFonts w:eastAsia="Calibri" w:cs="Calibri" w:ascii="Calibri" w:hAnsi="Calibri"/>
          <w:b/>
          <w:bCs/>
          <w:color w:val="09A8D8"/>
          <w:sz w:val="24"/>
          <w:szCs w:val="24"/>
        </w:rPr>
        <w:t>3.2 Phase 2 — E-Commerce Plugin Flow</w:t>
      </w:r>
    </w:p>
    <w:p>
      <w:pPr>
        <w:pStyle w:val="ListParagraph"/>
        <w:numPr>
          <w:ilvl w:val="0"/>
          <w:numId w:val="1"/>
        </w:numPr>
        <w:spacing w:lineRule="exact" w:line="270" w:before="0" w:after="100"/>
        <w:rPr/>
      </w:pPr>
      <w:r>
        <w:rPr>
          <w:rFonts w:eastAsia="Calibri" w:cs="Calibri"/>
          <w:b/>
          <w:bCs/>
          <w:color w:val="1A2733"/>
          <w:sz w:val="21"/>
          <w:szCs w:val="21"/>
        </w:rPr>
        <w:t xml:space="preserve">Step 1 — Product page. </w:t>
      </w:r>
      <w:r>
        <w:rPr>
          <w:rFonts w:eastAsia="Calibri" w:cs="Calibri"/>
          <w:color w:val="1A2733"/>
          <w:sz w:val="21"/>
          <w:szCs w:val="21"/>
        </w:rPr>
        <w:t>Shopper selects “Try It On” on an eligible product page of a store running the plugin.</w:t>
      </w:r>
    </w:p>
    <w:p>
      <w:pPr>
        <w:pStyle w:val="ListParagraph"/>
        <w:numPr>
          <w:ilvl w:val="0"/>
          <w:numId w:val="1"/>
        </w:numPr>
        <w:spacing w:lineRule="exact" w:line="270" w:before="0" w:after="100"/>
        <w:rPr/>
      </w:pPr>
      <w:r>
        <w:rPr>
          <w:rFonts w:eastAsia="Calibri" w:cs="Calibri"/>
          <w:b/>
          <w:bCs/>
          <w:color w:val="1A2733"/>
          <w:sz w:val="21"/>
          <w:szCs w:val="21"/>
        </w:rPr>
        <w:t xml:space="preserve">Step 2 — Capture. </w:t>
      </w:r>
      <w:r>
        <w:rPr>
          <w:rFonts w:eastAsia="Calibri" w:cs="Calibri"/>
          <w:color w:val="1A2733"/>
          <w:sz w:val="21"/>
          <w:szCs w:val="21"/>
        </w:rPr>
        <w:t>Shopper uploads a photograph, takes one with the device camera, or selects a preset model.</w:t>
      </w:r>
    </w:p>
    <w:p>
      <w:pPr>
        <w:pStyle w:val="ListParagraph"/>
        <w:numPr>
          <w:ilvl w:val="0"/>
          <w:numId w:val="1"/>
        </w:numPr>
        <w:spacing w:lineRule="exact" w:line="270" w:before="0" w:after="100"/>
        <w:rPr/>
      </w:pPr>
      <w:r>
        <w:rPr>
          <w:rFonts w:eastAsia="Calibri" w:cs="Calibri"/>
          <w:b/>
          <w:bCs/>
          <w:color w:val="1A2733"/>
          <w:sz w:val="21"/>
          <w:szCs w:val="21"/>
        </w:rPr>
        <w:t xml:space="preserve">Step 3 — Detect. </w:t>
      </w:r>
      <w:r>
        <w:rPr>
          <w:rFonts w:eastAsia="Calibri" w:cs="Calibri"/>
          <w:color w:val="1A2733"/>
          <w:sz w:val="21"/>
          <w:szCs w:val="21"/>
        </w:rPr>
        <w:t>The service locates the anchor point appropriate to the product category and returns a confidence score.</w:t>
      </w:r>
    </w:p>
    <w:p>
      <w:pPr>
        <w:pStyle w:val="ListParagraph"/>
        <w:numPr>
          <w:ilvl w:val="0"/>
          <w:numId w:val="1"/>
        </w:numPr>
        <w:spacing w:lineRule="exact" w:line="270" w:before="0" w:after="100"/>
        <w:rPr/>
      </w:pPr>
      <w:r>
        <w:rPr>
          <w:rFonts w:eastAsia="Calibri" w:cs="Calibri"/>
          <w:b/>
          <w:bCs/>
          <w:color w:val="1A2733"/>
          <w:sz w:val="21"/>
          <w:szCs w:val="21"/>
        </w:rPr>
        <w:t xml:space="preserve">Step 4 — Render and compare. </w:t>
      </w:r>
      <w:r>
        <w:rPr>
          <w:rFonts w:eastAsia="Calibri" w:cs="Calibri"/>
          <w:color w:val="1A2733"/>
          <w:sz w:val="21"/>
          <w:szCs w:val="21"/>
        </w:rPr>
        <w:t>The piece is placed automatically; the shopper may switch between variants and other pieces in the same category.</w:t>
      </w:r>
    </w:p>
    <w:p>
      <w:pPr>
        <w:pStyle w:val="ListParagraph"/>
        <w:numPr>
          <w:ilvl w:val="0"/>
          <w:numId w:val="1"/>
        </w:numPr>
        <w:spacing w:lineRule="exact" w:line="270" w:before="0" w:after="100"/>
        <w:rPr/>
      </w:pPr>
      <w:r>
        <w:rPr>
          <w:rFonts w:eastAsia="Calibri" w:cs="Calibri"/>
          <w:b/>
          <w:bCs/>
          <w:color w:val="1A2733"/>
          <w:sz w:val="21"/>
          <w:szCs w:val="21"/>
        </w:rPr>
        <w:t xml:space="preserve">Step 5 — Add to cart. </w:t>
      </w:r>
      <w:r>
        <w:rPr>
          <w:rFonts w:eastAsia="Calibri" w:cs="Calibri"/>
          <w:color w:val="1A2733"/>
          <w:sz w:val="21"/>
          <w:szCs w:val="21"/>
        </w:rPr>
        <w:t>The exact variant on screen is added to the platform's real cart and the shopper is returned to checkout.</w:t>
      </w:r>
    </w:p>
    <w:p>
      <w:pPr>
        <w:pStyle w:val="Normal"/>
        <w:spacing w:lineRule="exact" w:line="276" w:before="0" w:after="160"/>
        <w:rPr/>
      </w:pPr>
      <w:r>
        <w:rPr>
          <w:rFonts w:eastAsia="Calibri" w:cs="Calibri"/>
          <w:color w:val="1A2733"/>
          <w:sz w:val="21"/>
          <w:szCs w:val="21"/>
        </w:rPr>
        <w:t xml:space="preserve">Steps 2–4 reuse the same computer-vision and GenAI rendering core as Phase 1. Steps 1 and 5 are storefront, catalogue and cart integration against the merchant's existing e-commerce infrastructure. </w:t>
      </w:r>
      <w:r>
        <w:rPr>
          <w:rFonts w:eastAsia="Calibri" w:cs="Calibri"/>
          <w:b/>
          <w:bCs/>
          <w:color w:val="1A2733"/>
          <w:sz w:val="21"/>
          <w:szCs w:val="21"/>
        </w:rPr>
        <w:t>Automatic placement is the default; manual adjustment is a refinement, not the primary mechanism.</w:t>
      </w:r>
    </w:p>
    <w:p>
      <w:pPr>
        <w:pStyle w:val="Heading1"/>
        <w:pBdr>
          <w:bottom w:val="single" w:sz="8" w:space="4" w:color="1554A0"/>
        </w:pBdr>
        <w:spacing w:before="400" w:after="200"/>
        <w:rPr/>
      </w:pPr>
      <w:r>
        <w:rPr>
          <w:rFonts w:eastAsia="Calibri" w:cs="Calibri" w:ascii="Calibri" w:hAnsi="Calibri"/>
          <w:b/>
          <w:bCs/>
          <w:color w:val="1554A0"/>
          <w:sz w:val="28"/>
          <w:szCs w:val="28"/>
        </w:rPr>
        <w:t>4. Rendering Approach (Will be finalized after Preliminary Evaluation only)</w:t>
      </w:r>
      <w:r>
        <w:rPr>
          <w:rFonts w:eastAsia="Calibri" w:cs="Calibri" w:ascii="Calibri" w:hAnsi="Calibri"/>
          <w:b/>
          <w:bCs/>
          <w:color w:val="1554A0"/>
          <w:sz w:val="28"/>
          <w:szCs w:val="28"/>
        </w:rPr>
      </w:r>
    </w:p>
    <w:p>
      <w:pPr>
        <w:pStyle w:val="Normal"/>
        <w:spacing w:lineRule="exact" w:line="276" w:before="0" w:after="160"/>
        <w:rPr/>
      </w:pPr>
      <w:r>
        <w:rPr>
          <w:rFonts w:eastAsia="Calibri" w:cs="Calibri"/>
          <w:color w:val="1A2733"/>
          <w:sz w:val="21"/>
          <w:szCs w:val="21"/>
        </w:rPr>
        <w:t xml:space="preserve">This is the single most consequential technical decision in the project. </w:t>
      </w:r>
      <w:r>
        <w:rPr>
          <w:rFonts w:eastAsia="Calibri" w:cs="Calibri"/>
          <w:b/>
          <w:bCs/>
          <w:color w:val="1A2733"/>
          <w:sz w:val="21"/>
          <w:szCs w:val="21"/>
        </w:rPr>
        <w:t>Simple object-placement compositing — detecting a landmark and pasting a scaled, rotated cut-out over the photograph — is explicitly excluded from this system.</w:t>
      </w:r>
      <w:r>
        <w:rPr>
          <w:rFonts w:eastAsia="Calibri" w:cs="Calibri"/>
          <w:color w:val="1A2733"/>
          <w:sz w:val="21"/>
          <w:szCs w:val="21"/>
        </w:rPr>
        <w:t xml:space="preserve"> It reads as an overlay, ignores occlusion and perspective, and is not the product SkyAI is building. Every render must be produced by generative AI models. Two GenAI approaches remain on the table.</w:t>
      </w:r>
    </w:p>
    <w:tbl>
      <w:tblPr>
        <w:tblW w:w="10000" w:type="dxa"/>
        <w:jc w:val="left"/>
        <w:tblInd w:w="0" w:type="dxa"/>
        <w:tblLayout w:type="fixed"/>
        <w:tblCellMar>
          <w:top w:w="100" w:type="dxa"/>
          <w:left w:w="120" w:type="dxa"/>
          <w:bottom w:w="100" w:type="dxa"/>
          <w:right w:w="120" w:type="dxa"/>
        </w:tblCellMar>
      </w:tblPr>
      <w:tblGrid>
        <w:gridCol w:w="2400"/>
        <w:gridCol w:w="3800"/>
        <w:gridCol w:w="3800"/>
      </w:tblGrid>
      <w:tr>
        <w:trPr>
          <w:tblHeader w:val="true"/>
        </w:trPr>
        <w:tc>
          <w:tcPr>
            <w:tcW w:w="24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Criterion</w:t>
            </w:r>
          </w:p>
        </w:tc>
        <w:tc>
          <w:tcPr>
            <w:tcW w:w="38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B — Full generative placement</w:t>
            </w:r>
          </w:p>
        </w:tc>
        <w:tc>
          <w:tcPr>
            <w:tcW w:w="38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C — GenAI-driven hybrid (recommended)</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Method</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multi-reference diffusion model is given the product image and the portrait and asked to produce a single new image</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generative model establishes pose, scene and lighting; the exact segmented asset is composited with perspective warping; a constrained, bounded harmonisation pass (also model-driven) adds contact shadow and colour match only</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Design fidelity</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Variable — prototype results show ornate filigree simplified and fine detail drifting</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Exact for the piece; the surrounding image is generated</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Realism of integration</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Strong — convincing lighting, shadow and drape</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Strong, provided the harmonisation pass is bounded so it cannot redraw geometry</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Latency</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Several seconds per image on GPU</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Comparable; heavy step is precomputed and cached where possible</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Cost per render</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GPU inference cost per image</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Bounded — heavy step is precomputed and cached</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Fit to fidelity constraint (no shape distortion)</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Not reliably satisfied</w:t>
            </w:r>
          </w:p>
        </w:tc>
        <w:tc>
          <w:tcPr>
            <w:tcW w:w="3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Satisfied for the piece</w:t>
            </w:r>
          </w:p>
        </w:tc>
      </w:tr>
    </w:tbl>
    <w:p>
      <w:pPr>
        <w:pStyle w:val="Normal"/>
        <w:spacing w:lineRule="exact" w:line="276" w:before="0" w:after="160"/>
        <w:rPr/>
      </w:pPr>
      <w:r>
        <w:rPr>
          <w:rFonts w:eastAsia="Calibri" w:cs="Calibri"/>
          <w:b/>
          <w:bCs/>
          <w:color w:val="1A2733"/>
          <w:sz w:val="21"/>
          <w:szCs w:val="21"/>
        </w:rPr>
        <w:t xml:space="preserve">Recommendation. </w:t>
      </w:r>
      <w:r>
        <w:rPr>
          <w:rFonts w:eastAsia="Calibri" w:cs="Calibri"/>
          <w:color w:val="1A2733"/>
          <w:sz w:val="21"/>
          <w:szCs w:val="21"/>
        </w:rPr>
        <w:t>Approach C. The requirement that a piece's shape, gem cut, engraving and hallmark must not change is incompatible with letting a diffusion model redraw the jewellery, which is what pure generative placement does. Approach C keeps the piece pixel-accurate — using generative models for scene, pose and lighting, and a bounded, model-assisted harmonisation pass for integration — while remaining fully generative-AI-driven end to end. This applies identically whether the source asset came from the catalogue or from an on-the-spot capture: both feed the same pipeline once segmented.</w:t>
      </w:r>
    </w:p>
    <w:p>
      <w:pPr>
        <w:pStyle w:val="Normal"/>
        <w:spacing w:lineRule="exact" w:line="276" w:before="0" w:after="160"/>
        <w:rPr/>
      </w:pPr>
      <w:r>
        <w:rPr>
          <w:rFonts w:eastAsia="Calibri" w:cs="Calibri"/>
          <w:b/>
          <w:bCs/>
          <w:color w:val="1A2733"/>
          <w:sz w:val="21"/>
          <w:szCs w:val="21"/>
        </w:rPr>
        <w:t xml:space="preserve">Prototype status. </w:t>
      </w:r>
      <w:r>
        <w:rPr>
          <w:rFonts w:eastAsia="Calibri" w:cs="Calibri"/>
          <w:i/>
          <w:iCs/>
          <w:color w:val="4A5568"/>
          <w:sz w:val="21"/>
          <w:szCs w:val="21"/>
        </w:rPr>
        <w:t>The existing prototype demonstrates Approach B on necklaces and rings. It is evidence that placement and lighting are achievable, not that the fidelity requirement is met; it should be treated as a feasibility result, not the production design.</w:t>
      </w:r>
    </w:p>
    <w:p>
      <w:pPr>
        <w:pStyle w:val="Heading1"/>
        <w:pBdr>
          <w:bottom w:val="single" w:sz="8" w:space="4" w:color="1554A0"/>
        </w:pBdr>
        <w:spacing w:before="400" w:after="200"/>
        <w:rPr/>
      </w:pPr>
      <w:r>
        <w:rPr>
          <w:rFonts w:eastAsia="Calibri" w:cs="Calibri" w:ascii="Calibri" w:hAnsi="Calibri"/>
          <w:b/>
          <w:bCs/>
          <w:color w:val="1554A0"/>
          <w:sz w:val="28"/>
          <w:szCs w:val="28"/>
        </w:rPr>
        <w:t>5. Functional Requirements</w:t>
      </w:r>
    </w:p>
    <w:p>
      <w:pPr>
        <w:pStyle w:val="Heading2"/>
        <w:spacing w:before="260" w:after="120"/>
        <w:rPr/>
      </w:pPr>
      <w:r>
        <w:rPr>
          <w:rFonts w:eastAsia="Calibri" w:cs="Calibri" w:ascii="Calibri" w:hAnsi="Calibri"/>
          <w:b/>
          <w:bCs/>
          <w:color w:val="09A8D8"/>
          <w:sz w:val="24"/>
          <w:szCs w:val="24"/>
        </w:rPr>
        <w:t>5.1 Jewellery Input &amp; Asset Preparation</w:t>
      </w:r>
    </w:p>
    <w:p>
      <w:pPr>
        <w:pStyle w:val="Normal"/>
        <w:spacing w:lineRule="exact" w:line="276" w:before="0" w:after="160"/>
        <w:rPr/>
      </w:pPr>
      <w:r>
        <w:rPr>
          <w:rFonts w:eastAsia="Calibri" w:cs="Calibri"/>
          <w:color w:val="1A2733"/>
          <w:sz w:val="21"/>
          <w:szCs w:val="21"/>
        </w:rPr>
        <w:t>Covers both pre-built catalogue assets and live, on-the-spot capture — the two jewellery input paths from section 3.1.</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F1.1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Each jewellery item, whether from a studio catalogue photograph or a live on-the-spot capture, is detected and segmented to pixel-level precision and returned as a clean alpha-masked layer, using a generative segmentation model.</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F1.2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On-the-spot capture supports a guided single-shot flow: the operator or shopper photographs the piece against a plain surface, receives immediate visual feedback on segmentation quality, and can retake before proceeding.</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F1.3</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operator or store associate can approve, retake, or correct segmentation output before it is used in a render; automatic output is never used unreviewed for a capture that will be saved to the catalogue.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F1.4</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captured piece can be used for a single session only (not retained) or saved into the brand's permanent catalogue, at the operator's choice, per tenant configuration.</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F1.5</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Each catalogue asset stores category, anchor type, physical dimensions, metal and stone attributes, and — where relevant to Phase 2 — the SKU and variant it maps to.</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F1.6</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Colour accuracy of the extracted asset against the source photograph is measured and recorded; see section 13.</w:t>
            </w:r>
          </w:p>
        </w:tc>
      </w:tr>
    </w:tbl>
    <w:p>
      <w:pPr>
        <w:pStyle w:val="Heading2"/>
        <w:spacing w:before="260" w:after="120"/>
        <w:rPr/>
      </w:pPr>
      <w:r>
        <w:rPr>
          <w:rFonts w:eastAsia="Calibri" w:cs="Calibri" w:ascii="Calibri" w:hAnsi="Calibri"/>
          <w:b/>
          <w:bCs/>
          <w:color w:val="09A8D8"/>
          <w:sz w:val="24"/>
          <w:szCs w:val="24"/>
        </w:rPr>
        <w:t>5.2 Placement Engine</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F2.1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service detects the anchor point appropriate to the product category and returns normalised anchor coordinates, a scale reference measurement, a rotation angle, an occlusion mask, and a confidence score.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F2.2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rendered piece is scaled from its stored (or measured, for on-the-spot capture) physical dimensions against the detected scale reference, never pasted at a fixed size.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F2.3</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Where confidence falls below the configured threshold, the shopper receives a specific, actionable message and is offered a preset model as a fallback.</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F2.4</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Where multiple pieces are requested in one session, each is placed independently and returned as an addressable layer.</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F2.5</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Placement responses record the model name, model version and timestamp, so any output image can be reproduced and audited.</w:t>
            </w:r>
          </w:p>
        </w:tc>
      </w:tr>
    </w:tbl>
    <w:p>
      <w:pPr>
        <w:pStyle w:val="Heading2"/>
        <w:spacing w:before="260" w:after="120"/>
        <w:rPr/>
      </w:pPr>
      <w:r>
        <w:rPr>
          <w:rFonts w:eastAsia="Calibri" w:cs="Calibri" w:ascii="Calibri" w:hAnsi="Calibri"/>
          <w:b/>
          <w:bCs/>
          <w:color w:val="09A8D8"/>
          <w:sz w:val="24"/>
          <w:szCs w:val="24"/>
        </w:rPr>
        <w:t>5.3 Photo Capture (Portrait)</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F3.1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shopper or associate can upload a photograph, or capture one live with a device or kiosk camera.</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F3.2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shopper can select a preset model image. SkyAI ships a default model library covering every supported jewellery category, available to all tenants.</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F3.3</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Category-specific capture guidance is shown before capture, e.g. “face the camera with both ears visible” for earrings.</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F3.4</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Accepted formats include JPEG, PNG, WebP and HEIC; EXIF orientation is honoured and stripped from stored copies.</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F3.5</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Maximum upload size, minimum usable resolution, and behaviour when more than one person is detected in frame are configured and enforced, with a clear message on rejection.</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F3.6</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tenant activates or deactivates individual default models from the admin panel, per category. Only activated models are offered to that tenant’s shoppers.</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F3.7</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tenant can upload its own model images through the admin panel, assign them to categories, and present them alongside or instead of the activated default set.</w:t>
            </w:r>
          </w:p>
        </w:tc>
      </w:tr>
    </w:tbl>
    <w:p>
      <w:pPr>
        <w:pStyle w:val="Heading2"/>
        <w:spacing w:before="260" w:after="120"/>
        <w:rPr/>
      </w:pPr>
      <w:r>
        <w:rPr>
          <w:rFonts w:eastAsia="Calibri" w:cs="Calibri" w:ascii="Calibri" w:hAnsi="Calibri"/>
          <w:b/>
          <w:bCs/>
          <w:color w:val="09A8D8"/>
          <w:sz w:val="24"/>
          <w:szCs w:val="24"/>
        </w:rPr>
        <w:t>5.4 Try-On Experience &amp; Comparison</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F4.1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shopper can switch between jewellery pieces, colour or metal variants, and portraits within the same session without starting over, each rendered fresh.</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F4.2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In-store kiosk mode supports an associate-driven flow: start session, select customer photo or preset, cycle through multiple pieces quickly.</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F4.3</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catalogue category taxonomy is configured per tenant at onboarding.</w:t>
            </w:r>
          </w:p>
        </w:tc>
      </w:tr>
    </w:tbl>
    <w:p>
      <w:pPr>
        <w:pStyle w:val="Heading2"/>
        <w:spacing w:before="260" w:after="120"/>
        <w:rPr/>
      </w:pPr>
      <w:r>
        <w:rPr>
          <w:rFonts w:eastAsia="Calibri" w:cs="Calibri" w:ascii="Calibri" w:hAnsi="Calibri"/>
          <w:b/>
          <w:bCs/>
          <w:color w:val="09A8D8"/>
          <w:sz w:val="24"/>
          <w:szCs w:val="24"/>
        </w:rPr>
        <w:t>5.5 Save &amp; Share</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F5.1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shopper can save or share a rendered look. Shared images carry a visible watermark and embedded content-provenance metadata indicating AI generation.</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F5.2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Saved/shared images are retained only for the period defined in section 9.</w:t>
            </w:r>
          </w:p>
        </w:tc>
      </w:tr>
    </w:tbl>
    <w:p>
      <w:pPr>
        <w:pStyle w:val="Heading2"/>
        <w:spacing w:before="260" w:after="120"/>
        <w:rPr/>
      </w:pPr>
      <w:r>
        <w:rPr>
          <w:rFonts w:eastAsia="Calibri" w:cs="Calibri" w:ascii="Calibri" w:hAnsi="Calibri"/>
          <w:b/>
          <w:bCs/>
          <w:color w:val="09A8D8"/>
          <w:sz w:val="24"/>
          <w:szCs w:val="24"/>
        </w:rPr>
        <w:t>5.6 Brand / Tenant Admin &amp; Subscription Management</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F6.1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 administrative interface lets the brand or SkyAI operations team upload catalogue photographs, review segmentation output, correct masks, and manage on-the-spot captures saved from in-store sessions.</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F6.2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Per-tenant subscription plan and entitlement (usage tier, monthly try-on quota, number of kiosk seats, feature flags) is recorded and enforced by the backend.</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F6.3</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Payment collection for the subscription is out of system scope: the platform reflects entitlement status only (active, past due, suspended); the actual charge is raised outside the system (invoice, payment link, or manual billing).</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F6.4</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Assets, settings, users and usage data are isolated per tenant.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F6.5</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Renders can be pre-generated in bulk for preset-model and catalogue-piece combinations, reviewed, approved and cached, so common cases are served without live inference.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F6.6</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admin panel provides model-library management: activate or deactivate SkyAI default models per category, and upload, categorise, replace or retire the tenant’s own model images.</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F6.7</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admin panel provides site branding control: page template selection, logo, colour palette, typography and on-page copy, applied to the tenant’s domain without redeployment.</w:t>
            </w:r>
          </w:p>
        </w:tc>
      </w:tr>
    </w:tbl>
    <w:p>
      <w:pPr>
        <w:pStyle w:val="Heading2"/>
        <w:spacing w:before="260" w:after="120"/>
        <w:rPr/>
      </w:pPr>
      <w:r>
        <w:rPr>
          <w:rFonts w:eastAsia="Calibri" w:cs="Calibri" w:ascii="Calibri" w:hAnsi="Calibri"/>
          <w:b/>
          <w:bCs/>
          <w:color w:val="09A8D8"/>
          <w:sz w:val="24"/>
          <w:szCs w:val="24"/>
        </w:rPr>
        <w:t>5.7 E-Commerce Plugin &amp; Cart (Phase 2)</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F7.1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platform-specific plugin (Shopify first) renders the try-on control on eligible product pages of a subscribed, connected store.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F7.2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control appears only on products marked eligible, identified by product type or a platform metafield/attribute.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F7.3</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product and variant being viewed are passed into the try-on application on entry and carried through every subsequent state change.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F7.4</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t>
            </w:r>
            <w:r>
              <w:rPr>
                <w:rFonts w:eastAsia="Calibri" w:cs="Calibri"/>
                <w:color w:val="1A2733"/>
                <w:sz w:val="19"/>
                <w:szCs w:val="19"/>
              </w:rPr>
              <w:t>Add to cart” adds the exact variant currently rendered to the platform's real cart and returns the shopper to checkout; checkout always uses the URL returned by the platform's own cart API — never a hardcoded store domain.</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F7.5</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Checkout opens at top level (new tab, or a postMessage instructing the parent page to navigate), never an in-iframe redirect, since payment and 3-D Secure pages generally refuse to render inside an iframe.</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F7.6</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plugin architecture is built so that support for additional e-commerce platforms (WooCommerce, Magento) can be added without changing the core render/placement engine.</w:t>
            </w:r>
          </w:p>
        </w:tc>
      </w:tr>
    </w:tbl>
    <w:p>
      <w:pPr>
        <w:pStyle w:val="Heading2"/>
        <w:spacing w:before="260" w:after="120"/>
        <w:rPr/>
      </w:pPr>
      <w:r>
        <w:rPr>
          <w:rFonts w:eastAsia="Calibri" w:cs="Calibri" w:ascii="Calibri" w:hAnsi="Calibri"/>
          <w:b/>
          <w:bCs/>
          <w:color w:val="09A8D8"/>
          <w:sz w:val="24"/>
          <w:szCs w:val="24"/>
        </w:rPr>
        <w:t>5.8 Tenant Site, Domain &amp; Branding</w:t>
      </w:r>
    </w:p>
    <w:tbl>
      <w:tblPr>
        <w:tblW w:w="10000" w:type="dxa"/>
        <w:jc w:val="left"/>
        <w:tblInd w:w="0" w:type="dxa"/>
        <w:tblLayout w:type="fixed"/>
        <w:tblCellMar>
          <w:top w:w="100" w:type="dxa"/>
          <w:left w:w="120" w:type="dxa"/>
          <w:bottom w:w="100" w:type="dxa"/>
          <w:right w:w="120" w:type="dxa"/>
        </w:tblCellMar>
      </w:tblPr>
      <w:tblGrid>
        <w:gridCol w:w="1200"/>
        <w:gridCol w:w="8799"/>
      </w:tblGrid>
      <w:tr>
        <w:trPr>
          <w:tblHeader w:val="true"/>
        </w:trPr>
        <w:tc>
          <w:tcPr>
            <w:tcW w:w="1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Ref</w:t>
            </w:r>
          </w:p>
        </w:tc>
        <w:tc>
          <w:tcPr>
            <w:tcW w:w="87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Requirement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F8.1</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Each tenant is served its own try-on page on its own domain or subdomain (for example tryon.brandname.com), distinct from every other tenant.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F8.2</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When a tenant is onboarded, the page is provisioned automatically from a customisable template. No per-tenant code, build or deployment is required.</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F8.3</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All tenant domains resolve to the same platform IP address behind a shared load balancer. The incoming host header determines which tenant is served, and the page design and branding rendered are those configured for that domain.</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F8.4</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Page template, logo, colour palette, typography and on-page copy are configured per tenant from the admin panel (F6.7) and take effect without redeployment.</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F8.5</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TLS certificates are issued and renewed automatically for every tenant domain.</w:t>
            </w:r>
          </w:p>
        </w:tc>
      </w:tr>
      <w:tr>
        <w:trPr/>
        <w:tc>
          <w:tcPr>
            <w:tcW w:w="1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F8.6</w:t>
            </w:r>
          </w:p>
        </w:tc>
        <w:tc>
          <w:tcPr>
            <w:tcW w:w="87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 unrecognised or unconfigured domain is served a neutral error page. It never falls back to another tenant’s branding, catalogue or models.</w:t>
            </w:r>
          </w:p>
        </w:tc>
      </w:tr>
    </w:tbl>
    <w:p>
      <w:pPr>
        <w:pStyle w:val="Heading1"/>
        <w:pBdr>
          <w:bottom w:val="single" w:sz="8" w:space="4" w:color="1554A0"/>
        </w:pBdr>
        <w:spacing w:before="400" w:after="200"/>
        <w:rPr/>
      </w:pPr>
      <w:r>
        <w:rPr>
          <w:rFonts w:eastAsia="Calibri" w:cs="Calibri" w:ascii="Calibri" w:hAnsi="Calibri"/>
          <w:b/>
          <w:bCs/>
          <w:color w:val="1554A0"/>
          <w:sz w:val="28"/>
          <w:szCs w:val="28"/>
        </w:rPr>
        <w:t>6. Placement Engine — Category Reference</w:t>
      </w:r>
    </w:p>
    <w:p>
      <w:pPr>
        <w:pStyle w:val="Normal"/>
        <w:spacing w:lineRule="exact" w:line="276" w:before="0" w:after="160"/>
        <w:rPr/>
      </w:pPr>
      <w:r>
        <w:rPr>
          <w:rFonts w:eastAsia="Calibri" w:cs="Calibri"/>
          <w:color w:val="1A2733"/>
          <w:sz w:val="21"/>
          <w:szCs w:val="21"/>
        </w:rPr>
        <w:t>Anchor point, scale reference and physical dimensions are defined per category below. Correct scaling depends on the stored or measured physical dimensions of the piece; a category cannot be supported until those are available. This reference applies identically to catalogue assets and on-the-spot captures.</w:t>
      </w:r>
    </w:p>
    <w:tbl>
      <w:tblPr>
        <w:tblW w:w="10000" w:type="dxa"/>
        <w:jc w:val="left"/>
        <w:tblInd w:w="0" w:type="dxa"/>
        <w:tblLayout w:type="fixed"/>
        <w:tblCellMar>
          <w:top w:w="100" w:type="dxa"/>
          <w:left w:w="120" w:type="dxa"/>
          <w:bottom w:w="100" w:type="dxa"/>
          <w:right w:w="120" w:type="dxa"/>
        </w:tblCellMar>
      </w:tblPr>
      <w:tblGrid>
        <w:gridCol w:w="1400"/>
        <w:gridCol w:w="1700"/>
        <w:gridCol w:w="1900"/>
        <w:gridCol w:w="1900"/>
        <w:gridCol w:w="3100"/>
      </w:tblGrid>
      <w:tr>
        <w:trPr>
          <w:tblHeader w:val="true"/>
        </w:trPr>
        <w:tc>
          <w:tcPr>
            <w:tcW w:w="14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Category</w:t>
            </w:r>
          </w:p>
        </w:tc>
        <w:tc>
          <w:tcPr>
            <w:tcW w:w="17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Anchor Point</w:t>
            </w:r>
          </w:p>
        </w:tc>
        <w:tc>
          <w:tcPr>
            <w:tcW w:w="19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Scale Reference</w:t>
            </w:r>
          </w:p>
        </w:tc>
        <w:tc>
          <w:tcPr>
            <w:tcW w:w="19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Physical Dimension Required</w:t>
            </w:r>
          </w:p>
        </w:tc>
        <w:tc>
          <w:tcPr>
            <w:tcW w:w="31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Capture Note</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Necklace / Pendant</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Base of neck, clavicle midpoint</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Shoulder-to-shoulder or jaw width</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Chain length; pendant height</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Neck and shoulders in frame</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Earrings</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Left and right earlobe</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Inter-pupillary distance</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Drop length; width</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Face-forward or three-quarter; profile shots unreliable</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Bracelet / Watch</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Wrist midpoint</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Wrist width</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Inner diameter; band width</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Wrist forward, hand open, not a closed fist</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Ring</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Middle joint of chosen finger</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Finger width at that joint</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Ring size; head dimensions</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Flat hand, palm up or down, fingers apart</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Anklet (payal)</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Ankle, above the malleolus</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Ankle width</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Inner diameter; drop</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Lower leg and foot in frame, ankle unobstructed</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Bangle stack</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Forearm, above the wrist</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Wrist and forearm width</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Inner diameter and count per set</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Forearm angled; stack depth must be visible</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Maang tikka</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Hair parting, forehead centre</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Inter-pupillary distance</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Chain length; pendant height</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Face-forward, hairline visible, centre parting</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Nose ring / nath</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Nostril edge, chosen side</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Nose width</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Ring diameter; chain length if attached</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Face-forward or three-quarter towards the worn side</w:t>
            </w:r>
          </w:p>
        </w:tc>
      </w:tr>
      <w:tr>
        <w:trPr/>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Necklace set</w:t>
            </w:r>
          </w:p>
        </w:tc>
        <w:tc>
          <w:tcPr>
            <w:tcW w:w="17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Neck and both earlobes, placed together</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Shoulder width and inter-pupillary distance</w:t>
            </w:r>
          </w:p>
        </w:tc>
        <w:tc>
          <w:tcPr>
            <w:tcW w:w="1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As per component pieces</w:t>
            </w:r>
          </w:p>
        </w:tc>
        <w:tc>
          <w:tcPr>
            <w:tcW w:w="31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Neck, shoulders and both ears in a single frame</w:t>
            </w:r>
          </w:p>
        </w:tc>
      </w:tr>
    </w:tbl>
    <w:p>
      <w:pPr>
        <w:pStyle w:val="Normal"/>
        <w:spacing w:lineRule="exact" w:line="276" w:before="0" w:after="160"/>
        <w:rPr/>
      </w:pPr>
      <w:r>
        <w:rPr>
          <w:rFonts w:eastAsia="Calibri" w:cs="Calibri"/>
          <w:b/>
          <w:bCs/>
          <w:color w:val="1A2733"/>
          <w:sz w:val="21"/>
          <w:szCs w:val="21"/>
        </w:rPr>
        <w:t xml:space="preserve">Placement response payload. </w:t>
      </w:r>
      <w:r>
        <w:rPr>
          <w:rFonts w:eastAsia="Calibri" w:cs="Calibri"/>
          <w:color w:val="1A2733"/>
          <w:sz w:val="21"/>
          <w:szCs w:val="21"/>
        </w:rPr>
        <w:t>Each response returns: detected category; anchor coordinates normalised to the image; a scale reference measurement; a rotation angle; an occlusion mask; a per-item identifier where multiple pieces are placed; a confidence score used to trigger the retry path instead of rendering a poor fit; and the model name, version and timestamp.</w:t>
      </w:r>
    </w:p>
    <w:p>
      <w:pPr>
        <w:pStyle w:val="Heading1"/>
        <w:pBdr>
          <w:bottom w:val="single" w:sz="8" w:space="4" w:color="1554A0"/>
        </w:pBdr>
        <w:spacing w:before="400" w:after="200"/>
        <w:rPr/>
      </w:pPr>
      <w:r>
        <w:rPr>
          <w:rFonts w:eastAsia="Calibri" w:cs="Calibri" w:ascii="Calibri" w:hAnsi="Calibri"/>
          <w:b/>
          <w:bCs/>
          <w:color w:val="1554A0"/>
          <w:sz w:val="28"/>
          <w:szCs w:val="28"/>
        </w:rPr>
        <w:t>7. Subscription &amp; Multi-Tenancy Model</w:t>
      </w:r>
    </w:p>
    <w:p>
      <w:pPr>
        <w:pStyle w:val="Normal"/>
        <w:spacing w:lineRule="exact" w:line="276" w:before="0" w:after="160"/>
        <w:rPr/>
      </w:pPr>
      <w:r>
        <w:rPr>
          <w:rFonts w:eastAsia="Calibri" w:cs="Calibri"/>
          <w:color w:val="1A2733"/>
          <w:sz w:val="21"/>
          <w:szCs w:val="21"/>
        </w:rPr>
        <w:t>The platform is built as a service, not a bespoke build per client: one deployment serves many subscribing brands and stores, each isolated as its own tenant.</w:t>
      </w:r>
    </w:p>
    <w:tbl>
      <w:tblPr>
        <w:tblW w:w="10000" w:type="dxa"/>
        <w:jc w:val="left"/>
        <w:tblInd w:w="0" w:type="dxa"/>
        <w:tblLayout w:type="fixed"/>
        <w:tblCellMar>
          <w:top w:w="100" w:type="dxa"/>
          <w:left w:w="120" w:type="dxa"/>
          <w:bottom w:w="100" w:type="dxa"/>
          <w:right w:w="120" w:type="dxa"/>
        </w:tblCellMar>
      </w:tblPr>
      <w:tblGrid>
        <w:gridCol w:w="2600"/>
        <w:gridCol w:w="7399"/>
      </w:tblGrid>
      <w:tr>
        <w:trPr>
          <w:tblHeader w:val="true"/>
        </w:trPr>
        <w:tc>
          <w:tcPr>
            <w:tcW w:w="26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Aspect</w:t>
            </w:r>
          </w:p>
        </w:tc>
        <w:tc>
          <w:tcPr>
            <w:tcW w:w="73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Position</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Commercial model</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Recurring subscription per brand/store; tiers differ by monthly try-on volume, number of kiosk seats, and catalogue size.</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Payment collection</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Out of system scope. The platform maintains and enforces entitlement status (active / past due / suspended); the actual charge, invoice or payment link is handled outside the system.</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Onboarding</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Each tenant is set up with its own catalogue, branding (logo, colours on the try-on screen), category taxonomy, and kiosk/web access credentials.</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Isolation</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Assets, portraits, usage data and settings never cross tenants. A capture or catalogue item saved by one brand is never visible to another.</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In-store hardware</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subscribing store provides the kiosk device/tablet and camera; the platform runs as a web application on it. Hardware itself is out of scope (section 16).</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Usage tracking</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Try-on sessions, renders, and storage are metered per tenant to support tiered billing decisions made outside the system.</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Tenant domain</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Each tenant is served on its own domain or subdomain, carrying its own page design and branding. All tenant domains point to the same platform address behind a shared load balancer; the domain requested selects the tenant. See section 5.8.</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Access devices</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same web application runs on in-store kiosks, tablets and phones. Kiosk mode is a display mode, not a separate product.</w:t>
            </w:r>
          </w:p>
        </w:tc>
      </w:tr>
    </w:tbl>
    <w:p>
      <w:pPr>
        <w:pStyle w:val="Heading1"/>
        <w:pBdr>
          <w:bottom w:val="single" w:sz="8" w:space="4" w:color="1554A0"/>
        </w:pBdr>
        <w:spacing w:before="400" w:after="200"/>
        <w:rPr/>
      </w:pPr>
      <w:r>
        <w:rPr>
          <w:rFonts w:eastAsia="Calibri" w:cs="Calibri" w:ascii="Calibri" w:hAnsi="Calibri"/>
          <w:b/>
          <w:bCs/>
          <w:color w:val="1554A0"/>
          <w:sz w:val="28"/>
          <w:szCs w:val="28"/>
        </w:rPr>
        <w:t>8. Non-Functional Requirements</w:t>
      </w:r>
    </w:p>
    <w:tbl>
      <w:tblPr>
        <w:tblW w:w="10000" w:type="dxa"/>
        <w:jc w:val="left"/>
        <w:tblInd w:w="0" w:type="dxa"/>
        <w:tblLayout w:type="fixed"/>
        <w:tblCellMar>
          <w:top w:w="100" w:type="dxa"/>
          <w:left w:w="120" w:type="dxa"/>
          <w:bottom w:w="100" w:type="dxa"/>
          <w:right w:w="120" w:type="dxa"/>
        </w:tblCellMar>
      </w:tblPr>
      <w:tblGrid>
        <w:gridCol w:w="2600"/>
        <w:gridCol w:w="7399"/>
      </w:tblGrid>
      <w:tr>
        <w:trPr>
          <w:tblHeader w:val="true"/>
        </w:trPr>
        <w:tc>
          <w:tcPr>
            <w:tcW w:w="26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Constraint</w:t>
            </w:r>
          </w:p>
        </w:tc>
        <w:tc>
          <w:tcPr>
            <w:tcW w:w="73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Target</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Latency — Phase 1 &amp; 2 interactive render</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Cached render: under 1 second. Live detection and compositing: under 2–5 seconds on a typical mobile or kiosk connection. Live generative render: 5–15 seconds, with a queue and a visible progress state showing stage and estimated time, never a blank spinner.</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Latency — catalogue bulk pre-generation</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Batch, offline. Throughput matters, per-image latency does not. Target throughput to be agreed — see section 19.</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Output resolution</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Production-grade for web and in-store display; a target long-edge resolution and an upscaling path must be set.</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Cost per render</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Tracked as a first-class metric. Caching and pre-generation (F6.5) are the primary controls. A target cost per render is to be agreed.</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Throughput &amp; concurrency</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Peak concurrent sessions per tenant and across all tenants — including simultaneous kiosk stations in a single store — with defined queue depth and shed-load behaviour.</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Device support</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single responsive web application serves in-store kiosks, tablets and phones, as well as desktop browsers, with no device-specific build. Kiosk mode is a display mode of the same application. Mobile Safari and Chrome are first-class targets.</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Multi-tenancy</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One deployment serves many brands/stores. Catalogue, branding, assets and settings remain isolated per tenant.</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Storage &amp; delivery</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Uploaded photographs and rendered output held in object storage behind time-limited signed URLs, served via CDN. No public unsigned object access.</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Endpoint security</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inference endpoint is authenticated and rate-limited per session and per tenant.</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Degradation</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 detection failure or low confidence, the shopper receives a specific, actionable message and is offered a preset model, rather than a silent failure or a poor render.</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Observability</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Per-request tracing across capture, detection, render and (Phase 2) cart; error rates, confidence distribution, queue depth and cost per render exposed on a dashboard.</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Analytics</w:t>
            </w:r>
          </w:p>
        </w:tc>
        <w:tc>
          <w:tcPr>
            <w:tcW w:w="7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Try-on engagement, completion rate, in-store vs. at-home split, and (Phase 2) try-on to add-to-cart rate and conversion lift against a control.</w:t>
            </w:r>
          </w:p>
        </w:tc>
      </w:tr>
    </w:tbl>
    <w:p>
      <w:pPr>
        <w:pStyle w:val="Heading1"/>
        <w:pBdr>
          <w:bottom w:val="single" w:sz="8" w:space="4" w:color="1554A0"/>
        </w:pBdr>
        <w:spacing w:before="400" w:after="200"/>
        <w:rPr/>
      </w:pPr>
      <w:r>
        <w:rPr>
          <w:rFonts w:eastAsia="Calibri" w:cs="Calibri" w:ascii="Calibri" w:hAnsi="Calibri"/>
          <w:b/>
          <w:bCs/>
          <w:color w:val="1554A0"/>
          <w:sz w:val="28"/>
          <w:szCs w:val="28"/>
        </w:rPr>
        <w:t>9. Privacy, Consent &amp; Compliance</w:t>
      </w:r>
    </w:p>
    <w:p>
      <w:pPr>
        <w:pStyle w:val="Normal"/>
        <w:spacing w:lineRule="exact" w:line="276" w:before="0" w:after="160"/>
        <w:rPr/>
      </w:pPr>
      <w:r>
        <w:rPr>
          <w:rFonts w:eastAsia="Calibri" w:cs="Calibri"/>
          <w:color w:val="1A2733"/>
          <w:sz w:val="21"/>
          <w:szCs w:val="21"/>
        </w:rPr>
        <w:t>The platform collects photographs of identifiable faces, hands and bodies from members of the public, both online and in-store. These obligations should be agreed with each subscribing brand's legal function before launch.</w:t>
      </w:r>
    </w:p>
    <w:p>
      <w:pPr>
        <w:pStyle w:val="ListParagraph"/>
        <w:numPr>
          <w:ilvl w:val="0"/>
          <w:numId w:val="1"/>
        </w:numPr>
        <w:spacing w:lineRule="exact" w:line="270" w:before="0" w:after="100"/>
        <w:rPr/>
      </w:pPr>
      <w:r>
        <w:rPr>
          <w:rFonts w:eastAsia="Calibri" w:cs="Calibri"/>
          <w:b/>
          <w:bCs/>
          <w:color w:val="1A2733"/>
          <w:sz w:val="21"/>
          <w:szCs w:val="21"/>
        </w:rPr>
        <w:t xml:space="preserve">Consent and notice. </w:t>
      </w:r>
      <w:r>
        <w:rPr>
          <w:rFonts w:eastAsia="Calibri" w:cs="Calibri"/>
          <w:color w:val="1A2733"/>
          <w:sz w:val="21"/>
          <w:szCs w:val="21"/>
        </w:rPr>
        <w:t>An explicit consent step precedes first upload or capture — online or on a kiosk screen — stating what is collected, the purpose, the retention period, and whether images are processed by a third-party service.</w:t>
      </w:r>
    </w:p>
    <w:p>
      <w:pPr>
        <w:pStyle w:val="ListParagraph"/>
        <w:numPr>
          <w:ilvl w:val="0"/>
          <w:numId w:val="1"/>
        </w:numPr>
        <w:spacing w:lineRule="exact" w:line="270" w:before="0" w:after="100"/>
        <w:rPr/>
      </w:pPr>
      <w:r>
        <w:rPr>
          <w:rFonts w:eastAsia="Calibri" w:cs="Calibri"/>
          <w:b/>
          <w:bCs/>
          <w:color w:val="1A2733"/>
          <w:sz w:val="21"/>
          <w:szCs w:val="21"/>
        </w:rPr>
        <w:t xml:space="preserve">In-store capture consent. </w:t>
      </w:r>
      <w:r>
        <w:rPr>
          <w:rFonts w:eastAsia="Calibri" w:cs="Calibri"/>
          <w:color w:val="1A2733"/>
          <w:sz w:val="21"/>
          <w:szCs w:val="21"/>
        </w:rPr>
        <w:t>Where a store associate captures a customer's photo on a kiosk, on-screen consent is shown to the customer directly, not obtained verbally by the associate alone.</w:t>
      </w:r>
    </w:p>
    <w:p>
      <w:pPr>
        <w:pStyle w:val="ListParagraph"/>
        <w:numPr>
          <w:ilvl w:val="0"/>
          <w:numId w:val="1"/>
        </w:numPr>
        <w:spacing w:lineRule="exact" w:line="270" w:before="0" w:after="100"/>
        <w:rPr/>
      </w:pPr>
      <w:r>
        <w:rPr>
          <w:rFonts w:eastAsia="Calibri" w:cs="Calibri"/>
          <w:b/>
          <w:bCs/>
          <w:color w:val="1A2733"/>
          <w:sz w:val="21"/>
          <w:szCs w:val="21"/>
        </w:rPr>
        <w:t xml:space="preserve">Purpose limitation. </w:t>
      </w:r>
      <w:r>
        <w:rPr>
          <w:rFonts w:eastAsia="Calibri" w:cs="Calibri"/>
          <w:color w:val="1A2733"/>
          <w:sz w:val="21"/>
          <w:szCs w:val="21"/>
        </w:rPr>
        <w:t>Uploaded or captured photographs are used solely to render the requested try-on. They are not used for model training, analytics on the individual, or any secondary purpose without separate consent.</w:t>
      </w:r>
    </w:p>
    <w:p>
      <w:pPr>
        <w:pStyle w:val="ListParagraph"/>
        <w:numPr>
          <w:ilvl w:val="0"/>
          <w:numId w:val="1"/>
        </w:numPr>
        <w:spacing w:lineRule="exact" w:line="270" w:before="0" w:after="100"/>
        <w:rPr/>
      </w:pPr>
      <w:r>
        <w:rPr>
          <w:rFonts w:eastAsia="Calibri" w:cs="Calibri"/>
          <w:b/>
          <w:bCs/>
          <w:color w:val="1A2733"/>
          <w:sz w:val="21"/>
          <w:szCs w:val="21"/>
        </w:rPr>
        <w:t xml:space="preserve">Retention and deletion. </w:t>
      </w:r>
      <w:r>
        <w:rPr>
          <w:rFonts w:eastAsia="Calibri" w:cs="Calibri"/>
          <w:color w:val="1A2733"/>
          <w:sz w:val="21"/>
          <w:szCs w:val="21"/>
        </w:rPr>
        <w:t>A defined retention window — recommended as session-scoped, with a hard ceiling of 24 hours for unsaved images — with automatic purge and an on-demand deletion path.</w:t>
      </w:r>
    </w:p>
    <w:p>
      <w:pPr>
        <w:pStyle w:val="ListParagraph"/>
        <w:numPr>
          <w:ilvl w:val="0"/>
          <w:numId w:val="1"/>
        </w:numPr>
        <w:spacing w:lineRule="exact" w:line="270" w:before="0" w:after="100"/>
        <w:rPr/>
      </w:pPr>
      <w:r>
        <w:rPr>
          <w:rFonts w:eastAsia="Calibri" w:cs="Calibri"/>
          <w:b/>
          <w:bCs/>
          <w:color w:val="1A2733"/>
          <w:sz w:val="21"/>
          <w:szCs w:val="21"/>
        </w:rPr>
        <w:t xml:space="preserve">Cross-border transfer. </w:t>
      </w:r>
      <w:r>
        <w:rPr>
          <w:rFonts w:eastAsia="Calibri" w:cs="Calibri"/>
          <w:color w:val="1A2733"/>
          <w:sz w:val="21"/>
          <w:szCs w:val="21"/>
        </w:rPr>
        <w:t>If rendering uses a hosted model API outside India, the transfer must be disclosed and permitted under each tenant's privacy notice.</w:t>
      </w:r>
    </w:p>
    <w:p>
      <w:pPr>
        <w:pStyle w:val="ListParagraph"/>
        <w:numPr>
          <w:ilvl w:val="0"/>
          <w:numId w:val="1"/>
        </w:numPr>
        <w:spacing w:lineRule="exact" w:line="270" w:before="0" w:after="100"/>
        <w:rPr/>
      </w:pPr>
      <w:r>
        <w:rPr>
          <w:rFonts w:eastAsia="Calibri" w:cs="Calibri"/>
          <w:b/>
          <w:bCs/>
          <w:color w:val="1A2733"/>
          <w:sz w:val="21"/>
          <w:szCs w:val="21"/>
        </w:rPr>
        <w:t xml:space="preserve">Minors. </w:t>
      </w:r>
      <w:r>
        <w:rPr>
          <w:rFonts w:eastAsia="Calibri" w:cs="Calibri"/>
          <w:color w:val="1A2733"/>
          <w:sz w:val="21"/>
          <w:szCs w:val="21"/>
        </w:rPr>
        <w:t>The Digital Personal Data Protection Act 2023 places specific restrictions on processing children's data. The agreed position — age gate, or a prohibition on uploads of minors in the terms of use — must be recorded.</w:t>
      </w:r>
    </w:p>
    <w:p>
      <w:pPr>
        <w:pStyle w:val="ListParagraph"/>
        <w:numPr>
          <w:ilvl w:val="0"/>
          <w:numId w:val="1"/>
        </w:numPr>
        <w:spacing w:lineRule="exact" w:line="270" w:before="0" w:after="100"/>
        <w:rPr/>
      </w:pPr>
      <w:r>
        <w:rPr>
          <w:rFonts w:eastAsia="Calibri" w:cs="Calibri"/>
          <w:b/>
          <w:bCs/>
          <w:color w:val="1A2733"/>
          <w:sz w:val="21"/>
          <w:szCs w:val="21"/>
        </w:rPr>
        <w:t xml:space="preserve">Third-party likeness. </w:t>
      </w:r>
      <w:r>
        <w:rPr>
          <w:rFonts w:eastAsia="Calibri" w:cs="Calibri"/>
          <w:color w:val="1A2733"/>
          <w:sz w:val="21"/>
          <w:szCs w:val="21"/>
        </w:rPr>
        <w:t>Terms of use must prohibit uploading a photograph of another person without their consent, and a reporting route must exist.</w:t>
      </w:r>
    </w:p>
    <w:p>
      <w:pPr>
        <w:pStyle w:val="ListParagraph"/>
        <w:numPr>
          <w:ilvl w:val="0"/>
          <w:numId w:val="1"/>
        </w:numPr>
        <w:spacing w:lineRule="exact" w:line="270" w:before="0" w:after="100"/>
        <w:rPr/>
      </w:pPr>
      <w:r>
        <w:rPr>
          <w:rFonts w:eastAsia="Calibri" w:cs="Calibri"/>
          <w:b/>
          <w:bCs/>
          <w:color w:val="1A2733"/>
          <w:sz w:val="21"/>
          <w:szCs w:val="21"/>
        </w:rPr>
        <w:t>Provenance and misuse. Downloadable and shareable output carries a watermark and embedded provenance metadata indicating AI generation. The system must not alter the shopper's face, body shape or skin tone — a testable constraint on the harmonisation pass in section 4.</w:t>
      </w:r>
      <w:r>
        <w:rPr>
          <w:rFonts w:eastAsia="Calibri" w:cs="Calibri"/>
          <w:color w:val="1A2733"/>
          <w:sz w:val="21"/>
          <w:szCs w:val="21"/>
        </w:rPr>
      </w:r>
    </w:p>
    <w:p>
      <w:pPr>
        <w:pStyle w:val="ListParagraph"/>
        <w:numPr>
          <w:ilvl w:val="0"/>
          <w:numId w:val="1"/>
        </w:numPr>
        <w:spacing w:lineRule="exact" w:line="270" w:before="0" w:after="100"/>
        <w:rPr/>
      </w:pPr>
      <w:r>
        <w:rPr>
          <w:rFonts w:eastAsia="Calibri" w:cs="Calibri"/>
          <w:b/>
          <w:bCs/>
          <w:color w:val="1A2733"/>
          <w:sz w:val="21"/>
          <w:szCs w:val="21"/>
        </w:rPr>
        <w:t xml:space="preserve">Security. </w:t>
      </w:r>
      <w:r>
        <w:rPr>
          <w:rFonts w:eastAsia="Calibri" w:cs="Calibri"/>
          <w:color w:val="1A2733"/>
          <w:sz w:val="21"/>
          <w:szCs w:val="21"/>
        </w:rPr>
        <w:t>Encryption in transit and at rest; signed, expiring URLs; no personal data in query strings; access logging on stored images.</w:t>
      </w:r>
    </w:p>
    <w:p>
      <w:pPr>
        <w:pStyle w:val="Heading1"/>
        <w:pBdr>
          <w:bottom w:val="single" w:sz="8" w:space="4" w:color="1554A0"/>
        </w:pBdr>
        <w:spacing w:before="400" w:after="200"/>
        <w:rPr/>
      </w:pPr>
      <w:r>
        <w:rPr>
          <w:rFonts w:eastAsia="Calibri" w:cs="Calibri" w:ascii="Calibri" w:hAnsi="Calibri"/>
          <w:b/>
          <w:bCs/>
          <w:color w:val="1554A0"/>
          <w:sz w:val="28"/>
          <w:szCs w:val="28"/>
        </w:rPr>
        <w:t>10. Architecture Overview</w:t>
      </w:r>
    </w:p>
    <w:p>
      <w:pPr>
        <w:pStyle w:val="Normal"/>
        <w:spacing w:lineRule="exact" w:line="276" w:before="0" w:after="160"/>
        <w:rPr/>
      </w:pPr>
      <w:r>
        <w:rPr>
          <w:rFonts w:eastAsia="Calibri" w:cs="Calibri"/>
          <w:color w:val="1A2733"/>
          <w:sz w:val="21"/>
          <w:szCs w:val="21"/>
        </w:rPr>
        <w:t>Eight core components are shared by both phases. Phase 2 adds a plugin layer and relies on the connected e-commerce platform for commerce data and checkout.</w:t>
      </w:r>
    </w:p>
    <w:tbl>
      <w:tblPr>
        <w:tblW w:w="10000" w:type="dxa"/>
        <w:jc w:val="left"/>
        <w:tblInd w:w="0" w:type="dxa"/>
        <w:tblLayout w:type="fixed"/>
        <w:tblCellMar>
          <w:top w:w="100" w:type="dxa"/>
          <w:left w:w="120" w:type="dxa"/>
          <w:bottom w:w="100" w:type="dxa"/>
          <w:right w:w="120" w:type="dxa"/>
        </w:tblCellMar>
      </w:tblPr>
      <w:tblGrid>
        <w:gridCol w:w="2400"/>
        <w:gridCol w:w="5600"/>
        <w:gridCol w:w="2000"/>
      </w:tblGrid>
      <w:tr>
        <w:trPr>
          <w:tblHeader w:val="true"/>
        </w:trPr>
        <w:tc>
          <w:tcPr>
            <w:tcW w:w="24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Component</w:t>
            </w:r>
          </w:p>
        </w:tc>
        <w:tc>
          <w:tcPr>
            <w:tcW w:w="56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Role</w:t>
            </w:r>
          </w:p>
        </w:tc>
        <w:tc>
          <w:tcPr>
            <w:tcW w:w="20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Phase</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Asset preparation pipeline</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Ingests catalogue photographs and on-the-spot captures, segments each piece, produces alpha-masked layers, holds the asset library and its metadata</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Render service</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GenAI detection, placement, compositing and harmonisation (section 4). Fronted by a job queue with a GPU pool or a hosted model API behind it</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Backend service</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Sessions, tenant/subscription configuration and entitlement, uploads, admin API</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Try-on application</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Web app and kiosk mode: capture, guidance, browsing, preview and comparison</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Brand/tenant admin interface</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Asset onboarding, on-the-spot capture review, metadata editing, subscription and usage management</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Object storage &amp; CDN</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Uploaded photographs, prepared assets, cached and published renders, behind signed URLs</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E-commerce plugin</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Platform-specific (Shopify first) widget rendering the try-on control on eligible product pages</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2</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E-commerce platform API</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Products, variants, cart and checkout — existing infrastructure of the connected store, not built by this project</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2 (existing)</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Edge routing &amp; load balancer</w:t>
            </w:r>
          </w:p>
        </w:tc>
        <w:tc>
          <w:tcPr>
            <w:tcW w:w="5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Terminates TLS for every tenant domain, resolves the requested domain to a tenant, and distributes traffic across application instances. All tenant domains share one address.</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w:t>
            </w:r>
          </w:p>
        </w:tc>
      </w:tr>
    </w:tbl>
    <w:p>
      <w:pPr>
        <w:pStyle w:val="Normal"/>
        <w:spacing w:lineRule="exact" w:line="276" w:before="0" w:after="160"/>
        <w:rPr/>
      </w:pPr>
      <w:r>
        <w:rPr>
          <w:rFonts w:eastAsia="Calibri" w:cs="Calibri"/>
          <w:i/>
          <w:iCs/>
          <w:color w:val="4A5568"/>
          <w:sz w:val="21"/>
          <w:szCs w:val="21"/>
        </w:rPr>
        <w:t>An architecture diagram should be added here before issue.</w:t>
      </w:r>
    </w:p>
    <w:p>
      <w:pPr>
        <w:pStyle w:val="Heading1"/>
        <w:pBdr>
          <w:bottom w:val="single" w:sz="8" w:space="4" w:color="1554A0"/>
        </w:pBdr>
        <w:spacing w:before="400" w:after="200"/>
        <w:rPr/>
      </w:pPr>
      <w:r>
        <w:rPr>
          <w:rFonts w:eastAsia="Calibri" w:cs="Calibri" w:ascii="Calibri" w:hAnsi="Calibri"/>
          <w:b/>
          <w:bCs/>
          <w:color w:val="1554A0"/>
          <w:sz w:val="28"/>
          <w:szCs w:val="28"/>
        </w:rPr>
        <w:t>11. Recommended Technology Stack</w:t>
      </w:r>
    </w:p>
    <w:tbl>
      <w:tblPr>
        <w:tblW w:w="10000" w:type="dxa"/>
        <w:jc w:val="left"/>
        <w:tblInd w:w="0" w:type="dxa"/>
        <w:tblLayout w:type="fixed"/>
        <w:tblCellMar>
          <w:top w:w="100" w:type="dxa"/>
          <w:left w:w="120" w:type="dxa"/>
          <w:bottom w:w="100" w:type="dxa"/>
          <w:right w:w="120" w:type="dxa"/>
        </w:tblCellMar>
      </w:tblPr>
      <w:tblGrid>
        <w:gridCol w:w="2200"/>
        <w:gridCol w:w="3900"/>
        <w:gridCol w:w="3900"/>
      </w:tblGrid>
      <w:tr>
        <w:trPr>
          <w:tblHeader w:val="true"/>
        </w:trPr>
        <w:tc>
          <w:tcPr>
            <w:tcW w:w="22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Layer</w:t>
            </w:r>
          </w:p>
        </w:tc>
        <w:tc>
          <w:tcPr>
            <w:tcW w:w="39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Technology</w:t>
            </w:r>
          </w:p>
        </w:tc>
        <w:tc>
          <w:tcPr>
            <w:tcW w:w="39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Reason</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Try-on frontend (web &amp; kiosk)</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React SPA with Zustand or Redux Toolkit; Canvas 2D for preview compositing; a kiosk display mode</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Canvas gives per-frame control over placement; a single codebase serves web and kiosk</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Segmentation</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SAM-family segmentation with an operator correction step; jewellery-specific fine-tuning if accuracy requires it</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Pixel-level extraction is the foundation of design fidelity, for catalogue and live capture alike</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Landmark / anchor detection</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MediaPipe Face Mesh, Hands and Pose, per category</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Mature, fast, runs on device or server; feeds the anchor, scale and rotation used by the GenAI placement step</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Generative render</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Hosted image-generation API with commercial rights, or a self-hosted model under a permissive licence — see section 12</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GenAI models drive every render; no deterministic compositing path exists in this stack</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Render orchestration</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Job queue with worker pool; results cached by asset, portrait and variant</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Caching is the primary control on both latency and GPU cost</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Backend service</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Single service covering uploads, sessions, tenant/subscription configuration, detection and admin API</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Appropriate at this team size; render workers are the only component that needs to scale independently</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Storage &amp; delivery</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Object storage with time-limited signed URLs, served via CDN</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Required by section 9; removes large-image traffic from the application tier</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Subscription/entitlement</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Tenant and plan records in the backend; billing/payment executed via an external provider or manual invoicing, referenced but not processed by this system</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Keeps payment-processing compliance outside this platform's scope, per the client's direction</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Phase 2 — Storefront integration</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Platform app/plugin (Shopify app first) calling the render/placement API</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Reuses the Phase 1 core without duplicating asset preparation</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Phase 2 — Commerce data</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Shopify Storefront API (GraphQL) for products, variants and cart, pinned to an explicit version</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Single API surface; track the platform's deprecation schedule so an unpinned version doesn't break silently</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Phase 2 — Checkout redirect</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Break out of the iframe — open a new top-level tab or postMessage the parent to navigate</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Payment and 3-D Secure pages generally refuse to render inside an iframe</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Tenant routing &amp; domains</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Shared load balancer with automated per-domain TLS issuance and renewal; host-header tenant resolution in the application layer</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One address and one deployment serve every tenant site. Onboarding a brand needs a DNS record and an admin entry, not a deployment</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Tenant theming</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Template-driven page rendering with per-tenant theme records (template, logo, palette, typography, copy) loaded per request</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Branding is changed from the admin panel and applies immediately, without a rebuild</w:t>
            </w:r>
          </w:p>
        </w:tc>
      </w:tr>
      <w:tr>
        <w:trPr/>
        <w:tc>
          <w:tcPr>
            <w:tcW w:w="22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Model library</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Shared default model set stored centrally; per-tenant activation flags and tenant-uploaded models held in the tenant’s isolated store</w:t>
            </w:r>
          </w:p>
        </w:tc>
        <w:tc>
          <w:tcPr>
            <w:tcW w:w="39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Defaults are maintained once for all tenants while each tenant controls what its shoppers see</w:t>
            </w:r>
          </w:p>
        </w:tc>
      </w:tr>
    </w:tbl>
    <w:p>
      <w:pPr>
        <w:pStyle w:val="Heading1"/>
        <w:pBdr>
          <w:bottom w:val="single" w:sz="8" w:space="4" w:color="1554A0"/>
        </w:pBdr>
        <w:spacing w:before="400" w:after="200"/>
        <w:rPr/>
      </w:pPr>
      <w:r>
        <w:rPr>
          <w:rFonts w:eastAsia="Calibri" w:cs="Calibri" w:ascii="Calibri" w:hAnsi="Calibri"/>
          <w:b/>
          <w:bCs/>
          <w:color w:val="1554A0"/>
          <w:sz w:val="28"/>
          <w:szCs w:val="28"/>
        </w:rPr>
        <w:t>12. Model Licensing</w:t>
      </w:r>
    </w:p>
    <w:p>
      <w:pPr>
        <w:pStyle w:val="Normal"/>
        <w:spacing w:lineRule="exact" w:line="276" w:before="0" w:after="160"/>
        <w:rPr/>
      </w:pPr>
      <w:r>
        <w:rPr>
          <w:rFonts w:eastAsia="Calibri" w:cs="Calibri"/>
          <w:color w:val="1A2733"/>
          <w:sz w:val="21"/>
          <w:szCs w:val="21"/>
        </w:rPr>
        <w:t>The working prototype uses FLUX.2 [klein] 9B, released under the FLUX Non-Commercial Licence, which is not available for production or revenue-generating use. Since the platform is fully GenAI-driven, this must be resolved before any commercial pilot ships, for every subscribing tenant.</w:t>
      </w:r>
    </w:p>
    <w:tbl>
      <w:tblPr>
        <w:tblW w:w="10000" w:type="dxa"/>
        <w:jc w:val="left"/>
        <w:tblInd w:w="0" w:type="dxa"/>
        <w:tblLayout w:type="fixed"/>
        <w:tblCellMar>
          <w:top w:w="100" w:type="dxa"/>
          <w:left w:w="120" w:type="dxa"/>
          <w:bottom w:w="100" w:type="dxa"/>
          <w:right w:w="120" w:type="dxa"/>
        </w:tblCellMar>
      </w:tblPr>
      <w:tblGrid>
        <w:gridCol w:w="2800"/>
        <w:gridCol w:w="3600"/>
        <w:gridCol w:w="3600"/>
      </w:tblGrid>
      <w:tr>
        <w:trPr>
          <w:tblHeader w:val="true"/>
        </w:trPr>
        <w:tc>
          <w:tcPr>
            <w:tcW w:w="28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Option</w:t>
            </w:r>
          </w:p>
        </w:tc>
        <w:tc>
          <w:tcPr>
            <w:tcW w:w="36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Position</w:t>
            </w:r>
          </w:p>
        </w:tc>
        <w:tc>
          <w:tcPr>
            <w:tcW w:w="36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Consideration</w:t>
            </w:r>
          </w:p>
        </w:tc>
      </w:tr>
      <w:tr>
        <w:trPr/>
        <w:tc>
          <w:tcPr>
            <w:tcW w:w="2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Move to a permissively licensed open-weight model</w:t>
            </w:r>
          </w:p>
        </w:tc>
        <w:tc>
          <w:tcPr>
            <w:tcW w:w="3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FLUX.2 [klein] 4B is released under Apache 2.0, which permits commercial use</w:t>
            </w:r>
          </w:p>
        </w:tc>
        <w:tc>
          <w:tcPr>
            <w:tcW w:w="3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Lower parameter count; fidelity must be re-validated against the prototype results</w:t>
            </w:r>
          </w:p>
        </w:tc>
      </w:tr>
      <w:tr>
        <w:trPr/>
        <w:tc>
          <w:tcPr>
            <w:tcW w:w="2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Purchase a commercial licence for the 9B weights</w:t>
            </w:r>
          </w:p>
        </w:tc>
        <w:tc>
          <w:tcPr>
            <w:tcW w:w="3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Vendor offers paid self-host licensing tiers</w:t>
            </w:r>
          </w:p>
        </w:tc>
        <w:tc>
          <w:tcPr>
            <w:tcW w:w="3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Preserves prototype results; recurring cost and volume limits apply, which must scale with subscriber count</w:t>
            </w:r>
          </w:p>
        </w:tc>
      </w:tr>
      <w:tr>
        <w:trPr/>
        <w:tc>
          <w:tcPr>
            <w:tcW w:w="2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Use a hosted generation API with commercial rights included</w:t>
            </w:r>
          </w:p>
        </w:tc>
        <w:tc>
          <w:tcPr>
            <w:tcW w:w="3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Commercial rights are typically included in API usage terms</w:t>
            </w:r>
          </w:p>
        </w:tc>
        <w:tc>
          <w:tcPr>
            <w:tcW w:w="3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Introduces per-image cost, third-party dependency, and the cross-border transfer question in section 9</w:t>
            </w:r>
          </w:p>
        </w:tc>
      </w:tr>
    </w:tbl>
    <w:p>
      <w:pPr>
        <w:pStyle w:val="Normal"/>
        <w:spacing w:lineRule="exact" w:line="276" w:before="0" w:after="160"/>
        <w:rPr/>
      </w:pPr>
      <w:r>
        <w:rPr>
          <w:rFonts w:eastAsia="Calibri" w:cs="Calibri"/>
          <w:b/>
          <w:bCs/>
          <w:color w:val="1A2733"/>
          <w:sz w:val="21"/>
          <w:szCs w:val="21"/>
        </w:rPr>
        <w:t xml:space="preserve">Recommendation. </w:t>
      </w:r>
      <w:r>
        <w:rPr>
          <w:rFonts w:eastAsia="Calibri" w:cs="Calibri"/>
          <w:color w:val="1A2733"/>
          <w:sz w:val="21"/>
          <w:szCs w:val="21"/>
        </w:rPr>
        <w:t>Evaluate a hosted API first, since it removes the licensing question entirely and scales naturally with a growing number of subscribing tenants, with the 4B open-weight model held as a fallback if per-image cost or data-residency rules make hosted unworkable.</w:t>
      </w:r>
    </w:p>
    <w:p>
      <w:pPr>
        <w:pStyle w:val="Heading1"/>
        <w:pBdr>
          <w:bottom w:val="single" w:sz="8" w:space="4" w:color="1554A0"/>
        </w:pBdr>
        <w:spacing w:before="400" w:after="200"/>
        <w:rPr/>
      </w:pPr>
      <w:r>
        <w:rPr>
          <w:rFonts w:eastAsia="Calibri" w:cs="Calibri" w:ascii="Calibri" w:hAnsi="Calibri"/>
          <w:b/>
          <w:bCs/>
          <w:color w:val="1554A0"/>
          <w:sz w:val="28"/>
          <w:szCs w:val="28"/>
        </w:rPr>
        <w:t>13. Acceptance Criteria &amp; KPIs</w:t>
      </w:r>
    </w:p>
    <w:tbl>
      <w:tblPr>
        <w:tblW w:w="10000" w:type="dxa"/>
        <w:jc w:val="left"/>
        <w:tblInd w:w="0" w:type="dxa"/>
        <w:tblLayout w:type="fixed"/>
        <w:tblCellMar>
          <w:top w:w="100" w:type="dxa"/>
          <w:left w:w="120" w:type="dxa"/>
          <w:bottom w:w="100" w:type="dxa"/>
          <w:right w:w="120" w:type="dxa"/>
        </w:tblCellMar>
      </w:tblPr>
      <w:tblGrid>
        <w:gridCol w:w="2889"/>
        <w:gridCol w:w="2000"/>
        <w:gridCol w:w="5111"/>
      </w:tblGrid>
      <w:tr>
        <w:trPr>
          <w:tblHeader w:val="true"/>
        </w:trPr>
        <w:tc>
          <w:tcPr>
            <w:tcW w:w="288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Metric</w:t>
            </w:r>
          </w:p>
        </w:tc>
        <w:tc>
          <w:tcPr>
            <w:tcW w:w="20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Target</w:t>
            </w:r>
          </w:p>
        </w:tc>
        <w:tc>
          <w:tcPr>
            <w:tcW w:w="5111"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Position</w:t>
            </w:r>
          </w:p>
        </w:tc>
      </w:tr>
      <w:tr>
        <w:trPr/>
        <w:tc>
          <w:tcPr>
            <w:tcW w:w="288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Visual similarity (SSIM/LPIPS) between the extracted and placed jewellery</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 xml:space="preserve">≥ </w:t>
            </w:r>
            <w:r>
              <w:rPr>
                <w:rFonts w:eastAsia="Calibri" w:cs="Calibri"/>
                <w:color w:val="1A2733"/>
                <w:sz w:val="19"/>
                <w:szCs w:val="19"/>
              </w:rPr>
              <w:t>0.95</w:t>
            </w:r>
          </w:p>
        </w:tc>
        <w:tc>
          <w:tcPr>
            <w:tcW w:w="511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Measurement protocol must be defined first: region compared, alignment, resolution, baseline. Under Approach C the placed asset is the source asset, so a high score is structurally achievable.</w:t>
            </w:r>
          </w:p>
        </w:tc>
      </w:tr>
      <w:tr>
        <w:trPr/>
        <w:tc>
          <w:tcPr>
            <w:tcW w:w="288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Colour change against the source image</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 xml:space="preserve">≤ </w:t>
            </w:r>
            <w:r>
              <w:rPr>
                <w:rFonts w:eastAsia="Calibri" w:cs="Calibri"/>
                <w:color w:val="1A2733"/>
                <w:sz w:val="19"/>
                <w:szCs w:val="19"/>
              </w:rPr>
              <w:t>2 ΔE</w:t>
            </w:r>
          </w:p>
        </w:tc>
        <w:tc>
          <w:tcPr>
            <w:tcW w:w="511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Achievable under Approach C. Requires a defined colour space, sampling region, and controlled lighting assumptions.</w:t>
            </w:r>
          </w:p>
        </w:tc>
      </w:tr>
      <w:tr>
        <w:trPr/>
        <w:tc>
          <w:tcPr>
            <w:tcW w:w="288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Detection/placement success rate on real shopper or in-store photographs</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Not yet specified</w:t>
            </w:r>
          </w:p>
        </w:tc>
        <w:tc>
          <w:tcPr>
            <w:tcW w:w="511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Primary Phase 1 measure: proportion of sessions yielding a usable placement without a retry prompt, tracked separately for at-home and in-store capture.</w:t>
            </w:r>
          </w:p>
        </w:tc>
      </w:tr>
      <w:tr>
        <w:trPr/>
        <w:tc>
          <w:tcPr>
            <w:tcW w:w="288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Production acceptance rate — catalogue renders approved with no manual retouch</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 xml:space="preserve">≥ </w:t>
            </w:r>
            <w:r>
              <w:rPr>
                <w:rFonts w:eastAsia="Calibri" w:cs="Calibri"/>
                <w:color w:val="1A2733"/>
                <w:sz w:val="19"/>
                <w:szCs w:val="19"/>
              </w:rPr>
              <w:t>90%</w:t>
            </w:r>
          </w:p>
        </w:tc>
        <w:tc>
          <w:tcPr>
            <w:tcW w:w="511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Most meaningful commercially for the catalogue-preparation workflow; recommend as a primary acceptance gate for section 5.1.</w:t>
            </w:r>
          </w:p>
        </w:tc>
      </w:tr>
      <w:tr>
        <w:trPr/>
        <w:tc>
          <w:tcPr>
            <w:tcW w:w="288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Human A/B test, “indistinguishable from a real photograph”</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 xml:space="preserve">≥ </w:t>
            </w:r>
            <w:r>
              <w:rPr>
                <w:rFonts w:eastAsia="Calibri" w:cs="Calibri"/>
                <w:color w:val="1A2733"/>
                <w:sz w:val="19"/>
                <w:szCs w:val="19"/>
              </w:rPr>
              <w:t>80% of votes</w:t>
            </w:r>
          </w:p>
        </w:tc>
        <w:tc>
          <w:tcPr>
            <w:tcW w:w="511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Requires an agreed panel size, composition and viewing conditions before it becomes a contractual criterion; recommend tracking during pilot first.</w:t>
            </w:r>
          </w:p>
        </w:tc>
      </w:tr>
      <w:tr>
        <w:trPr/>
        <w:tc>
          <w:tcPr>
            <w:tcW w:w="288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Try-on completion rate and (Phase 2) try-on-to-add-to-cart rate</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Not yet specified</w:t>
            </w:r>
          </w:p>
        </w:tc>
        <w:tc>
          <w:tcPr>
            <w:tcW w:w="511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Business outcome measures, tracked per tenant against a control where possible.</w:t>
            </w:r>
          </w:p>
        </w:tc>
      </w:tr>
      <w:tr>
        <w:trPr/>
        <w:tc>
          <w:tcPr>
            <w:tcW w:w="288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Active subscribing tenants and session volume</w:t>
            </w:r>
          </w:p>
        </w:tc>
        <w:tc>
          <w:tcPr>
            <w:tcW w:w="20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Not yet specified</w:t>
            </w:r>
          </w:p>
        </w:tc>
        <w:tc>
          <w:tcPr>
            <w:tcW w:w="511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Commercial health metric for the subscription business, tracked in the admin dashboard.</w:t>
            </w:r>
          </w:p>
        </w:tc>
      </w:tr>
    </w:tbl>
    <w:p>
      <w:pPr>
        <w:pStyle w:val="Heading1"/>
        <w:pBdr>
          <w:bottom w:val="single" w:sz="8" w:space="4" w:color="1554A0"/>
        </w:pBdr>
        <w:spacing w:before="400" w:after="200"/>
        <w:rPr/>
      </w:pPr>
      <w:r>
        <w:rPr>
          <w:rFonts w:eastAsia="Calibri" w:cs="Calibri" w:ascii="Calibri" w:hAnsi="Calibri"/>
          <w:b/>
          <w:bCs/>
          <w:color w:val="1554A0"/>
          <w:sz w:val="28"/>
          <w:szCs w:val="28"/>
        </w:rPr>
        <w:t>14. Deliverables</w:t>
      </w:r>
    </w:p>
    <w:p>
      <w:pPr>
        <w:pStyle w:val="Heading2"/>
        <w:spacing w:before="260" w:after="120"/>
        <w:rPr/>
      </w:pPr>
      <w:r>
        <w:rPr>
          <w:rFonts w:eastAsia="Calibri" w:cs="Calibri" w:ascii="Calibri" w:hAnsi="Calibri"/>
          <w:b/>
          <w:bCs/>
          <w:color w:val="09A8D8"/>
          <w:sz w:val="24"/>
          <w:szCs w:val="24"/>
        </w:rPr>
        <w:t>Phase 1</w:t>
      </w:r>
    </w:p>
    <w:p>
      <w:pPr>
        <w:pStyle w:val="ListParagraph"/>
        <w:numPr>
          <w:ilvl w:val="0"/>
          <w:numId w:val="1"/>
        </w:numPr>
        <w:spacing w:lineRule="exact" w:line="270" w:before="0" w:after="100"/>
        <w:rPr/>
      </w:pPr>
      <w:r>
        <w:rPr>
          <w:rFonts w:eastAsia="Calibri" w:cs="Calibri"/>
          <w:color w:val="1A2733"/>
          <w:sz w:val="21"/>
          <w:szCs w:val="21"/>
        </w:rPr>
        <w:t>Working API covering segmentation (catalogue and on-the-spot capture), placement and GenAI render, with authentication and versioned endpoints.</w:t>
      </w:r>
    </w:p>
    <w:p>
      <w:pPr>
        <w:pStyle w:val="ListParagraph"/>
        <w:numPr>
          <w:ilvl w:val="0"/>
          <w:numId w:val="1"/>
        </w:numPr>
        <w:spacing w:lineRule="exact" w:line="270" w:before="0" w:after="100"/>
        <w:rPr/>
      </w:pPr>
      <w:r>
        <w:rPr>
          <w:rFonts w:eastAsia="Calibri" w:cs="Calibri"/>
          <w:color w:val="1A2733"/>
          <w:sz w:val="21"/>
          <w:szCs w:val="21"/>
        </w:rPr>
        <w:t>Try-on web application, including kiosk mode for in-store use.</w:t>
      </w:r>
    </w:p>
    <w:p>
      <w:pPr>
        <w:pStyle w:val="ListParagraph"/>
        <w:numPr>
          <w:ilvl w:val="0"/>
          <w:numId w:val="1"/>
        </w:numPr>
        <w:spacing w:lineRule="exact" w:line="270" w:before="0" w:after="100"/>
        <w:rPr/>
      </w:pPr>
      <w:r>
        <w:rPr>
          <w:rFonts w:eastAsia="Calibri" w:cs="Calibri"/>
          <w:color w:val="1A2733"/>
          <w:sz w:val="21"/>
          <w:szCs w:val="21"/>
        </w:rPr>
        <w:t>Brand/tenant admin portal: asset onboarding, capture review, subscription and entitlement management.</w:t>
      </w:r>
    </w:p>
    <w:p>
      <w:pPr>
        <w:pStyle w:val="ListParagraph"/>
        <w:numPr>
          <w:ilvl w:val="0"/>
          <w:numId w:val="1"/>
        </w:numPr>
        <w:spacing w:lineRule="exact" w:line="270" w:before="0" w:after="100"/>
        <w:rPr/>
      </w:pPr>
      <w:r>
        <w:rPr>
          <w:rFonts w:eastAsia="Calibri" w:cs="Calibri"/>
          <w:color w:val="1A2733"/>
          <w:sz w:val="21"/>
          <w:szCs w:val="21"/>
        </w:rPr>
        <w:t>Sample notebooks demonstrating each pipeline stage end to end.</w:t>
      </w:r>
    </w:p>
    <w:p>
      <w:pPr>
        <w:pStyle w:val="ListParagraph"/>
        <w:numPr>
          <w:ilvl w:val="0"/>
          <w:numId w:val="1"/>
        </w:numPr>
        <w:spacing w:lineRule="exact" w:line="270" w:before="0" w:after="100"/>
        <w:rPr/>
      </w:pPr>
      <w:r>
        <w:rPr>
          <w:rFonts w:eastAsia="Calibri" w:cs="Calibri"/>
          <w:color w:val="1A2733"/>
          <w:sz w:val="21"/>
          <w:szCs w:val="21"/>
        </w:rPr>
        <w:t>Reproducible environment specification — container images, dependency lock files, documented hardware requirements.</w:t>
      </w:r>
    </w:p>
    <w:p>
      <w:pPr>
        <w:pStyle w:val="ListParagraph"/>
        <w:numPr>
          <w:ilvl w:val="0"/>
          <w:numId w:val="1"/>
        </w:numPr>
        <w:spacing w:lineRule="exact" w:line="270" w:before="0" w:after="100"/>
        <w:rPr/>
      </w:pPr>
      <w:r>
        <w:rPr>
          <w:rFonts w:eastAsia="Calibri" w:cs="Calibri"/>
          <w:color w:val="1A2733"/>
          <w:sz w:val="21"/>
          <w:szCs w:val="21"/>
        </w:rPr>
        <w:t>Evaluation report against the agreed acceptance criteria in section 13.</w:t>
      </w:r>
    </w:p>
    <w:p>
      <w:pPr>
        <w:pStyle w:val="ListParagraph"/>
        <w:numPr>
          <w:ilvl w:val="0"/>
          <w:numId w:val="1"/>
        </w:numPr>
        <w:spacing w:lineRule="exact" w:line="270" w:before="0" w:after="100"/>
        <w:rPr/>
      </w:pPr>
      <w:r>
        <w:rPr>
          <w:rFonts w:eastAsia="Calibri" w:cs="Calibri"/>
          <w:color w:val="1A2733"/>
          <w:sz w:val="21"/>
          <w:szCs w:val="21"/>
        </w:rPr>
        <w:t>Deployment and operations runbook, including cost-per-render monitoring.</w:t>
      </w:r>
    </w:p>
    <w:p>
      <w:pPr>
        <w:pStyle w:val="ListParagraph"/>
        <w:numPr>
          <w:ilvl w:val="0"/>
          <w:numId w:val="1"/>
        </w:numPr>
        <w:spacing w:lineRule="exact" w:line="270" w:before="0" w:after="100"/>
        <w:rPr/>
      </w:pPr>
      <w:r>
        <w:rPr>
          <w:rFonts w:eastAsia="Calibri" w:cs="Calibri"/>
          <w:color w:val="1A2733"/>
          <w:sz w:val="21"/>
          <w:szCs w:val="21"/>
        </w:rPr>
        <w:t>Automated tenant provisioning: domain onboarding, template-based site generation, branding configuration, and default model-library activation.</w:t>
      </w:r>
    </w:p>
    <w:p>
      <w:pPr>
        <w:pStyle w:val="Heading2"/>
        <w:spacing w:before="260" w:after="120"/>
        <w:rPr/>
      </w:pPr>
      <w:r>
        <w:rPr>
          <w:rFonts w:eastAsia="Calibri" w:cs="Calibri" w:ascii="Calibri" w:hAnsi="Calibri"/>
          <w:b/>
          <w:bCs/>
          <w:color w:val="09A8D8"/>
          <w:sz w:val="24"/>
          <w:szCs w:val="24"/>
        </w:rPr>
        <w:t>Phase 2</w:t>
      </w:r>
    </w:p>
    <w:p>
      <w:pPr>
        <w:pStyle w:val="ListParagraph"/>
        <w:numPr>
          <w:ilvl w:val="0"/>
          <w:numId w:val="1"/>
        </w:numPr>
        <w:spacing w:lineRule="exact" w:line="270" w:before="0" w:after="100"/>
        <w:rPr/>
      </w:pPr>
      <w:r>
        <w:rPr>
          <w:rFonts w:eastAsia="Calibri" w:cs="Calibri"/>
          <w:color w:val="1A2733"/>
          <w:sz w:val="21"/>
          <w:szCs w:val="21"/>
        </w:rPr>
        <w:t>Shopify plugin and per-merchant integration guide.</w:t>
      </w:r>
    </w:p>
    <w:p>
      <w:pPr>
        <w:pStyle w:val="ListParagraph"/>
        <w:numPr>
          <w:ilvl w:val="0"/>
          <w:numId w:val="1"/>
        </w:numPr>
        <w:spacing w:lineRule="exact" w:line="270" w:before="0" w:after="100"/>
        <w:rPr/>
      </w:pPr>
      <w:r>
        <w:rPr>
          <w:rFonts w:eastAsia="Calibri" w:cs="Calibri"/>
          <w:color w:val="1A2733"/>
          <w:sz w:val="21"/>
          <w:szCs w:val="21"/>
        </w:rPr>
        <w:t>Plugin framework designed for extension to additional e-commerce platforms.</w:t>
      </w:r>
    </w:p>
    <w:p>
      <w:pPr>
        <w:pStyle w:val="ListParagraph"/>
        <w:numPr>
          <w:ilvl w:val="0"/>
          <w:numId w:val="1"/>
        </w:numPr>
        <w:spacing w:lineRule="exact" w:line="270" w:before="0" w:after="100"/>
        <w:rPr/>
      </w:pPr>
      <w:r>
        <w:rPr>
          <w:rFonts w:eastAsia="Calibri" w:cs="Calibri"/>
          <w:color w:val="1A2733"/>
          <w:sz w:val="21"/>
          <w:szCs w:val="21"/>
        </w:rPr>
        <w:t>Storefront cart/checkout integration against the Storefront API.</w:t>
      </w:r>
    </w:p>
    <w:p>
      <w:pPr>
        <w:pStyle w:val="Heading1"/>
        <w:pBdr>
          <w:bottom w:val="single" w:sz="8" w:space="4" w:color="1554A0"/>
        </w:pBdr>
        <w:spacing w:before="400" w:after="200"/>
        <w:rPr/>
      </w:pPr>
      <w:r>
        <w:rPr>
          <w:rFonts w:eastAsia="Calibri" w:cs="Calibri" w:ascii="Calibri" w:hAnsi="Calibri"/>
          <w:b/>
          <w:bCs/>
          <w:color w:val="1554A0"/>
          <w:sz w:val="28"/>
          <w:szCs w:val="28"/>
        </w:rPr>
        <w:t>15. Assumptions</w:t>
      </w:r>
    </w:p>
    <w:p>
      <w:pPr>
        <w:pStyle w:val="ListParagraph"/>
        <w:numPr>
          <w:ilvl w:val="0"/>
          <w:numId w:val="1"/>
        </w:numPr>
        <w:spacing w:lineRule="exact" w:line="270" w:before="0" w:after="100"/>
        <w:rPr/>
      </w:pPr>
      <w:r>
        <w:rPr>
          <w:rFonts w:eastAsia="Calibri" w:cs="Calibri"/>
          <w:color w:val="1A2733"/>
          <w:sz w:val="21"/>
          <w:szCs w:val="21"/>
        </w:rPr>
        <w:t>Subscribing brands supply studio product photographs of sufficient quality for catalogue assets where they choose to pre-build a catalogue.</w:t>
      </w:r>
    </w:p>
    <w:p>
      <w:pPr>
        <w:pStyle w:val="ListParagraph"/>
        <w:numPr>
          <w:ilvl w:val="0"/>
          <w:numId w:val="1"/>
        </w:numPr>
        <w:spacing w:lineRule="exact" w:line="270" w:before="0" w:after="100"/>
        <w:rPr/>
      </w:pPr>
      <w:r>
        <w:rPr>
          <w:rFonts w:eastAsia="Calibri" w:cs="Calibri"/>
          <w:color w:val="1A2733"/>
          <w:sz w:val="21"/>
          <w:szCs w:val="21"/>
        </w:rPr>
        <w:t>Subscribing brands/stores provide the kiosk device, tablet and camera for in-store use; the platform runs as a web application on it.</w:t>
      </w:r>
    </w:p>
    <w:p>
      <w:pPr>
        <w:pStyle w:val="ListParagraph"/>
        <w:numPr>
          <w:ilvl w:val="0"/>
          <w:numId w:val="1"/>
        </w:numPr>
        <w:spacing w:lineRule="exact" w:line="270" w:before="0" w:after="100"/>
        <w:rPr/>
      </w:pPr>
      <w:r>
        <w:rPr>
          <w:rFonts w:eastAsia="Calibri" w:cs="Calibri"/>
          <w:color w:val="1A2733"/>
          <w:sz w:val="21"/>
          <w:szCs w:val="21"/>
        </w:rPr>
        <w:t>A named reviewer per tenant is available to approve on-the-spot captures intended for catalogue reuse, within an agreed turnaround.</w:t>
      </w:r>
    </w:p>
    <w:p>
      <w:pPr>
        <w:pStyle w:val="ListParagraph"/>
        <w:numPr>
          <w:ilvl w:val="0"/>
          <w:numId w:val="1"/>
        </w:numPr>
        <w:spacing w:lineRule="exact" w:line="270" w:before="0" w:after="100"/>
        <w:rPr/>
      </w:pPr>
      <w:r>
        <w:rPr>
          <w:rFonts w:eastAsia="Calibri" w:cs="Calibri"/>
          <w:color w:val="1A2733"/>
          <w:sz w:val="21"/>
          <w:szCs w:val="21"/>
        </w:rPr>
        <w:t>Subscription/payment terms and collection mechanism are agreed and executed outside this system; the platform only reflects entitlement status.</w:t>
      </w:r>
    </w:p>
    <w:p>
      <w:pPr>
        <w:pStyle w:val="ListParagraph"/>
        <w:numPr>
          <w:ilvl w:val="0"/>
          <w:numId w:val="1"/>
        </w:numPr>
        <w:spacing w:lineRule="exact" w:line="270" w:before="0" w:after="100"/>
        <w:rPr/>
      </w:pPr>
      <w:r>
        <w:rPr>
          <w:rFonts w:eastAsia="Calibri" w:cs="Calibri"/>
          <w:color w:val="1A2733"/>
          <w:sz w:val="21"/>
          <w:szCs w:val="21"/>
        </w:rPr>
        <w:t>Shopper-facing terms of use and privacy notice are provided or approved by each tenant's legal function.</w:t>
      </w:r>
    </w:p>
    <w:p>
      <w:pPr>
        <w:pStyle w:val="ListParagraph"/>
        <w:numPr>
          <w:ilvl w:val="0"/>
          <w:numId w:val="1"/>
        </w:numPr>
        <w:spacing w:lineRule="exact" w:line="270" w:before="0" w:after="100"/>
        <w:rPr/>
      </w:pPr>
      <w:r>
        <w:rPr>
          <w:rFonts w:eastAsia="Calibri" w:cs="Calibri"/>
          <w:color w:val="1A2733"/>
          <w:sz w:val="21"/>
          <w:szCs w:val="21"/>
        </w:rPr>
        <w:t>Model licensing or hosted API subscription costs are borne by SkyAI/the client relationship and are outside the development fee.</w:t>
      </w:r>
    </w:p>
    <w:p>
      <w:pPr>
        <w:pStyle w:val="ListParagraph"/>
        <w:numPr>
          <w:ilvl w:val="0"/>
          <w:numId w:val="1"/>
        </w:numPr>
        <w:spacing w:lineRule="exact" w:line="270" w:before="0" w:after="100"/>
        <w:rPr/>
      </w:pPr>
      <w:r>
        <w:rPr>
          <w:rFonts w:eastAsia="Calibri" w:cs="Calibri"/>
          <w:color w:val="1A2733"/>
          <w:sz w:val="21"/>
          <w:szCs w:val="21"/>
        </w:rPr>
        <w:t>(Phase 2) Merchant Shopify stores grant Storefront API access and permit theme modification.</w:t>
      </w:r>
    </w:p>
    <w:p>
      <w:pPr>
        <w:pStyle w:val="ListParagraph"/>
        <w:numPr>
          <w:ilvl w:val="0"/>
          <w:numId w:val="1"/>
        </w:numPr>
        <w:spacing w:lineRule="exact" w:line="270" w:before="0" w:after="100"/>
        <w:rPr/>
      </w:pPr>
      <w:r>
        <w:rPr>
          <w:rFonts w:eastAsia="Calibri" w:cs="Calibri"/>
          <w:color w:val="1A2733"/>
          <w:sz w:val="21"/>
          <w:szCs w:val="21"/>
        </w:rPr>
        <w:t>Tenants point their chosen domain or subdomain at the platform with a DNS record. SkyAI does not purchase or register domains on a tenant’s behalf unless separately agreed.</w:t>
      </w:r>
    </w:p>
    <w:p>
      <w:pPr>
        <w:pStyle w:val="Heading1"/>
        <w:pBdr>
          <w:bottom w:val="single" w:sz="8" w:space="4" w:color="1554A0"/>
        </w:pBdr>
        <w:spacing w:before="400" w:after="200"/>
        <w:rPr/>
      </w:pPr>
      <w:r>
        <w:rPr>
          <w:rFonts w:eastAsia="Calibri" w:cs="Calibri" w:ascii="Calibri" w:hAnsi="Calibri"/>
          <w:b/>
          <w:bCs/>
          <w:color w:val="1554A0"/>
          <w:sz w:val="28"/>
          <w:szCs w:val="28"/>
        </w:rPr>
        <w:t>16. Out of Scope</w:t>
      </w:r>
    </w:p>
    <w:p>
      <w:pPr>
        <w:pStyle w:val="ListParagraph"/>
        <w:numPr>
          <w:ilvl w:val="0"/>
          <w:numId w:val="1"/>
        </w:numPr>
        <w:spacing w:lineRule="exact" w:line="270" w:before="0" w:after="100"/>
        <w:rPr/>
      </w:pPr>
      <w:r>
        <w:rPr>
          <w:rFonts w:eastAsia="Calibri" w:cs="Calibri"/>
          <w:color w:val="1A2733"/>
          <w:sz w:val="21"/>
          <w:szCs w:val="21"/>
        </w:rPr>
        <w:t>Real-time or live-camera AR try-on; all rendering is on still images.</w:t>
      </w:r>
    </w:p>
    <w:p>
      <w:pPr>
        <w:pStyle w:val="ListParagraph"/>
        <w:numPr>
          <w:ilvl w:val="0"/>
          <w:numId w:val="1"/>
        </w:numPr>
        <w:spacing w:lineRule="exact" w:line="270" w:before="0" w:after="100"/>
        <w:rPr/>
      </w:pPr>
      <w:r>
        <w:rPr>
          <w:rFonts w:eastAsia="Calibri" w:cs="Calibri"/>
          <w:color w:val="1A2733"/>
          <w:sz w:val="21"/>
          <w:szCs w:val="21"/>
        </w:rPr>
        <w:t>Video output.</w:t>
      </w:r>
    </w:p>
    <w:p>
      <w:pPr>
        <w:pStyle w:val="ListParagraph"/>
        <w:numPr>
          <w:ilvl w:val="0"/>
          <w:numId w:val="1"/>
        </w:numPr>
        <w:spacing w:lineRule="exact" w:line="270" w:before="0" w:after="100"/>
        <w:rPr/>
      </w:pPr>
      <w:r>
        <w:rPr>
          <w:rFonts w:eastAsia="Calibri" w:cs="Calibri"/>
          <w:color w:val="1A2733"/>
          <w:sz w:val="21"/>
          <w:szCs w:val="21"/>
        </w:rPr>
        <w:t>Removal of jewellery the subject is already wearing at the target anchor point.</w:t>
      </w:r>
    </w:p>
    <w:p>
      <w:pPr>
        <w:pStyle w:val="ListParagraph"/>
        <w:numPr>
          <w:ilvl w:val="0"/>
          <w:numId w:val="1"/>
        </w:numPr>
        <w:spacing w:lineRule="exact" w:line="270" w:before="0" w:after="100"/>
        <w:rPr/>
      </w:pPr>
      <w:r>
        <w:rPr>
          <w:rFonts w:eastAsia="Calibri" w:cs="Calibri"/>
          <w:color w:val="1A2733"/>
          <w:sz w:val="21"/>
          <w:szCs w:val="21"/>
        </w:rPr>
        <w:t>Full-body garment or apparel try-on.</w:t>
      </w:r>
    </w:p>
    <w:p>
      <w:pPr>
        <w:pStyle w:val="ListParagraph"/>
        <w:numPr>
          <w:ilvl w:val="0"/>
          <w:numId w:val="1"/>
        </w:numPr>
        <w:spacing w:lineRule="exact" w:line="270" w:before="0" w:after="100"/>
        <w:rPr/>
      </w:pPr>
      <w:r>
        <w:rPr>
          <w:rFonts w:eastAsia="Calibri" w:cs="Calibri"/>
          <w:color w:val="1A2733"/>
          <w:sz w:val="21"/>
          <w:szCs w:val="21"/>
        </w:rPr>
        <w:t>Payment gateway integration and billing/invoicing logic — subscription payment is collected outside the system.</w:t>
      </w:r>
    </w:p>
    <w:p>
      <w:pPr>
        <w:pStyle w:val="ListParagraph"/>
        <w:numPr>
          <w:ilvl w:val="0"/>
          <w:numId w:val="1"/>
        </w:numPr>
        <w:spacing w:lineRule="exact" w:line="270" w:before="0" w:after="100"/>
        <w:rPr/>
      </w:pPr>
      <w:r>
        <w:rPr>
          <w:rFonts w:eastAsia="Calibri" w:cs="Calibri"/>
          <w:color w:val="1A2733"/>
          <w:sz w:val="21"/>
          <w:szCs w:val="21"/>
        </w:rPr>
        <w:t>Provisioning of in-store kiosk hardware (tablets, cameras, stands).</w:t>
      </w:r>
    </w:p>
    <w:p>
      <w:pPr>
        <w:pStyle w:val="ListParagraph"/>
        <w:numPr>
          <w:ilvl w:val="0"/>
          <w:numId w:val="1"/>
        </w:numPr>
        <w:spacing w:lineRule="exact" w:line="270" w:before="0" w:after="100"/>
        <w:rPr/>
      </w:pPr>
      <w:r>
        <w:rPr>
          <w:rFonts w:eastAsia="Calibri" w:cs="Calibri"/>
          <w:color w:val="1A2733"/>
          <w:sz w:val="21"/>
          <w:szCs w:val="21"/>
        </w:rPr>
        <w:t>Shopify App Store public listing, submission and review (Phase 2 ships as a managed/private integration first).</w:t>
      </w:r>
    </w:p>
    <w:p>
      <w:pPr>
        <w:pStyle w:val="ListParagraph"/>
        <w:numPr>
          <w:ilvl w:val="0"/>
          <w:numId w:val="1"/>
        </w:numPr>
        <w:spacing w:lineRule="exact" w:line="270" w:before="0" w:after="100"/>
        <w:rPr/>
      </w:pPr>
      <w:r>
        <w:rPr>
          <w:rFonts w:eastAsia="Calibri" w:cs="Calibri"/>
          <w:color w:val="1A2733"/>
          <w:sz w:val="21"/>
          <w:szCs w:val="21"/>
        </w:rPr>
        <w:t>Physical sizing recommendation — ring or bangle size determination from a photograph.</w:t>
      </w:r>
    </w:p>
    <w:p>
      <w:pPr>
        <w:pStyle w:val="ListParagraph"/>
        <w:numPr>
          <w:ilvl w:val="0"/>
          <w:numId w:val="1"/>
        </w:numPr>
        <w:spacing w:lineRule="exact" w:line="270" w:before="0" w:after="100"/>
        <w:rPr/>
      </w:pPr>
      <w:r>
        <w:rPr>
          <w:rFonts w:eastAsia="Calibri" w:cs="Calibri"/>
          <w:color w:val="1A2733"/>
          <w:sz w:val="21"/>
          <w:szCs w:val="21"/>
        </w:rPr>
        <w:t>Native iOS or Android applications.</w:t>
      </w:r>
    </w:p>
    <w:p>
      <w:pPr>
        <w:pStyle w:val="ListParagraph"/>
        <w:numPr>
          <w:ilvl w:val="0"/>
          <w:numId w:val="1"/>
        </w:numPr>
        <w:spacing w:lineRule="exact" w:line="270" w:before="0" w:after="100"/>
        <w:rPr/>
      </w:pPr>
      <w:r>
        <w:rPr>
          <w:rFonts w:eastAsia="Calibri" w:cs="Calibri"/>
          <w:color w:val="1A2733"/>
          <w:sz w:val="21"/>
          <w:szCs w:val="21"/>
        </w:rPr>
        <w:t>Migration of a tenant’s existing website or storefront onto the platform domain.</w:t>
      </w:r>
    </w:p>
    <w:p>
      <w:pPr>
        <w:pStyle w:val="ListParagraph"/>
        <w:numPr>
          <w:ilvl w:val="0"/>
          <w:numId w:val="1"/>
        </w:numPr>
        <w:spacing w:lineRule="exact" w:line="270" w:before="0" w:after="100"/>
        <w:rPr/>
      </w:pPr>
      <w:r>
        <w:rPr>
          <w:rFonts w:eastAsia="Calibri" w:cs="Calibri"/>
          <w:color w:val="1A2733"/>
          <w:sz w:val="21"/>
          <w:szCs w:val="21"/>
        </w:rPr>
        <w:t>Domain registration and ongoing DNS administration on a tenant’s behalf.</w:t>
      </w:r>
    </w:p>
    <w:p>
      <w:pPr>
        <w:pStyle w:val="Heading1"/>
        <w:pBdr>
          <w:bottom w:val="single" w:sz="8" w:space="4" w:color="1554A0"/>
        </w:pBdr>
        <w:spacing w:before="400" w:after="200"/>
        <w:rPr/>
      </w:pPr>
      <w:r>
        <w:rPr>
          <w:rFonts w:eastAsia="Calibri" w:cs="Calibri" w:ascii="Calibri" w:hAnsi="Calibri"/>
          <w:b/>
          <w:bCs/>
          <w:color w:val="1554A0"/>
          <w:sz w:val="28"/>
          <w:szCs w:val="28"/>
        </w:rPr>
        <w:t>17. Dependencies</w:t>
      </w:r>
    </w:p>
    <w:p>
      <w:pPr>
        <w:pStyle w:val="ListParagraph"/>
        <w:numPr>
          <w:ilvl w:val="0"/>
          <w:numId w:val="1"/>
        </w:numPr>
        <w:spacing w:lineRule="exact" w:line="270" w:before="0" w:after="100"/>
        <w:rPr/>
      </w:pPr>
      <w:r>
        <w:rPr>
          <w:rFonts w:eastAsia="Calibri" w:cs="Calibri"/>
          <w:color w:val="1A2733"/>
          <w:sz w:val="21"/>
          <w:szCs w:val="21"/>
        </w:rPr>
        <w:t>Confirmation that no deterministic/simple-overlay rendering path is required anywhere — already directed, recorded here for traceability.</w:t>
      </w:r>
    </w:p>
    <w:p>
      <w:pPr>
        <w:pStyle w:val="ListParagraph"/>
        <w:numPr>
          <w:ilvl w:val="0"/>
          <w:numId w:val="1"/>
        </w:numPr>
        <w:spacing w:lineRule="exact" w:line="270" w:before="0" w:after="100"/>
        <w:rPr/>
      </w:pPr>
      <w:r>
        <w:rPr>
          <w:rFonts w:eastAsia="Calibri" w:cs="Calibri"/>
          <w:color w:val="1A2733"/>
          <w:sz w:val="21"/>
          <w:szCs w:val="21"/>
        </w:rPr>
        <w:t>Client decision on model licensing route in section 12.</w:t>
      </w:r>
    </w:p>
    <w:p>
      <w:pPr>
        <w:pStyle w:val="ListParagraph"/>
        <w:numPr>
          <w:ilvl w:val="0"/>
          <w:numId w:val="1"/>
        </w:numPr>
        <w:spacing w:lineRule="exact" w:line="270" w:before="0" w:after="100"/>
        <w:rPr/>
      </w:pPr>
      <w:r>
        <w:rPr>
          <w:rFonts w:eastAsia="Calibri" w:cs="Calibri"/>
          <w:color w:val="1A2733"/>
          <w:sz w:val="21"/>
          <w:szCs w:val="21"/>
        </w:rPr>
        <w:t>Agreement on acceptance criteria and measurement protocol in section 13.</w:t>
      </w:r>
    </w:p>
    <w:p>
      <w:pPr>
        <w:pStyle w:val="ListParagraph"/>
        <w:numPr>
          <w:ilvl w:val="0"/>
          <w:numId w:val="1"/>
        </w:numPr>
        <w:spacing w:lineRule="exact" w:line="270" w:before="0" w:after="100"/>
        <w:rPr/>
      </w:pPr>
      <w:r>
        <w:rPr>
          <w:rFonts w:eastAsia="Calibri" w:cs="Calibri"/>
          <w:color w:val="1A2733"/>
          <w:sz w:val="21"/>
          <w:szCs w:val="21"/>
        </w:rPr>
        <w:t>Subscription pricing tiers and entitlement rules agreed before the admin portal's plan logic is finalised.</w:t>
      </w:r>
    </w:p>
    <w:p>
      <w:pPr>
        <w:pStyle w:val="ListParagraph"/>
        <w:numPr>
          <w:ilvl w:val="0"/>
          <w:numId w:val="1"/>
        </w:numPr>
        <w:spacing w:lineRule="exact" w:line="270" w:before="0" w:after="100"/>
        <w:rPr/>
      </w:pPr>
      <w:r>
        <w:rPr>
          <w:rFonts w:eastAsia="Calibri" w:cs="Calibri"/>
          <w:color w:val="1A2733"/>
          <w:sz w:val="21"/>
          <w:szCs w:val="21"/>
        </w:rPr>
        <w:t>Legal sign-off on the consent, retention and cross-border positions in section 9, per tenant.</w:t>
      </w:r>
    </w:p>
    <w:p>
      <w:pPr>
        <w:pStyle w:val="ListParagraph"/>
        <w:numPr>
          <w:ilvl w:val="0"/>
          <w:numId w:val="1"/>
        </w:numPr>
        <w:spacing w:lineRule="exact" w:line="270" w:before="0" w:after="100"/>
        <w:rPr/>
      </w:pPr>
      <w:r>
        <w:rPr>
          <w:rFonts w:eastAsia="Calibri" w:cs="Calibri"/>
          <w:color w:val="1A2733"/>
          <w:sz w:val="21"/>
          <w:szCs w:val="21"/>
        </w:rPr>
        <w:t>(Phase 2) Shopify Storefront API version selection and per-merchant credentials.</w:t>
      </w:r>
    </w:p>
    <w:p>
      <w:pPr>
        <w:pStyle w:val="ListParagraph"/>
        <w:numPr>
          <w:ilvl w:val="0"/>
          <w:numId w:val="1"/>
        </w:numPr>
        <w:spacing w:lineRule="exact" w:line="270" w:before="0" w:after="100"/>
        <w:rPr/>
      </w:pPr>
      <w:r>
        <w:rPr>
          <w:rFonts w:eastAsia="Calibri" w:cs="Calibri"/>
          <w:color w:val="1A2733"/>
          <w:sz w:val="21"/>
          <w:szCs w:val="21"/>
        </w:rPr>
        <w:t>GPU capacity or hosted API quota provisioned ahead of pilot, sized for expected tenant count.</w:t>
      </w:r>
    </w:p>
    <w:p>
      <w:pPr>
        <w:pStyle w:val="Heading1"/>
        <w:pBdr>
          <w:bottom w:val="single" w:sz="8" w:space="4" w:color="1554A0"/>
        </w:pBdr>
        <w:spacing w:before="400" w:after="200"/>
        <w:rPr/>
      </w:pPr>
      <w:r>
        <w:rPr>
          <w:rFonts w:eastAsia="Calibri" w:cs="Calibri" w:ascii="Calibri" w:hAnsi="Calibri"/>
          <w:b/>
          <w:bCs/>
          <w:color w:val="1554A0"/>
          <w:sz w:val="28"/>
          <w:szCs w:val="28"/>
        </w:rPr>
        <w:t>18. Risks &amp; Mitigations</w:t>
      </w:r>
    </w:p>
    <w:tbl>
      <w:tblPr>
        <w:tblW w:w="10000" w:type="dxa"/>
        <w:jc w:val="left"/>
        <w:tblInd w:w="0" w:type="dxa"/>
        <w:tblLayout w:type="fixed"/>
        <w:tblCellMar>
          <w:top w:w="100" w:type="dxa"/>
          <w:left w:w="120" w:type="dxa"/>
          <w:bottom w:w="100" w:type="dxa"/>
          <w:right w:w="120" w:type="dxa"/>
        </w:tblCellMar>
      </w:tblPr>
      <w:tblGrid>
        <w:gridCol w:w="3404"/>
        <w:gridCol w:w="1915"/>
        <w:gridCol w:w="4681"/>
      </w:tblGrid>
      <w:tr>
        <w:trPr>
          <w:tblHeader w:val="true"/>
        </w:trPr>
        <w:tc>
          <w:tcPr>
            <w:tcW w:w="3404"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Risk</w:t>
            </w:r>
          </w:p>
        </w:tc>
        <w:tc>
          <w:tcPr>
            <w:tcW w:w="1915"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Impact</w:t>
            </w:r>
          </w:p>
        </w:tc>
        <w:tc>
          <w:tcPr>
            <w:tcW w:w="4681"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Mitigation</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Generative rendering alters gem cut, filigree or hallmark, breaching the fidelity constraint</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High — output unusable as try-on or product imagery</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Adopt Approach C so the piece is composited with GenAI-driven scene/lighting rather than fully regenerated; bound the harmonisation pass and test that bound explicitly</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On-the-spot capture under variable in-store lighting reduces segmentation quality</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Medium — poor first impression at the counter</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Guided capture instructions on the kiosk; immediate visual feedback before proceeding; fallback to a catalogue asset if one already exists for the piece</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Model licence blocks commercial deployment late in the project</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High — launch delay or forced rebuild</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Resolve section 12 before build; validate fidelity on the licensed model early, not on the prototype model</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Per-render GPU cost makes the subscription uneconomic at scale</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Medium to high</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Pre-generate and cache preset-model combinations; measure cost per render from the first sprint; set a live-inference budget per session and per tenant tier</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Cross-tenant data leakage (one brand's captures or catalogue visible to another)</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High — breach of trust and contract</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Strict per-tenant isolation in storage and backend; tested as part of the multi-tenancy acceptance criteria</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Anchor detection fails on real shopper/in-store photographs at higher rates than on curated ones</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Medium — poor first experience</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Preset model fallback; confidence threshold tuned on a real upload/capture sample; measure detection success rate as a tracked metric</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Privacy or consent gap surfaces after launch, especially for in-store capture of a third party's likeness</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High — regulatory and reputational</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Section 9 agreed with legal per tenant before build; retention automated rather than procedural</w:t>
            </w:r>
          </w:p>
        </w:tc>
      </w:tr>
      <w:tr>
        <w:trPr/>
        <w:tc>
          <w:tcPr>
            <w:tcW w:w="3404"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(Phase 2) Shopify Storefront API version deprecation</w:t>
            </w:r>
          </w:p>
        </w:tc>
        <w:tc>
          <w:tcPr>
            <w:tcW w:w="191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Medium — silent breakage</w:t>
            </w:r>
          </w:p>
        </w:tc>
        <w:tc>
          <w:tcPr>
            <w:tcW w:w="4681"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Pin an explicit version; track the deprecation calendar; scheduled upgrade window in the support agreement</w:t>
            </w:r>
          </w:p>
        </w:tc>
      </w:tr>
    </w:tbl>
    <w:p>
      <w:pPr>
        <w:pStyle w:val="Heading1"/>
        <w:pBdr>
          <w:bottom w:val="single" w:sz="8" w:space="4" w:color="1554A0"/>
        </w:pBdr>
        <w:spacing w:before="400" w:after="200"/>
        <w:rPr/>
      </w:pPr>
      <w:r>
        <w:rPr>
          <w:rFonts w:eastAsia="Calibri" w:cs="Calibri" w:ascii="Calibri" w:hAnsi="Calibri"/>
          <w:b/>
          <w:bCs/>
          <w:color w:val="1554A0"/>
          <w:sz w:val="28"/>
          <w:szCs w:val="28"/>
        </w:rPr>
        <w:t>19. Open Questions</w:t>
      </w:r>
    </w:p>
    <w:tbl>
      <w:tblPr>
        <w:tblW w:w="10035" w:type="dxa"/>
        <w:jc w:val="left"/>
        <w:tblInd w:w="0" w:type="dxa"/>
        <w:tblLayout w:type="fixed"/>
        <w:tblCellMar>
          <w:top w:w="100" w:type="dxa"/>
          <w:left w:w="120" w:type="dxa"/>
          <w:bottom w:w="100" w:type="dxa"/>
          <w:right w:w="120" w:type="dxa"/>
        </w:tblCellMar>
      </w:tblPr>
      <w:tblGrid>
        <w:gridCol w:w="800"/>
        <w:gridCol w:w="6300"/>
        <w:gridCol w:w="2935"/>
      </w:tblGrid>
      <w:tr>
        <w:trPr>
          <w:tblHeader w:val="true"/>
        </w:trPr>
        <w:tc>
          <w:tcPr>
            <w:tcW w:w="8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w:t>
            </w:r>
          </w:p>
        </w:tc>
        <w:tc>
          <w:tcPr>
            <w:tcW w:w="63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Question</w:t>
            </w:r>
          </w:p>
        </w:tc>
        <w:tc>
          <w:tcPr>
            <w:tcW w:w="2935"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Blocks</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Q1</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What subscription tiers/pricing are planned (usage caps, kiosk seats, catalogue size) so the entitlement model can be designed?</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Section 7, backend design</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Q2</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Is a hosted model API or a self-hosted open-weight model preferred? Are there data-residency constraints on shopper photographs?</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Sections 9, 11, 12</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Q3</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How many launch brands/stores are targeted, and how many are in-store (kiosk) vs. online-only?</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Multi-tenancy and onboarding effort</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Q4</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Should on-the-spot captures be retained in the tenant's catalogue by default, or session-only unless explicitly saved?</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Section 5.1, storage sizing</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Q5</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What is the target output resolution for shareable/downloadable images?</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Section 8, cost model</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Q6</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Which jewellery categories are in scope for launch, from the nine listed in section 6?</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Scope and effort</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Q7</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Is a per-tenant payment/entitlement webhook needed from the external billing system, or is entitlement updated manually?</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Section 7, backend integration</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Q8</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Which e-commerce platform(s) beyond Shopify are targeted for Phase 2, and on what timeline?</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Section 5.7, phasing</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Q9</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Who is the named reviewer for on-the-spot capture approvals per tenant, and what turnaround can be committed?</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Acceptance process</w:t>
            </w:r>
          </w:p>
        </w:tc>
      </w:tr>
      <w:tr>
        <w:trPr/>
        <w:tc>
          <w:tcPr>
            <w:tcW w:w="8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Q10</w:t>
            </w:r>
          </w:p>
        </w:tc>
        <w:tc>
          <w:tcPr>
            <w:tcW w:w="63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Is each tenant's legal function available to confirm the section 9 positions before build starts?</w:t>
            </w:r>
          </w:p>
        </w:tc>
        <w:tc>
          <w:tcPr>
            <w:tcW w:w="2935"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Compliance and launch date</w:t>
            </w:r>
          </w:p>
        </w:tc>
      </w:tr>
      <w:tr>
        <w:trPr/>
        <w:tc>
          <w:tcPr>
            <w:tcW w:w="800"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Q11</w:t>
            </w:r>
          </w:p>
        </w:tc>
        <w:tc>
          <w:tcPr>
            <w:tcW w:w="6300"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Should a single session support placing multiple pieces on one portrait simultaneously, or is one piece per render acceptable for launch?</w:t>
            </w:r>
          </w:p>
        </w:tc>
        <w:tc>
          <w:tcPr>
            <w:tcW w:w="2935"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Functionality, section 5.2</w:t>
            </w:r>
          </w:p>
        </w:tc>
      </w:tr>
      <w:tr>
        <w:trPr/>
        <w:tc>
          <w:tcPr>
            <w:tcW w:w="800"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Q12</w:t>
            </w:r>
          </w:p>
        </w:tc>
        <w:tc>
          <w:tcPr>
            <w:tcW w:w="6300"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Who registers and owns each tenant’s domain — SkyAI or the brand — and who is responsible for DNS records and renewals?</w:t>
            </w:r>
          </w:p>
        </w:tc>
        <w:tc>
          <w:tcPr>
            <w:tcW w:w="2935"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Section 5.8, onboarding</w:t>
            </w:r>
          </w:p>
        </w:tc>
      </w:tr>
      <w:tr>
        <w:trPr/>
        <w:tc>
          <w:tcPr>
            <w:tcW w:w="800"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Q13</w:t>
            </w:r>
          </w:p>
        </w:tc>
        <w:tc>
          <w:tcPr>
            <w:tcW w:w="6300"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How many default models per category should the launch library carry, and who approves them?</w:t>
            </w:r>
          </w:p>
        </w:tc>
        <w:tc>
          <w:tcPr>
            <w:tcW w:w="2935" w:type="dxa"/>
            <w:tcBorders>
              <w:left w:val="single" w:sz="4" w:space="0" w:color="D0DAE6"/>
              <w:bottom w:val="single" w:sz="4" w:space="0" w:color="D0DAE6"/>
              <w:right w:val="single" w:sz="4" w:space="0" w:color="D0DAE6"/>
            </w:tcBorders>
          </w:tcPr>
          <w:p>
            <w:pPr>
              <w:pStyle w:val="Normal"/>
              <w:widowControl w:val="false"/>
              <w:rPr>
                <w:color w:val="C9211E"/>
              </w:rPr>
            </w:pPr>
            <w:r>
              <w:rPr>
                <w:color w:val="C9211E"/>
              </w:rPr>
              <w:t>Section 5.3, content effort</w:t>
            </w:r>
          </w:p>
        </w:tc>
      </w:tr>
    </w:tbl>
    <w:p>
      <w:pPr>
        <w:pStyle w:val="Heading1"/>
        <w:pBdr>
          <w:bottom w:val="single" w:sz="8" w:space="4" w:color="1554A0"/>
        </w:pBdr>
        <w:spacing w:before="400" w:after="200"/>
        <w:rPr/>
      </w:pPr>
      <w:r>
        <w:rPr>
          <w:rFonts w:eastAsia="Calibri" w:cs="Calibri" w:ascii="Calibri" w:hAnsi="Calibri"/>
          <w:b/>
          <w:bCs/>
          <w:color w:val="1554A0"/>
          <w:sz w:val="28"/>
          <w:szCs w:val="28"/>
        </w:rPr>
        <w:t>20. Delivery Phasing &amp; Commercials</w:t>
      </w:r>
    </w:p>
    <w:p>
      <w:pPr>
        <w:pStyle w:val="Normal"/>
        <w:spacing w:lineRule="exact" w:line="276" w:before="0" w:after="160"/>
        <w:rPr/>
      </w:pPr>
      <w:r>
        <w:rPr>
          <w:rFonts w:eastAsia="Calibri" w:cs="Calibri"/>
          <w:i/>
          <w:iCs/>
          <w:color w:val="4A5568"/>
          <w:sz w:val="21"/>
          <w:szCs w:val="21"/>
        </w:rPr>
        <w:t>To be completed once section 19 is answered. The structure below is indicative only; durations, effort and costs are placeholders.</w:t>
      </w:r>
    </w:p>
    <w:tbl>
      <w:tblPr>
        <w:tblW w:w="10000" w:type="dxa"/>
        <w:jc w:val="left"/>
        <w:tblInd w:w="0" w:type="dxa"/>
        <w:tblLayout w:type="fixed"/>
        <w:tblCellMar>
          <w:top w:w="100" w:type="dxa"/>
          <w:left w:w="120" w:type="dxa"/>
          <w:bottom w:w="100" w:type="dxa"/>
          <w:right w:w="120" w:type="dxa"/>
        </w:tblCellMar>
      </w:tblPr>
      <w:tblGrid>
        <w:gridCol w:w="2600"/>
        <w:gridCol w:w="4600"/>
        <w:gridCol w:w="1400"/>
        <w:gridCol w:w="1399"/>
      </w:tblGrid>
      <w:tr>
        <w:trPr>
          <w:tblHeader w:val="true"/>
        </w:trPr>
        <w:tc>
          <w:tcPr>
            <w:tcW w:w="26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Stage</w:t>
            </w:r>
          </w:p>
        </w:tc>
        <w:tc>
          <w:tcPr>
            <w:tcW w:w="46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Scope</w:t>
            </w:r>
          </w:p>
        </w:tc>
        <w:tc>
          <w:tcPr>
            <w:tcW w:w="14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Duration</w:t>
            </w:r>
          </w:p>
        </w:tc>
        <w:tc>
          <w:tcPr>
            <w:tcW w:w="13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Effort (person-days)</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0 — Discovery &amp; decisions</w:t>
            </w:r>
          </w:p>
        </w:tc>
        <w:tc>
          <w:tcPr>
            <w:tcW w:w="4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Resolve section 19; fix model licensing route and subscription tiers; agree acceptance protocol</w:t>
            </w:r>
          </w:p>
        </w:tc>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c>
          <w:tcPr>
            <w:tcW w:w="1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1 — Technical prototype</w:t>
            </w:r>
          </w:p>
        </w:tc>
        <w:tc>
          <w:tcPr>
            <w:tcW w:w="4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Segmentation and GenAI placement on a representative sample, including on-the-spot capture; fidelity validated on the licensed model; cost per render measured</w:t>
            </w:r>
          </w:p>
        </w:tc>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c>
          <w:tcPr>
            <w:tcW w:w="1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2 — Core try-on platform (Phase 1)</w:t>
            </w:r>
          </w:p>
        </w:tc>
        <w:tc>
          <w:tcPr>
            <w:tcW w:w="4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Try-on web app, kiosk mode, capture pipeline, admin &amp; subscription portal</w:t>
            </w:r>
          </w:p>
        </w:tc>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c>
          <w:tcPr>
            <w:tcW w:w="1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3 — Catalogue tooling</w:t>
            </w:r>
          </w:p>
        </w:tc>
        <w:tc>
          <w:tcPr>
            <w:tcW w:w="4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Bulk catalogue onboarding, review workflow, pre-generation and caching</w:t>
            </w:r>
          </w:p>
        </w:tc>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c>
          <w:tcPr>
            <w:tcW w:w="1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4 — Pilot &amp; hardening (Phase 1)</w:t>
            </w:r>
          </w:p>
        </w:tc>
        <w:tc>
          <w:tcPr>
            <w:tcW w:w="4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Pilot with launch brands/stores, measurement against section 13, performance and cost tuning</w:t>
            </w:r>
          </w:p>
        </w:tc>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c>
          <w:tcPr>
            <w:tcW w:w="1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5 — E-commerce plugin (Phase 2)</w:t>
            </w:r>
          </w:p>
        </w:tc>
        <w:tc>
          <w:tcPr>
            <w:tcW w:w="4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Shopify plugin, storefront embed, cart integration, caching</w:t>
            </w:r>
          </w:p>
        </w:tc>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c>
          <w:tcPr>
            <w:tcW w:w="1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r>
      <w:tr>
        <w:trPr/>
        <w:tc>
          <w:tcPr>
            <w:tcW w:w="2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Total</w:t>
            </w:r>
          </w:p>
        </w:tc>
        <w:tc>
          <w:tcPr>
            <w:tcW w:w="46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
          </w:p>
        </w:tc>
        <w:tc>
          <w:tcPr>
            <w:tcW w:w="1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c>
          <w:tcPr>
            <w:tcW w:w="13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[TBC]</w:t>
            </w:r>
          </w:p>
        </w:tc>
      </w:tr>
    </w:tbl>
    <w:p>
      <w:pPr>
        <w:pStyle w:val="Normal"/>
        <w:spacing w:lineRule="exact" w:line="276" w:before="0" w:after="160"/>
        <w:rPr/>
      </w:pPr>
      <w:r>
        <w:rPr>
          <w:rFonts w:eastAsia="Calibri" w:cs="Calibri"/>
          <w:i/>
          <w:iCs/>
          <w:color w:val="4A5568"/>
          <w:sz w:val="21"/>
          <w:szCs w:val="21"/>
        </w:rPr>
        <w:t>Payment milestones, terms and conditions to follow SkyAI's standard structure once the above is fixed.</w:t>
      </w:r>
    </w:p>
    <w:p>
      <w:pPr>
        <w:pStyle w:val="Heading1"/>
        <w:pBdr>
          <w:bottom w:val="single" w:sz="8" w:space="4" w:color="1554A0"/>
        </w:pBdr>
        <w:spacing w:before="400" w:after="200"/>
        <w:rPr/>
      </w:pPr>
      <w:r>
        <w:rPr>
          <w:rFonts w:eastAsia="Calibri" w:cs="Calibri" w:ascii="Calibri" w:hAnsi="Calibri"/>
          <w:b/>
          <w:bCs/>
          <w:color w:val="1554A0"/>
          <w:sz w:val="28"/>
          <w:szCs w:val="28"/>
        </w:rPr>
        <w:t>21. Glossary</w:t>
      </w:r>
    </w:p>
    <w:tbl>
      <w:tblPr>
        <w:tblW w:w="10000" w:type="dxa"/>
        <w:jc w:val="left"/>
        <w:tblInd w:w="0" w:type="dxa"/>
        <w:tblLayout w:type="fixed"/>
        <w:tblCellMar>
          <w:top w:w="100" w:type="dxa"/>
          <w:left w:w="120" w:type="dxa"/>
          <w:bottom w:w="100" w:type="dxa"/>
          <w:right w:w="120" w:type="dxa"/>
        </w:tblCellMar>
      </w:tblPr>
      <w:tblGrid>
        <w:gridCol w:w="2400"/>
        <w:gridCol w:w="7599"/>
      </w:tblGrid>
      <w:tr>
        <w:trPr>
          <w:tblHeader w:val="true"/>
        </w:trPr>
        <w:tc>
          <w:tcPr>
            <w:tcW w:w="2400"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Term</w:t>
            </w:r>
          </w:p>
        </w:tc>
        <w:tc>
          <w:tcPr>
            <w:tcW w:w="7599" w:type="dxa"/>
            <w:tcBorders>
              <w:top w:val="single" w:sz="4" w:space="0" w:color="D0DAE6"/>
              <w:left w:val="single" w:sz="4" w:space="0" w:color="D0DAE6"/>
              <w:bottom w:val="single" w:sz="4" w:space="0" w:color="D0DAE6"/>
              <w:right w:val="single" w:sz="4" w:space="0" w:color="D0DAE6"/>
            </w:tcBorders>
            <w:shd w:fill="1554A0" w:val="clear"/>
          </w:tcPr>
          <w:p>
            <w:pPr>
              <w:pStyle w:val="Normal"/>
              <w:widowControl w:val="false"/>
              <w:rPr/>
            </w:pPr>
            <w:r>
              <w:rPr>
                <w:rFonts w:eastAsia="Calibri" w:cs="Calibri"/>
                <w:b/>
                <w:bCs/>
                <w:color w:val="FFFFFF"/>
                <w:sz w:val="20"/>
                <w:szCs w:val="20"/>
              </w:rPr>
              <w:t>Meaning</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Tenant</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subscribing brand or store, with its own isolated catalogue, branding, users and usage data</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On-the-spot capture</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Photographing a physical jewellery piece live, in front of the customer, for immediate segmentation and try-on — as an alternative to a pre-built catalogue asset</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Kiosk mode</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in-store display/interaction mode of the try-on application, typically staff-operated on a tablet</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Entitlement</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active/past-due/suspended subscription status and usage limits recorded for a tenant, enforced by the backend</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Anchor point</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location on the body where a given jewellery category is placed</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Alpha mask</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transparency layer isolating the jewellery from its background, allowing it to be composited cleanly</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Generative placement</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Producing a render in which scene, pose and lighting are generated by an AI model while the jewellery's geometry is preserved exactly</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Harmonisation</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bounded, model-assisted post-process that matches colour, exposure and contact shadow between a composited layer and its background</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ΔE</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A measure of perceived colour difference between two colours</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SSIM / LPIPS</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Measures of similarity between two images; SSIM is structural, LPIPS is perceptual</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PDP</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Product detail page on a storefront</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Storefront API</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Shopify's public GraphQL API for products, variants and cart</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DPDP Act 2023</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India's Digital Personal Data Protection Act, governing processing of personal data</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Content provenance</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Embedded metadata recording that an image was generated or modified by AI</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Tenant domain</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domain or subdomain on which a tenant’s branded try-on page is served. All tenant domains resolve to the same platform address; the domain requested determines the branding and catalogue shown</w:t>
            </w:r>
          </w:p>
        </w:tc>
      </w:tr>
      <w:tr>
        <w:trPr/>
        <w:tc>
          <w:tcPr>
            <w:tcW w:w="2400"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Default model library</w:t>
            </w:r>
          </w:p>
        </w:tc>
        <w:tc>
          <w:tcPr>
            <w:tcW w:w="7599" w:type="dxa"/>
            <w:tcBorders>
              <w:top w:val="single" w:sz="4" w:space="0" w:color="D0DAE6"/>
              <w:left w:val="single" w:sz="4" w:space="0" w:color="D0DAE6"/>
              <w:bottom w:val="single" w:sz="4" w:space="0" w:color="D0DAE6"/>
              <w:right w:val="single" w:sz="4" w:space="0" w:color="D0DAE6"/>
            </w:tcBorders>
          </w:tcPr>
          <w:p>
            <w:pPr>
              <w:pStyle w:val="Normal"/>
              <w:widowControl w:val="false"/>
              <w:rPr/>
            </w:pPr>
            <w:r>
              <w:rPr>
                <w:rFonts w:eastAsia="Calibri" w:cs="Calibri"/>
                <w:color w:val="1A2733"/>
                <w:sz w:val="19"/>
                <w:szCs w:val="19"/>
              </w:rPr>
              <w:t>The preset model images shipped by SkyAI, covering every supported jewellery category, which a tenant activates selectively and may supplement with its own</w:t>
            </w:r>
          </w:p>
        </w:tc>
      </w:tr>
    </w:tbl>
    <w:sectPr>
      <w:headerReference w:type="default" r:id="rId3"/>
      <w:footerReference w:type="default" r:id="rId4"/>
      <w:type w:val="nextPage"/>
      <w:pgSz w:w="11906" w:h="16838"/>
      <w:pgMar w:left="1000" w:right="1000" w:gutter="0" w:header="708" w:top="900" w:footer="708" w:bottom="90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color w:val="4A5568"/>
        <w:sz w:val="16"/>
        <w:szCs w:val="16"/>
      </w:rPr>
      <w:t xml:space="preserve">Page </w:t>
    </w:r>
    <w:r>
      <w:rPr/>
      <w:fldChar w:fldCharType="begin"/>
    </w:r>
    <w:r>
      <w:rPr/>
      <w:instrText xml:space="preserve"> PAGE </w:instrText>
    </w:r>
    <w:r>
      <w:rPr/>
      <w:fldChar w:fldCharType="separate"/>
    </w:r>
    <w:r>
      <w:rPr/>
      <w:t>16</w:t>
    </w:r>
    <w:r>
      <w:rPr/>
      <w:fldChar w:fldCharType="end"/>
    </w:r>
    <w:r>
      <w:rPr>
        <w:rFonts w:eastAsia="Calibri" w:cs="Calibri"/>
        <w:color w:val="4A5568"/>
        <w:sz w:val="16"/>
        <w:szCs w:val="16"/>
      </w:rPr>
      <w:t xml:space="preserve"> of </w:t>
    </w:r>
    <w:r>
      <w:rPr/>
      <w:fldChar w:fldCharType="begin"/>
    </w:r>
    <w:r>
      <w:rPr/>
      <w:instrText xml:space="preserve"> NUMPAGES </w:instrText>
    </w:r>
    <w:r>
      <w:rPr/>
      <w:fldChar w:fldCharType="separate"/>
    </w:r>
    <w:r>
      <w:rPr/>
      <w:t>16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rFonts w:eastAsia="Calibri" w:cs="Calibri"/>
        <w:i/>
        <w:iCs/>
        <w:color w:val="4A5568"/>
        <w:sz w:val="16"/>
        <w:szCs w:val="16"/>
      </w:rPr>
      <w:t>SkyAI Virtual Jewellery Try-On — Scope Document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00" w:hanging="2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2733"/>
        <w:sz w:val="21"/>
        <w:szCs w:val="21"/>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1A2733"/>
      <w:kern w:val="0"/>
      <w:sz w:val="21"/>
      <w:szCs w:val="21"/>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Calibri" w:hAnsi="Calibri" w:eastAsia="Calibri" w:cs="Calibri"/>
      <w:b/>
      <w:bCs/>
      <w:color w:val="1A2733"/>
      <w:kern w:val="0"/>
      <w:sz w:val="21"/>
      <w:szCs w:val="21"/>
      <w:lang w:val="en-IN" w:eastAsia="zh-CN" w:bidi="hi-IN"/>
    </w:rPr>
  </w:style>
  <w:style w:type="paragraph" w:styleId="ListParagraph">
    <w:name w:val="List Paragraph"/>
    <w:qFormat/>
    <w:pPr>
      <w:widowControl/>
      <w:bidi w:val="0"/>
      <w:spacing w:before="0" w:after="0"/>
      <w:jc w:val="left"/>
    </w:pPr>
    <w:rPr>
      <w:rFonts w:ascii="Calibri" w:hAnsi="Calibri" w:eastAsia="Calibri" w:cs="Calibri"/>
      <w:color w:val="1A2733"/>
      <w:kern w:val="0"/>
      <w:sz w:val="21"/>
      <w:szCs w:val="21"/>
      <w:lang w:val="en-IN"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emf"/><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
  <TotalTime>13</TotalTime>
  <Application>LibreOffice/7.3.7.2$Linux_X86_64 LibreOffice_project/30$Build-2</Application>
  <AppVersion>15.0000</AppVersion>
  <Pages>16</Pages>
  <Words>5707</Words>
  <Characters>32777</Characters>
  <CharactersWithSpaces>37944</CharactersWithSpaces>
  <Paragraphs>571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2026-08-23T08:37:54Z</dcterms:created>
  <dc:creator>Un-named</dc:creator>
  <dc:description/>
  <dc:language>en-IN</dc:language>
  <cp:lastModifiedBy/>
  <dcterms:modified xsi:type="dcterms:W3CDTF">2026-08-23T14:33:08Z</dcterms:modified>
  <cp:revision>4</cp:revision>
  <dc:subject/>
  <dc:title/>
</cp:coreProperties>
</file>