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A74" w14:paraId="7C213D16" w14:textId="77777777">
        <w:tblPrEx>
          <w:tblCellMar>
            <w:top w:w="0" w:type="dxa"/>
            <w:bottom w:w="0" w:type="dxa"/>
          </w:tblCellMar>
        </w:tblPrEx>
        <w:tc>
          <w:tcPr>
            <w:tcW w:w="9026" w:type="dxa"/>
            <w:tcBorders>
              <w:top w:val="single" w:sz="6" w:space="0" w:color="1F4E79"/>
              <w:left w:val="single" w:sz="6" w:space="0" w:color="1F4E79"/>
              <w:bottom w:val="single" w:sz="6" w:space="0" w:color="1F4E79"/>
              <w:right w:val="single" w:sz="6" w:space="0" w:color="1F4E79"/>
            </w:tcBorders>
            <w:shd w:val="clear" w:color="auto" w:fill="1F4E79"/>
            <w:tcMar>
              <w:top w:w="160" w:type="dxa"/>
              <w:left w:w="200" w:type="dxa"/>
              <w:bottom w:w="80" w:type="dxa"/>
              <w:right w:w="200" w:type="dxa"/>
            </w:tcMar>
          </w:tcPr>
          <w:p w14:paraId="19720FD5" w14:textId="77777777" w:rsidR="00B92A74" w:rsidRDefault="00000000">
            <w:pPr>
              <w:jc w:val="center"/>
            </w:pPr>
            <w:r>
              <w:rPr>
                <w:b/>
                <w:bCs/>
                <w:color w:val="FFFFFF"/>
                <w:sz w:val="38"/>
                <w:szCs w:val="38"/>
              </w:rPr>
              <w:t>MARKET RESEARCH &amp;</w:t>
            </w:r>
          </w:p>
          <w:p w14:paraId="47D61CF2" w14:textId="77777777" w:rsidR="00B92A74" w:rsidRDefault="00000000">
            <w:pPr>
              <w:spacing w:before="40"/>
              <w:jc w:val="center"/>
            </w:pPr>
            <w:r>
              <w:rPr>
                <w:b/>
                <w:bCs/>
                <w:color w:val="FFFFFF"/>
                <w:sz w:val="38"/>
                <w:szCs w:val="38"/>
              </w:rPr>
              <w:t>INVESTMENT STRATEGY REPORT</w:t>
            </w:r>
          </w:p>
        </w:tc>
      </w:tr>
      <w:tr w:rsidR="00B92A74" w14:paraId="5EEE0AF6"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200" w:type="dxa"/>
              <w:bottom w:w="80" w:type="dxa"/>
              <w:right w:w="200" w:type="dxa"/>
            </w:tcMar>
          </w:tcPr>
          <w:p w14:paraId="223178A5" w14:textId="7F49A3AA" w:rsidR="00B92A74" w:rsidRDefault="00000000">
            <w:pPr>
              <w:jc w:val="center"/>
            </w:pPr>
            <w:r>
              <w:rPr>
                <w:i/>
                <w:iCs/>
                <w:color w:val="FFFFFF"/>
              </w:rPr>
              <w:t xml:space="preserve">Stock Market vs </w:t>
            </w:r>
            <w:r w:rsidR="007F45AC">
              <w:rPr>
                <w:i/>
                <w:iCs/>
                <w:color w:val="FFFFFF"/>
              </w:rPr>
              <w:t>Cryptocurrency │ Risk</w:t>
            </w:r>
            <w:r>
              <w:rPr>
                <w:i/>
                <w:iCs/>
                <w:color w:val="FFFFFF"/>
              </w:rPr>
              <w:t xml:space="preserve"> </w:t>
            </w:r>
            <w:r w:rsidR="007F45AC">
              <w:rPr>
                <w:i/>
                <w:iCs/>
                <w:color w:val="FFFFFF"/>
              </w:rPr>
              <w:t>Management │ Future</w:t>
            </w:r>
            <w:r>
              <w:rPr>
                <w:i/>
                <w:iCs/>
                <w:color w:val="FFFFFF"/>
              </w:rPr>
              <w:t xml:space="preserve"> Sector Outlook</w:t>
            </w:r>
          </w:p>
        </w:tc>
      </w:tr>
    </w:tbl>
    <w:p w14:paraId="6D2761F8" w14:textId="77777777" w:rsidR="00B92A74" w:rsidRDefault="00B92A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92A74" w14:paraId="3A35E9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E668CC" w14:textId="77777777" w:rsidR="00B92A74" w:rsidRDefault="00000000">
            <w:r>
              <w:rPr>
                <w:b/>
                <w:bCs/>
                <w:color w:val="1F4E79"/>
                <w:sz w:val="18"/>
                <w:szCs w:val="18"/>
              </w:rPr>
              <w:t>Prepared By</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F1DC6" w14:textId="1038138D" w:rsidR="00B92A74" w:rsidRDefault="00000000">
            <w:r>
              <w:rPr>
                <w:sz w:val="18"/>
                <w:szCs w:val="18"/>
              </w:rPr>
              <w:t xml:space="preserve">Yash </w:t>
            </w:r>
            <w:r w:rsidR="007F45AC">
              <w:rPr>
                <w:sz w:val="18"/>
                <w:szCs w:val="18"/>
              </w:rPr>
              <w:t>Dholakia | PGDM</w:t>
            </w:r>
            <w:r>
              <w:rPr>
                <w:sz w:val="18"/>
                <w:szCs w:val="18"/>
              </w:rPr>
              <w:t xml:space="preserve"> — Finance &amp; Marketing</w:t>
            </w:r>
          </w:p>
        </w:tc>
      </w:tr>
      <w:tr w:rsidR="00B92A74" w14:paraId="28CB77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414E08" w14:textId="77777777" w:rsidR="00B92A74" w:rsidRDefault="00000000">
            <w:r>
              <w:rPr>
                <w:b/>
                <w:bCs/>
                <w:color w:val="1F4E79"/>
                <w:sz w:val="18"/>
                <w:szCs w:val="18"/>
              </w:rPr>
              <w:t>Institution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B5B55" w14:textId="77777777" w:rsidR="00B92A74" w:rsidRDefault="00000000">
            <w:r>
              <w:rPr>
                <w:sz w:val="18"/>
                <w:szCs w:val="18"/>
              </w:rPr>
              <w:t>Suryadatta Group of Institutes, Pune</w:t>
            </w:r>
          </w:p>
        </w:tc>
      </w:tr>
      <w:tr w:rsidR="00B92A74" w14:paraId="1190B8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C224AB" w14:textId="77777777" w:rsidR="00B92A74" w:rsidRDefault="00000000">
            <w:r>
              <w:rPr>
                <w:b/>
                <w:bCs/>
                <w:color w:val="1F4E79"/>
                <w:sz w:val="18"/>
                <w:szCs w:val="18"/>
              </w:rPr>
              <w:t>Internship</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568C2" w14:textId="77777777" w:rsidR="00B92A74" w:rsidRDefault="00000000">
            <w:r>
              <w:rPr>
                <w:sz w:val="18"/>
                <w:szCs w:val="18"/>
              </w:rPr>
              <w:t>Finance &amp; Investment Analysis — CodeAlpha</w:t>
            </w:r>
          </w:p>
        </w:tc>
      </w:tr>
      <w:tr w:rsidR="00B92A74" w14:paraId="5BA646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F94244" w14:textId="77777777" w:rsidR="00B92A74" w:rsidRDefault="00000000">
            <w:r>
              <w:rPr>
                <w:b/>
                <w:bCs/>
                <w:color w:val="1F4E79"/>
                <w:sz w:val="18"/>
                <w:szCs w:val="18"/>
              </w:rPr>
              <w:t>Report Type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034CC" w14:textId="77777777" w:rsidR="00B92A74" w:rsidRDefault="00000000">
            <w:r>
              <w:rPr>
                <w:sz w:val="18"/>
                <w:szCs w:val="18"/>
              </w:rPr>
              <w:t>Task 4 — Market Research &amp; Investment Strategy</w:t>
            </w:r>
          </w:p>
        </w:tc>
      </w:tr>
      <w:tr w:rsidR="00B92A74" w14:paraId="4C660B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FCFE79" w14:textId="77777777" w:rsidR="00B92A74" w:rsidRDefault="00000000">
            <w:r>
              <w:rPr>
                <w:b/>
                <w:bCs/>
                <w:color w:val="1F4E79"/>
                <w:sz w:val="18"/>
                <w:szCs w:val="18"/>
              </w:rPr>
              <w:t>Date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B16C9" w14:textId="77777777" w:rsidR="00B92A74" w:rsidRDefault="00000000">
            <w:r>
              <w:rPr>
                <w:sz w:val="18"/>
                <w:szCs w:val="18"/>
              </w:rPr>
              <w:t>June 2026</w:t>
            </w:r>
          </w:p>
        </w:tc>
      </w:tr>
      <w:tr w:rsidR="00B92A74" w14:paraId="3B8B34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C164CF" w14:textId="77777777" w:rsidR="00B92A74" w:rsidRDefault="00000000">
            <w:r>
              <w:rPr>
                <w:b/>
                <w:bCs/>
                <w:color w:val="1F4E79"/>
                <w:sz w:val="18"/>
                <w:szCs w:val="18"/>
              </w:rPr>
              <w:t>Data Sources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51032" w14:textId="77777777" w:rsidR="00B92A74" w:rsidRDefault="00000000">
            <w:r>
              <w:rPr>
                <w:sz w:val="18"/>
                <w:szCs w:val="18"/>
              </w:rPr>
              <w:t>NSE India, BSE India, CME Group, Grayscale, IBEF, Goldman Sachs, KPMG</w:t>
            </w:r>
          </w:p>
        </w:tc>
      </w:tr>
    </w:tbl>
    <w:p w14:paraId="6667C191" w14:textId="77777777" w:rsidR="00B92A74" w:rsidRDefault="00B92A74">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A74" w14:paraId="1DE5C9B7"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579D4CF" w14:textId="77777777" w:rsidR="00B92A74" w:rsidRDefault="00000000">
            <w:r>
              <w:rPr>
                <w:b/>
                <w:bCs/>
                <w:color w:val="FFFFFF"/>
                <w:sz w:val="22"/>
                <w:szCs w:val="22"/>
              </w:rPr>
              <w:t>EXECUTIVE SUMMARY</w:t>
            </w:r>
          </w:p>
        </w:tc>
      </w:tr>
    </w:tbl>
    <w:p w14:paraId="13783405" w14:textId="77777777" w:rsidR="00B92A74" w:rsidRDefault="00B92A74">
      <w:pPr>
        <w:spacing w:before="80"/>
      </w:pPr>
    </w:p>
    <w:p w14:paraId="057062AF" w14:textId="77777777" w:rsidR="00B92A74" w:rsidRDefault="00000000">
      <w:pPr>
        <w:spacing w:before="60" w:after="80"/>
        <w:jc w:val="both"/>
      </w:pPr>
      <w:r>
        <w:rPr>
          <w:b/>
          <w:bCs/>
          <w:color w:val="1C1C1C"/>
        </w:rPr>
        <w:t xml:space="preserve">The global investment landscape in 2025–26 is witnessing a complex convergence. </w:t>
      </w:r>
      <w:r>
        <w:rPr>
          <w:color w:val="1C1C1C"/>
        </w:rPr>
        <w:t>Traditional equity markets continue to assert long-standing dominance as vehicles of wealth creation, while the cryptocurrency ecosystem has matured from speculative fringe to recognised alternative asset class. This report covers: (1) Indian and global equity trends; (2) Bitcoin, Ethereum, and Solana's evolving role; (3) four critical risk categories and mitigations; and (4) the future outlook for Renewable Energy, AI &amp; IT, and Healthcare &amp; Biotechnology.</w:t>
      </w:r>
    </w:p>
    <w:p w14:paraId="43869643" w14:textId="77777777" w:rsidR="00B92A74" w:rsidRDefault="00000000">
      <w:pPr>
        <w:spacing w:before="40" w:after="80"/>
        <w:jc w:val="both"/>
      </w:pPr>
      <w:r>
        <w:rPr>
          <w:color w:val="1C1C1C"/>
        </w:rPr>
        <w:t>The overarching finding: a disciplined, diversified approach — anchored in equity fundamentals, seasoned with calculated crypto exposure, and guided by robust risk management — is the optimal strategy for the current environment.</w:t>
      </w:r>
    </w:p>
    <w:p w14:paraId="1D3F5525" w14:textId="77777777" w:rsidR="00B92A74" w:rsidRDefault="00000000">
      <w:r>
        <w:br w:type="page"/>
      </w:r>
    </w:p>
    <w:p w14:paraId="21B226E3" w14:textId="77777777" w:rsidR="00B92A74" w:rsidRDefault="00000000">
      <w:pPr>
        <w:pStyle w:val="Heading1"/>
        <w:pBdr>
          <w:bottom w:val="single" w:sz="8" w:space="3" w:color="2E75B6"/>
        </w:pBdr>
      </w:pPr>
      <w:r>
        <w:lastRenderedPageBreak/>
        <w:t>Section 1 — Stock Market Trends: India &amp; Global</w:t>
      </w:r>
    </w:p>
    <w:p w14:paraId="4A8AA004" w14:textId="2F5B7441" w:rsidR="00B92A74" w:rsidRDefault="00E249DA">
      <w:pPr>
        <w:pStyle w:val="Heading2"/>
      </w:pPr>
      <w:r>
        <w:t>1.1 The</w:t>
      </w:r>
      <w:r w:rsidR="00000000">
        <w:t xml:space="preserve"> Indian Equity Story</w:t>
      </w:r>
    </w:p>
    <w:p w14:paraId="43299338" w14:textId="77777777" w:rsidR="00B92A74" w:rsidRDefault="00000000">
      <w:pPr>
        <w:spacing w:before="60" w:after="80"/>
        <w:jc w:val="both"/>
      </w:pPr>
      <w:r>
        <w:rPr>
          <w:color w:val="1C1C1C"/>
        </w:rPr>
        <w:t>India's Nifty 50 gained ~10.5% and the Sensex rose ~9.1% in 2025 — the 10th consecutive year of positive returns. Despite headwinds (depreciating rupee, FII outflows, weak early earnings), domestic institutional investors (DIIs) proved the market's backbone: equity MF inflows of Rs. 3.22 trillion and total DII inflows of $87 billion sustained the rally. The RBI's rate reductions and targeted tax cuts drove a return to record highs in November 2025.</w:t>
      </w:r>
    </w:p>
    <w:p w14:paraId="2D01960C" w14:textId="77777777" w:rsidR="00B92A74" w:rsidRDefault="00B92A7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B92A74" w14:paraId="41C6FFF2" w14:textId="77777777">
        <w:tblPrEx>
          <w:tblCellMar>
            <w:top w:w="0" w:type="dxa"/>
            <w:bottom w:w="0" w:type="dxa"/>
          </w:tblCellMar>
        </w:tblPrEx>
        <w:tc>
          <w:tcPr>
            <w:tcW w:w="1805"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vAlign w:val="center"/>
          </w:tcPr>
          <w:p w14:paraId="30E627DF" w14:textId="77777777" w:rsidR="00B92A74" w:rsidRDefault="00000000">
            <w:pPr>
              <w:jc w:val="center"/>
            </w:pPr>
            <w:r>
              <w:rPr>
                <w:b/>
                <w:bCs/>
                <w:color w:val="FFFFFF"/>
                <w:sz w:val="24"/>
                <w:szCs w:val="24"/>
              </w:rPr>
              <w:t>10.5%</w:t>
            </w:r>
          </w:p>
          <w:p w14:paraId="089463DE" w14:textId="77777777" w:rsidR="00B92A74" w:rsidRDefault="00000000">
            <w:pPr>
              <w:spacing w:before="20"/>
              <w:jc w:val="center"/>
            </w:pPr>
            <w:r>
              <w:rPr>
                <w:color w:val="FFFFFF"/>
                <w:sz w:val="15"/>
                <w:szCs w:val="15"/>
              </w:rPr>
              <w:t>Nifty 50 Gain 2025</w:t>
            </w:r>
          </w:p>
        </w:tc>
        <w:tc>
          <w:tcPr>
            <w:tcW w:w="1805"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vAlign w:val="center"/>
          </w:tcPr>
          <w:p w14:paraId="3FC7E48F" w14:textId="77777777" w:rsidR="00B92A74" w:rsidRDefault="00000000">
            <w:pPr>
              <w:jc w:val="center"/>
            </w:pPr>
            <w:r>
              <w:rPr>
                <w:b/>
                <w:bCs/>
                <w:color w:val="FFFFFF"/>
                <w:sz w:val="24"/>
                <w:szCs w:val="24"/>
              </w:rPr>
              <w:t>9.1%</w:t>
            </w:r>
          </w:p>
          <w:p w14:paraId="72982287" w14:textId="77777777" w:rsidR="00B92A74" w:rsidRDefault="00000000">
            <w:pPr>
              <w:spacing w:before="20"/>
              <w:jc w:val="center"/>
            </w:pPr>
            <w:r>
              <w:rPr>
                <w:color w:val="FFFFFF"/>
                <w:sz w:val="15"/>
                <w:szCs w:val="15"/>
              </w:rPr>
              <w:t>Sensex Gain 2025</w:t>
            </w:r>
          </w:p>
        </w:tc>
        <w:tc>
          <w:tcPr>
            <w:tcW w:w="1805" w:type="dxa"/>
            <w:tcBorders>
              <w:top w:val="single" w:sz="1" w:space="0" w:color="117A65"/>
              <w:left w:val="single" w:sz="1" w:space="0" w:color="117A65"/>
              <w:bottom w:val="single" w:sz="1" w:space="0" w:color="117A65"/>
              <w:right w:val="single" w:sz="1" w:space="0" w:color="117A65"/>
            </w:tcBorders>
            <w:shd w:val="clear" w:color="auto" w:fill="117A65"/>
            <w:tcMar>
              <w:top w:w="80" w:type="dxa"/>
              <w:left w:w="80" w:type="dxa"/>
              <w:bottom w:w="80" w:type="dxa"/>
              <w:right w:w="80" w:type="dxa"/>
            </w:tcMar>
            <w:vAlign w:val="center"/>
          </w:tcPr>
          <w:p w14:paraId="51719A6A" w14:textId="77777777" w:rsidR="00B92A74" w:rsidRDefault="00000000">
            <w:pPr>
              <w:jc w:val="center"/>
            </w:pPr>
            <w:r>
              <w:rPr>
                <w:b/>
                <w:bCs/>
                <w:color w:val="FFFFFF"/>
                <w:sz w:val="24"/>
                <w:szCs w:val="24"/>
              </w:rPr>
              <w:t>Rs. 3.22 Tn</w:t>
            </w:r>
          </w:p>
          <w:p w14:paraId="0E3DBAA3" w14:textId="77777777" w:rsidR="00B92A74" w:rsidRDefault="00000000">
            <w:pPr>
              <w:spacing w:before="20"/>
              <w:jc w:val="center"/>
            </w:pPr>
            <w:r>
              <w:rPr>
                <w:color w:val="FFFFFF"/>
                <w:sz w:val="15"/>
                <w:szCs w:val="15"/>
              </w:rPr>
              <w:t>Equity MF Inflows</w:t>
            </w:r>
          </w:p>
        </w:tc>
        <w:tc>
          <w:tcPr>
            <w:tcW w:w="1805" w:type="dxa"/>
            <w:tcBorders>
              <w:top w:val="single" w:sz="1" w:space="0" w:color="1E7D4A"/>
              <w:left w:val="single" w:sz="1" w:space="0" w:color="1E7D4A"/>
              <w:bottom w:val="single" w:sz="1" w:space="0" w:color="1E7D4A"/>
              <w:right w:val="single" w:sz="1" w:space="0" w:color="1E7D4A"/>
            </w:tcBorders>
            <w:shd w:val="clear" w:color="auto" w:fill="1E7D4A"/>
            <w:tcMar>
              <w:top w:w="80" w:type="dxa"/>
              <w:left w:w="80" w:type="dxa"/>
              <w:bottom w:w="80" w:type="dxa"/>
              <w:right w:w="80" w:type="dxa"/>
            </w:tcMar>
            <w:vAlign w:val="center"/>
          </w:tcPr>
          <w:p w14:paraId="712DC8CB" w14:textId="77777777" w:rsidR="00B92A74" w:rsidRDefault="00000000">
            <w:pPr>
              <w:jc w:val="center"/>
            </w:pPr>
            <w:r>
              <w:rPr>
                <w:b/>
                <w:bCs/>
                <w:color w:val="FFFFFF"/>
                <w:sz w:val="24"/>
                <w:szCs w:val="24"/>
              </w:rPr>
              <w:t>$87 Bn</w:t>
            </w:r>
          </w:p>
          <w:p w14:paraId="047CFBD3" w14:textId="77777777" w:rsidR="00B92A74" w:rsidRDefault="00000000">
            <w:pPr>
              <w:spacing w:before="20"/>
              <w:jc w:val="center"/>
            </w:pPr>
            <w:r>
              <w:rPr>
                <w:color w:val="FFFFFF"/>
                <w:sz w:val="15"/>
                <w:szCs w:val="15"/>
              </w:rPr>
              <w:t>DII Inflows 2025</w:t>
            </w:r>
          </w:p>
        </w:tc>
        <w:tc>
          <w:tcPr>
            <w:tcW w:w="1805" w:type="dxa"/>
            <w:tcBorders>
              <w:top w:val="single" w:sz="1" w:space="0" w:color="9A7D0A"/>
              <w:left w:val="single" w:sz="1" w:space="0" w:color="9A7D0A"/>
              <w:bottom w:val="single" w:sz="1" w:space="0" w:color="9A7D0A"/>
              <w:right w:val="single" w:sz="1" w:space="0" w:color="9A7D0A"/>
            </w:tcBorders>
            <w:shd w:val="clear" w:color="auto" w:fill="9A7D0A"/>
            <w:tcMar>
              <w:top w:w="80" w:type="dxa"/>
              <w:left w:w="80" w:type="dxa"/>
              <w:bottom w:w="80" w:type="dxa"/>
              <w:right w:w="80" w:type="dxa"/>
            </w:tcMar>
            <w:vAlign w:val="center"/>
          </w:tcPr>
          <w:p w14:paraId="49D58CAB" w14:textId="77777777" w:rsidR="00B92A74" w:rsidRDefault="00000000">
            <w:pPr>
              <w:jc w:val="center"/>
            </w:pPr>
            <w:r>
              <w:rPr>
                <w:b/>
                <w:bCs/>
                <w:color w:val="FFFFFF"/>
                <w:sz w:val="24"/>
                <w:szCs w:val="24"/>
              </w:rPr>
              <w:t>~29,000</w:t>
            </w:r>
          </w:p>
          <w:p w14:paraId="20824CBF" w14:textId="77777777" w:rsidR="00B92A74" w:rsidRDefault="00000000">
            <w:pPr>
              <w:spacing w:before="20"/>
              <w:jc w:val="center"/>
            </w:pPr>
            <w:r>
              <w:rPr>
                <w:color w:val="FFFFFF"/>
                <w:sz w:val="15"/>
                <w:szCs w:val="15"/>
              </w:rPr>
              <w:t>Nifty Target 2026</w:t>
            </w:r>
          </w:p>
        </w:tc>
      </w:tr>
    </w:tbl>
    <w:p w14:paraId="0A55C879" w14:textId="77777777" w:rsidR="00B92A74" w:rsidRDefault="00B92A74">
      <w:pPr>
        <w:spacing w:before="100"/>
      </w:pPr>
    </w:p>
    <w:p w14:paraId="17F89078" w14:textId="7C33464D" w:rsidR="00B92A74" w:rsidRDefault="00E249DA">
      <w:pPr>
        <w:pStyle w:val="Heading2"/>
      </w:pPr>
      <w:r>
        <w:t>1.2 Sectoral</w:t>
      </w:r>
      <w:r w:rsidR="00000000">
        <w:t xml:space="preserve">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3"/>
        <w:gridCol w:w="3563"/>
      </w:tblGrid>
      <w:tr w:rsidR="00B92A74" w14:paraId="0DA00F0C" w14:textId="77777777">
        <w:tblPrEx>
          <w:tblCellMar>
            <w:top w:w="0" w:type="dxa"/>
            <w:bottom w:w="0" w:type="dxa"/>
          </w:tblCellMar>
        </w:tblPrEx>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5CAFC26" w14:textId="77777777" w:rsidR="00B92A74" w:rsidRDefault="00000000">
            <w:pPr>
              <w:jc w:val="center"/>
            </w:pPr>
            <w:r>
              <w:rPr>
                <w:b/>
                <w:bCs/>
                <w:color w:val="FFFFFF"/>
                <w:sz w:val="17"/>
                <w:szCs w:val="17"/>
              </w:rPr>
              <w:t>Sector</w:t>
            </w:r>
          </w:p>
        </w:tc>
        <w:tc>
          <w:tcPr>
            <w:tcW w:w="356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47380C41" w14:textId="77777777" w:rsidR="00B92A74" w:rsidRDefault="00000000">
            <w:pPr>
              <w:jc w:val="center"/>
            </w:pPr>
            <w:r>
              <w:rPr>
                <w:b/>
                <w:bCs/>
                <w:color w:val="FFFFFF"/>
                <w:sz w:val="17"/>
                <w:szCs w:val="17"/>
              </w:rPr>
              <w:t>2025 Performance</w:t>
            </w:r>
          </w:p>
        </w:tc>
        <w:tc>
          <w:tcPr>
            <w:tcW w:w="356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4C3AFA45" w14:textId="77777777" w:rsidR="00B92A74" w:rsidRDefault="00000000">
            <w:pPr>
              <w:jc w:val="center"/>
            </w:pPr>
            <w:r>
              <w:rPr>
                <w:b/>
                <w:bCs/>
                <w:color w:val="FFFFFF"/>
                <w:sz w:val="17"/>
                <w:szCs w:val="17"/>
              </w:rPr>
              <w:t>2026 Outlook</w:t>
            </w:r>
          </w:p>
        </w:tc>
      </w:tr>
      <w:tr w:rsidR="00B92A74" w14:paraId="63EA4FE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5F0E3"/>
            <w:tcMar>
              <w:top w:w="72" w:type="dxa"/>
              <w:left w:w="100" w:type="dxa"/>
              <w:bottom w:w="72" w:type="dxa"/>
              <w:right w:w="100" w:type="dxa"/>
            </w:tcMar>
            <w:vAlign w:val="center"/>
          </w:tcPr>
          <w:p w14:paraId="506DFB00" w14:textId="77777777" w:rsidR="00B92A74" w:rsidRDefault="00000000">
            <w:pPr>
              <w:jc w:val="center"/>
            </w:pPr>
            <w:r>
              <w:rPr>
                <w:b/>
                <w:bCs/>
                <w:color w:val="1E7D4A"/>
                <w:sz w:val="17"/>
                <w:szCs w:val="17"/>
              </w:rPr>
              <w:t>Automobile</w:t>
            </w:r>
          </w:p>
        </w:tc>
        <w:tc>
          <w:tcPr>
            <w:tcW w:w="3563" w:type="dxa"/>
            <w:tcBorders>
              <w:top w:val="single" w:sz="1" w:space="0" w:color="CCCCCC"/>
              <w:left w:val="single" w:sz="1" w:space="0" w:color="CCCCCC"/>
              <w:bottom w:val="single" w:sz="1" w:space="0" w:color="CCCCCC"/>
              <w:right w:val="single" w:sz="1" w:space="0" w:color="CCCCCC"/>
            </w:tcBorders>
            <w:shd w:val="clear" w:color="auto" w:fill="D5F0E3"/>
            <w:tcMar>
              <w:top w:w="72" w:type="dxa"/>
              <w:left w:w="100" w:type="dxa"/>
              <w:bottom w:w="72" w:type="dxa"/>
              <w:right w:w="100" w:type="dxa"/>
            </w:tcMar>
            <w:vAlign w:val="center"/>
          </w:tcPr>
          <w:p w14:paraId="26431F52" w14:textId="77777777" w:rsidR="00B92A74" w:rsidRDefault="00000000">
            <w:r>
              <w:rPr>
                <w:color w:val="1C1C1C"/>
                <w:sz w:val="17"/>
                <w:szCs w:val="17"/>
              </w:rPr>
              <w:t>Maruti &amp; Eicher Motors each +~50% on govt tax cuts; EV push accelerating</w:t>
            </w:r>
          </w:p>
        </w:tc>
        <w:tc>
          <w:tcPr>
            <w:tcW w:w="3563" w:type="dxa"/>
            <w:tcBorders>
              <w:top w:val="single" w:sz="1" w:space="0" w:color="CCCCCC"/>
              <w:left w:val="single" w:sz="1" w:space="0" w:color="CCCCCC"/>
              <w:bottom w:val="single" w:sz="1" w:space="0" w:color="CCCCCC"/>
              <w:right w:val="single" w:sz="1" w:space="0" w:color="CCCCCC"/>
            </w:tcBorders>
            <w:shd w:val="clear" w:color="auto" w:fill="D5F0E3"/>
            <w:tcMar>
              <w:top w:w="72" w:type="dxa"/>
              <w:left w:w="100" w:type="dxa"/>
              <w:bottom w:w="72" w:type="dxa"/>
              <w:right w:w="100" w:type="dxa"/>
            </w:tcMar>
            <w:vAlign w:val="center"/>
          </w:tcPr>
          <w:p w14:paraId="78154AFA" w14:textId="77777777" w:rsidR="00B92A74" w:rsidRDefault="00000000">
            <w:r>
              <w:rPr>
                <w:color w:val="1C1C1C"/>
                <w:sz w:val="17"/>
                <w:szCs w:val="17"/>
              </w:rPr>
              <w:t>Continued recovery; infrastructure capex supports commercial vehicles</w:t>
            </w:r>
          </w:p>
        </w:tc>
      </w:tr>
      <w:tr w:rsidR="00B92A74" w14:paraId="0ADE13C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2F075CB5" w14:textId="77777777" w:rsidR="00B92A74" w:rsidRDefault="00000000">
            <w:pPr>
              <w:jc w:val="center"/>
            </w:pPr>
            <w:r>
              <w:rPr>
                <w:b/>
                <w:bCs/>
                <w:color w:val="2E75B6"/>
                <w:sz w:val="17"/>
                <w:szCs w:val="17"/>
              </w:rPr>
              <w:t>Banking &amp; Finance</w:t>
            </w:r>
          </w:p>
        </w:tc>
        <w:tc>
          <w:tcPr>
            <w:tcW w:w="3563"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487C49CB" w14:textId="77777777" w:rsidR="00B92A74" w:rsidRDefault="00000000">
            <w:r>
              <w:rPr>
                <w:color w:val="1C1C1C"/>
                <w:sz w:val="17"/>
                <w:szCs w:val="17"/>
              </w:rPr>
              <w:t>RBI rate cuts improved NIMs; HDFC Bank Q4 profit +8% YoY; strong CASA ratios</w:t>
            </w:r>
          </w:p>
        </w:tc>
        <w:tc>
          <w:tcPr>
            <w:tcW w:w="3563"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6327D9DE" w14:textId="77777777" w:rsidR="00B92A74" w:rsidRDefault="00000000">
            <w:r>
              <w:rPr>
                <w:color w:val="1C1C1C"/>
                <w:sz w:val="17"/>
                <w:szCs w:val="17"/>
              </w:rPr>
              <w:t>Rate easing cycle to widen spreads; credit growth projected 12–14%</w:t>
            </w:r>
          </w:p>
        </w:tc>
      </w:tr>
      <w:tr w:rsidR="00B92A74" w14:paraId="5B69FAD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DECEA"/>
            <w:tcMar>
              <w:top w:w="72" w:type="dxa"/>
              <w:left w:w="100" w:type="dxa"/>
              <w:bottom w:w="72" w:type="dxa"/>
              <w:right w:w="100" w:type="dxa"/>
            </w:tcMar>
            <w:vAlign w:val="center"/>
          </w:tcPr>
          <w:p w14:paraId="04A9BC59" w14:textId="77777777" w:rsidR="00B92A74" w:rsidRDefault="00000000">
            <w:pPr>
              <w:jc w:val="center"/>
            </w:pPr>
            <w:r>
              <w:rPr>
                <w:b/>
                <w:bCs/>
                <w:color w:val="C0392B"/>
                <w:sz w:val="17"/>
                <w:szCs w:val="17"/>
              </w:rPr>
              <w:t>IT / Technology</w:t>
            </w:r>
          </w:p>
        </w:tc>
        <w:tc>
          <w:tcPr>
            <w:tcW w:w="3563" w:type="dxa"/>
            <w:tcBorders>
              <w:top w:val="single" w:sz="1" w:space="0" w:color="CCCCCC"/>
              <w:left w:val="single" w:sz="1" w:space="0" w:color="CCCCCC"/>
              <w:bottom w:val="single" w:sz="1" w:space="0" w:color="CCCCCC"/>
              <w:right w:val="single" w:sz="1" w:space="0" w:color="CCCCCC"/>
            </w:tcBorders>
            <w:shd w:val="clear" w:color="auto" w:fill="FDECEA"/>
            <w:tcMar>
              <w:top w:w="72" w:type="dxa"/>
              <w:left w:w="100" w:type="dxa"/>
              <w:bottom w:w="72" w:type="dxa"/>
              <w:right w:w="100" w:type="dxa"/>
            </w:tcMar>
            <w:vAlign w:val="center"/>
          </w:tcPr>
          <w:p w14:paraId="7EAB49E4" w14:textId="77777777" w:rsidR="00B92A74" w:rsidRDefault="00000000">
            <w:r>
              <w:rPr>
                <w:color w:val="1C1C1C"/>
                <w:sz w:val="17"/>
                <w:szCs w:val="17"/>
              </w:rPr>
              <w:t>TCS -20% (worst since 2008); Nifty IT -25% YTD on GenAI disruption fears</w:t>
            </w:r>
          </w:p>
        </w:tc>
        <w:tc>
          <w:tcPr>
            <w:tcW w:w="3563" w:type="dxa"/>
            <w:tcBorders>
              <w:top w:val="single" w:sz="1" w:space="0" w:color="CCCCCC"/>
              <w:left w:val="single" w:sz="1" w:space="0" w:color="CCCCCC"/>
              <w:bottom w:val="single" w:sz="1" w:space="0" w:color="CCCCCC"/>
              <w:right w:val="single" w:sz="1" w:space="0" w:color="CCCCCC"/>
            </w:tcBorders>
            <w:shd w:val="clear" w:color="auto" w:fill="FDECEA"/>
            <w:tcMar>
              <w:top w:w="72" w:type="dxa"/>
              <w:left w:w="100" w:type="dxa"/>
              <w:bottom w:w="72" w:type="dxa"/>
              <w:right w:w="100" w:type="dxa"/>
            </w:tcMar>
            <w:vAlign w:val="center"/>
          </w:tcPr>
          <w:p w14:paraId="0C3EAC70" w14:textId="77777777" w:rsidR="00B92A74" w:rsidRDefault="00000000">
            <w:r>
              <w:rPr>
                <w:color w:val="1C1C1C"/>
                <w:sz w:val="17"/>
                <w:szCs w:val="17"/>
              </w:rPr>
              <w:t>Contrarian recovery opportunity FY27–28; AI-services pivot underway</w:t>
            </w:r>
          </w:p>
        </w:tc>
      </w:tr>
      <w:tr w:rsidR="00B92A74" w14:paraId="5D8F184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0BC9B047" w14:textId="77777777" w:rsidR="00B92A74" w:rsidRDefault="00000000">
            <w:pPr>
              <w:jc w:val="center"/>
            </w:pPr>
            <w:r>
              <w:rPr>
                <w:b/>
                <w:bCs/>
                <w:color w:val="9A7D0A"/>
                <w:sz w:val="17"/>
                <w:szCs w:val="17"/>
              </w:rPr>
              <w:t>Renewable Energy</w:t>
            </w:r>
          </w:p>
        </w:tc>
        <w:tc>
          <w:tcPr>
            <w:tcW w:w="3563"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537C4BEA" w14:textId="77777777" w:rsidR="00B92A74" w:rsidRDefault="00000000">
            <w:r>
              <w:rPr>
                <w:color w:val="1C1C1C"/>
                <w:sz w:val="17"/>
                <w:szCs w:val="17"/>
              </w:rPr>
              <w:t>India added 50 GW in 2025; 3rd globally in installed capacity (250.52 GW)</w:t>
            </w:r>
          </w:p>
        </w:tc>
        <w:tc>
          <w:tcPr>
            <w:tcW w:w="3563"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62792BB8" w14:textId="77777777" w:rsidR="00B92A74" w:rsidRDefault="00000000">
            <w:r>
              <w:rPr>
                <w:color w:val="1C1C1C"/>
                <w:sz w:val="17"/>
                <w:szCs w:val="17"/>
              </w:rPr>
              <w:t>500 GW target by 2030; $23 Bn FDI committed; 8.16% CAGR to 2034</w:t>
            </w:r>
          </w:p>
        </w:tc>
      </w:tr>
    </w:tbl>
    <w:p w14:paraId="55A2F485" w14:textId="77777777" w:rsidR="00B92A74" w:rsidRDefault="00B92A74">
      <w:pPr>
        <w:spacing w:before="80"/>
      </w:pPr>
    </w:p>
    <w:p w14:paraId="678B69E8" w14:textId="1C9BC22B" w:rsidR="00B92A74" w:rsidRDefault="00E249DA">
      <w:pPr>
        <w:pStyle w:val="Heading2"/>
      </w:pPr>
      <w:r>
        <w:t>1.3 Global</w:t>
      </w:r>
      <w:r w:rsidR="00000000">
        <w:t xml:space="preserve"> Context</w:t>
      </w:r>
    </w:p>
    <w:p w14:paraId="6A6AD015" w14:textId="77777777" w:rsidR="00B92A74" w:rsidRDefault="00000000">
      <w:pPr>
        <w:spacing w:before="60" w:after="80"/>
        <w:jc w:val="both"/>
      </w:pPr>
      <w:r>
        <w:rPr>
          <w:color w:val="1C1C1C"/>
        </w:rPr>
        <w:t>Goldman Sachs noted in late 2025 that India's equity premium to global and EM peers had dipped below its 10-year average — making large-cap Indian equities among the most attractive relative entry points in years. Emerging markets broadly outperformed India (+30% vs +10.5%), but this reflects sector-specific headwinds (IT, FMCG) rather than macroeconomic deterioration. Consensus Nifty 50 target of ~29,000 by end-2026 implies ~12% upside from current levels.</w:t>
      </w:r>
    </w:p>
    <w:p w14:paraId="1EBD9790" w14:textId="77777777" w:rsidR="00B92A74" w:rsidRDefault="00000000">
      <w:r>
        <w:br w:type="page"/>
      </w:r>
    </w:p>
    <w:p w14:paraId="6A6C324C" w14:textId="77777777" w:rsidR="00B92A74" w:rsidRDefault="00000000">
      <w:pPr>
        <w:pStyle w:val="Heading1"/>
        <w:pBdr>
          <w:bottom w:val="single" w:sz="8" w:space="3" w:color="2E75B6"/>
        </w:pBdr>
      </w:pPr>
      <w:r>
        <w:lastRenderedPageBreak/>
        <w:t>Section 2 — Cryptocurrency Trends: BTC, ETH &amp; SOL</w:t>
      </w:r>
    </w:p>
    <w:p w14:paraId="53D27649" w14:textId="77777777" w:rsidR="00B92A74" w:rsidRDefault="00000000">
      <w:pPr>
        <w:spacing w:before="60" w:after="80"/>
        <w:jc w:val="both"/>
      </w:pPr>
      <w:r>
        <w:rPr>
          <w:color w:val="1C1C1C"/>
        </w:rPr>
        <w:t>The cryptocurrency market in 2024–25 completed a structural maturation cycle — shifting from retail speculation to institutional accumulation, regulatory recognition, and ETF-driven legitimacy. Each of the three major assets tells a distinct and instructive story.</w:t>
      </w:r>
    </w:p>
    <w:p w14:paraId="4C109ED8" w14:textId="77777777" w:rsidR="00B92A74" w:rsidRDefault="00B92A7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B92A74" w14:paraId="6438310F"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4AA9385" w14:textId="77777777" w:rsidR="00B92A74" w:rsidRDefault="00000000">
            <w:pPr>
              <w:jc w:val="center"/>
            </w:pPr>
            <w:r>
              <w:rPr>
                <w:b/>
                <w:bCs/>
                <w:color w:val="FFFFFF"/>
                <w:sz w:val="17"/>
                <w:szCs w:val="17"/>
              </w:rPr>
              <w:t>Metric</w:t>
            </w:r>
          </w:p>
        </w:tc>
        <w:tc>
          <w:tcPr>
            <w:tcW w:w="22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0EEA20FF" w14:textId="77777777" w:rsidR="00B92A74" w:rsidRDefault="00000000">
            <w:pPr>
              <w:jc w:val="center"/>
            </w:pPr>
            <w:r>
              <w:rPr>
                <w:b/>
                <w:bCs/>
                <w:color w:val="FFFFFF"/>
                <w:sz w:val="17"/>
                <w:szCs w:val="17"/>
              </w:rPr>
              <w:t>Bitcoin (BTC)</w:t>
            </w:r>
          </w:p>
        </w:tc>
        <w:tc>
          <w:tcPr>
            <w:tcW w:w="22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47009BA5" w14:textId="77777777" w:rsidR="00B92A74" w:rsidRDefault="00000000">
            <w:pPr>
              <w:jc w:val="center"/>
            </w:pPr>
            <w:r>
              <w:rPr>
                <w:b/>
                <w:bCs/>
                <w:color w:val="FFFFFF"/>
                <w:sz w:val="17"/>
                <w:szCs w:val="17"/>
              </w:rPr>
              <w:t>Ethereum (ETH)</w:t>
            </w:r>
          </w:p>
        </w:tc>
        <w:tc>
          <w:tcPr>
            <w:tcW w:w="227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7D5FEDF1" w14:textId="77777777" w:rsidR="00B92A74" w:rsidRDefault="00000000">
            <w:pPr>
              <w:jc w:val="center"/>
            </w:pPr>
            <w:r>
              <w:rPr>
                <w:b/>
                <w:bCs/>
                <w:color w:val="FFFFFF"/>
                <w:sz w:val="17"/>
                <w:szCs w:val="17"/>
              </w:rPr>
              <w:t>Solana (SOL)</w:t>
            </w:r>
          </w:p>
        </w:tc>
      </w:tr>
      <w:tr w:rsidR="00B92A74" w14:paraId="2E0F5C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5ABEE5B0" w14:textId="77777777" w:rsidR="00B92A74" w:rsidRDefault="00000000">
            <w:pPr>
              <w:jc w:val="center"/>
            </w:pPr>
            <w:r>
              <w:rPr>
                <w:b/>
                <w:bCs/>
                <w:color w:val="1F4E79"/>
                <w:sz w:val="17"/>
                <w:szCs w:val="17"/>
              </w:rPr>
              <w:t>Price Range (2025)</w:t>
            </w:r>
          </w:p>
        </w:tc>
        <w:tc>
          <w:tcPr>
            <w:tcW w:w="2275"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687E7796" w14:textId="77777777" w:rsidR="00B92A74" w:rsidRDefault="00000000">
            <w:pPr>
              <w:jc w:val="center"/>
            </w:pPr>
            <w:r>
              <w:rPr>
                <w:color w:val="1C1C1C"/>
                <w:sz w:val="17"/>
                <w:szCs w:val="17"/>
              </w:rPr>
              <w:t>$88K – $125K</w:t>
            </w:r>
          </w:p>
        </w:tc>
        <w:tc>
          <w:tcPr>
            <w:tcW w:w="2275"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56BEAFD9" w14:textId="77777777" w:rsidR="00B92A74" w:rsidRDefault="00000000">
            <w:pPr>
              <w:jc w:val="center"/>
            </w:pPr>
            <w:r>
              <w:rPr>
                <w:color w:val="1C1C1C"/>
                <w:sz w:val="17"/>
                <w:szCs w:val="17"/>
              </w:rPr>
              <w:t>~$2,965</w:t>
            </w:r>
          </w:p>
        </w:tc>
        <w:tc>
          <w:tcPr>
            <w:tcW w:w="2276"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6C6D096C" w14:textId="77777777" w:rsidR="00B92A74" w:rsidRDefault="00000000">
            <w:pPr>
              <w:jc w:val="center"/>
            </w:pPr>
            <w:r>
              <w:rPr>
                <w:color w:val="1C1C1C"/>
                <w:sz w:val="17"/>
                <w:szCs w:val="17"/>
              </w:rPr>
              <w:t>~$105 – $143</w:t>
            </w:r>
          </w:p>
        </w:tc>
      </w:tr>
      <w:tr w:rsidR="00B92A74" w14:paraId="54812A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1E4F6857" w14:textId="77777777" w:rsidR="00B92A74" w:rsidRDefault="00000000">
            <w:pPr>
              <w:jc w:val="center"/>
            </w:pPr>
            <w:r>
              <w:rPr>
                <w:b/>
                <w:bCs/>
                <w:color w:val="1F4E79"/>
                <w:sz w:val="17"/>
                <w:szCs w:val="17"/>
              </w:rPr>
              <w:t>All-Time High</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6762841B" w14:textId="77777777" w:rsidR="00B92A74" w:rsidRDefault="00000000">
            <w:pPr>
              <w:jc w:val="center"/>
            </w:pPr>
            <w:r>
              <w:rPr>
                <w:color w:val="1C1C1C"/>
                <w:sz w:val="17"/>
                <w:szCs w:val="17"/>
              </w:rPr>
              <w:t>$125,000+</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4972E9FB" w14:textId="77777777" w:rsidR="00B92A74" w:rsidRDefault="00000000">
            <w:pPr>
              <w:jc w:val="center"/>
            </w:pPr>
            <w:r>
              <w:rPr>
                <w:color w:val="1C1C1C"/>
                <w:sz w:val="17"/>
                <w:szCs w:val="17"/>
              </w:rPr>
              <w:t>$4,090</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58872AC8" w14:textId="77777777" w:rsidR="00B92A74" w:rsidRDefault="00000000">
            <w:pPr>
              <w:jc w:val="center"/>
            </w:pPr>
            <w:r>
              <w:rPr>
                <w:color w:val="1C1C1C"/>
                <w:sz w:val="17"/>
                <w:szCs w:val="17"/>
              </w:rPr>
              <w:t>$294 (Jan 2025)</w:t>
            </w:r>
          </w:p>
        </w:tc>
      </w:tr>
      <w:tr w:rsidR="00B92A74" w14:paraId="1425ED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7A43780B" w14:textId="77777777" w:rsidR="00B92A74" w:rsidRDefault="00000000">
            <w:pPr>
              <w:jc w:val="center"/>
            </w:pPr>
            <w:r>
              <w:rPr>
                <w:b/>
                <w:bCs/>
                <w:color w:val="1F4E79"/>
                <w:sz w:val="17"/>
                <w:szCs w:val="17"/>
              </w:rPr>
              <w:t>Role</w:t>
            </w:r>
          </w:p>
        </w:tc>
        <w:tc>
          <w:tcPr>
            <w:tcW w:w="2275"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09612FAA" w14:textId="77777777" w:rsidR="00B92A74" w:rsidRDefault="00000000">
            <w:pPr>
              <w:jc w:val="center"/>
            </w:pPr>
            <w:r>
              <w:rPr>
                <w:color w:val="1C1C1C"/>
                <w:sz w:val="17"/>
                <w:szCs w:val="17"/>
              </w:rPr>
              <w:t>Digital Gold / Reserve</w:t>
            </w:r>
          </w:p>
        </w:tc>
        <w:tc>
          <w:tcPr>
            <w:tcW w:w="2275"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706E555C" w14:textId="77777777" w:rsidR="00B92A74" w:rsidRDefault="00000000">
            <w:pPr>
              <w:jc w:val="center"/>
            </w:pPr>
            <w:r>
              <w:rPr>
                <w:color w:val="1C1C1C"/>
                <w:sz w:val="17"/>
                <w:szCs w:val="17"/>
              </w:rPr>
              <w:t>Smart Contract Layer</w:t>
            </w:r>
          </w:p>
        </w:tc>
        <w:tc>
          <w:tcPr>
            <w:tcW w:w="2276"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53CDAAFF" w14:textId="77777777" w:rsidR="00B92A74" w:rsidRDefault="00000000">
            <w:pPr>
              <w:jc w:val="center"/>
            </w:pPr>
            <w:r>
              <w:rPr>
                <w:color w:val="1C1C1C"/>
                <w:sz w:val="17"/>
                <w:szCs w:val="17"/>
              </w:rPr>
              <w:t>High-Speed DeFi Chain</w:t>
            </w:r>
          </w:p>
        </w:tc>
      </w:tr>
      <w:tr w:rsidR="00B92A74" w14:paraId="02127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0E07B5F5" w14:textId="77777777" w:rsidR="00B92A74" w:rsidRDefault="00000000">
            <w:pPr>
              <w:jc w:val="center"/>
            </w:pPr>
            <w:r>
              <w:rPr>
                <w:b/>
                <w:bCs/>
                <w:color w:val="1F4E79"/>
                <w:sz w:val="17"/>
                <w:szCs w:val="17"/>
              </w:rPr>
              <w:t>Institutional Adoption</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58DC21BD" w14:textId="77777777" w:rsidR="00B92A74" w:rsidRDefault="00000000">
            <w:pPr>
              <w:jc w:val="center"/>
            </w:pPr>
            <w:r>
              <w:rPr>
                <w:color w:val="1C1C1C"/>
                <w:sz w:val="17"/>
                <w:szCs w:val="17"/>
              </w:rPr>
              <w:t>Very High (ETFs)</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1007302C" w14:textId="77777777" w:rsidR="00B92A74" w:rsidRDefault="00000000">
            <w:pPr>
              <w:jc w:val="center"/>
            </w:pPr>
            <w:r>
              <w:rPr>
                <w:color w:val="1C1C1C"/>
                <w:sz w:val="17"/>
                <w:szCs w:val="17"/>
              </w:rPr>
              <w:t>Growing</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7ECFB9A9" w14:textId="77777777" w:rsidR="00B92A74" w:rsidRDefault="00000000">
            <w:pPr>
              <w:jc w:val="center"/>
            </w:pPr>
            <w:r>
              <w:rPr>
                <w:color w:val="1C1C1C"/>
                <w:sz w:val="17"/>
                <w:szCs w:val="17"/>
              </w:rPr>
              <w:t>Emerging (ETF Oct 2025)</w:t>
            </w:r>
          </w:p>
        </w:tc>
      </w:tr>
      <w:tr w:rsidR="00B92A74" w14:paraId="047AD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18C4ED4D" w14:textId="77777777" w:rsidR="00B92A74" w:rsidRDefault="00000000">
            <w:pPr>
              <w:jc w:val="center"/>
            </w:pPr>
            <w:r>
              <w:rPr>
                <w:b/>
                <w:bCs/>
                <w:color w:val="1F4E79"/>
                <w:sz w:val="17"/>
                <w:szCs w:val="17"/>
              </w:rPr>
              <w:t>Annualised Volatility</w:t>
            </w:r>
          </w:p>
        </w:tc>
        <w:tc>
          <w:tcPr>
            <w:tcW w:w="2275"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55D04FC8" w14:textId="77777777" w:rsidR="00B92A74" w:rsidRDefault="00000000">
            <w:pPr>
              <w:jc w:val="center"/>
            </w:pPr>
            <w:r>
              <w:rPr>
                <w:color w:val="1C1C1C"/>
                <w:sz w:val="17"/>
                <w:szCs w:val="17"/>
              </w:rPr>
              <w:t>~40%</w:t>
            </w:r>
          </w:p>
        </w:tc>
        <w:tc>
          <w:tcPr>
            <w:tcW w:w="2275"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33918DF7" w14:textId="77777777" w:rsidR="00B92A74" w:rsidRDefault="00000000">
            <w:pPr>
              <w:jc w:val="center"/>
            </w:pPr>
            <w:r>
              <w:rPr>
                <w:color w:val="1C1C1C"/>
                <w:sz w:val="17"/>
                <w:szCs w:val="17"/>
              </w:rPr>
              <w:t>~55%</w:t>
            </w:r>
          </w:p>
        </w:tc>
        <w:tc>
          <w:tcPr>
            <w:tcW w:w="2276"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71FFFC31" w14:textId="77777777" w:rsidR="00B92A74" w:rsidRDefault="00000000">
            <w:pPr>
              <w:jc w:val="center"/>
            </w:pPr>
            <w:r>
              <w:rPr>
                <w:color w:val="1C1C1C"/>
                <w:sz w:val="17"/>
                <w:szCs w:val="17"/>
              </w:rPr>
              <w:t>~80%</w:t>
            </w:r>
          </w:p>
        </w:tc>
      </w:tr>
      <w:tr w:rsidR="00B92A74" w14:paraId="1F4C28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78AC7624" w14:textId="77777777" w:rsidR="00B92A74" w:rsidRDefault="00000000">
            <w:pPr>
              <w:jc w:val="center"/>
            </w:pPr>
            <w:r>
              <w:rPr>
                <w:b/>
                <w:bCs/>
                <w:color w:val="1F4E79"/>
                <w:sz w:val="17"/>
                <w:szCs w:val="17"/>
              </w:rPr>
              <w:t>Key 2025 Catalyst</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0B3D34D3" w14:textId="77777777" w:rsidR="00B92A74" w:rsidRDefault="00000000">
            <w:pPr>
              <w:jc w:val="center"/>
            </w:pPr>
            <w:r>
              <w:rPr>
                <w:color w:val="1C1C1C"/>
                <w:sz w:val="17"/>
                <w:szCs w:val="17"/>
              </w:rPr>
              <w:t>Spot ETFs + Halving</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46202BF0" w14:textId="77777777" w:rsidR="00B92A74" w:rsidRDefault="00000000">
            <w:pPr>
              <w:jc w:val="center"/>
            </w:pPr>
            <w:r>
              <w:rPr>
                <w:color w:val="1C1C1C"/>
                <w:sz w:val="17"/>
                <w:szCs w:val="17"/>
              </w:rPr>
              <w:t>Layer-2 expansion</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5B42733F" w14:textId="77777777" w:rsidR="00B92A74" w:rsidRDefault="00000000">
            <w:pPr>
              <w:jc w:val="center"/>
            </w:pPr>
            <w:r>
              <w:rPr>
                <w:color w:val="1C1C1C"/>
                <w:sz w:val="17"/>
                <w:szCs w:val="17"/>
              </w:rPr>
              <w:t>Memecoins + Firedancer</w:t>
            </w:r>
          </w:p>
        </w:tc>
      </w:tr>
    </w:tbl>
    <w:p w14:paraId="47C076AB" w14:textId="77777777" w:rsidR="00B92A74" w:rsidRDefault="00B92A74">
      <w:pPr>
        <w:spacing w:before="100"/>
      </w:pPr>
    </w:p>
    <w:p w14:paraId="3D955C75" w14:textId="1306555E" w:rsidR="00B92A74" w:rsidRDefault="00E249DA">
      <w:pPr>
        <w:pStyle w:val="Heading2"/>
      </w:pPr>
      <w:r>
        <w:t>2.1 Bitcoin</w:t>
      </w:r>
      <w:r w:rsidR="00000000">
        <w:t xml:space="preserve"> — Institutional Reserve Asset</w:t>
      </w:r>
    </w:p>
    <w:p w14:paraId="2608C248" w14:textId="77777777" w:rsidR="00B92A74" w:rsidRDefault="00000000">
      <w:pPr>
        <w:spacing w:before="60" w:after="80"/>
        <w:jc w:val="both"/>
      </w:pPr>
      <w:r>
        <w:rPr>
          <w:b/>
          <w:bCs/>
          <w:color w:val="1C1C1C"/>
        </w:rPr>
        <w:t xml:space="preserve">The April 2024 halving </w:t>
      </w:r>
      <w:r>
        <w:rPr>
          <w:color w:val="1C1C1C"/>
        </w:rPr>
        <w:t xml:space="preserve">(block reward: 6.25 → 3.125 BTC) acted as a supply catalyst, driving BTC above $125,000 by late 2025. This cycle was structurally different: institutional buying through spot ETFs replaced retail speculation, and the creation of a </w:t>
      </w:r>
      <w:r>
        <w:rPr>
          <w:b/>
          <w:bCs/>
          <w:color w:val="1C1C1C"/>
        </w:rPr>
        <w:t xml:space="preserve">US Strategic Bitcoin Reserve </w:t>
      </w:r>
      <w:r>
        <w:rPr>
          <w:color w:val="1C1C1C"/>
        </w:rPr>
        <w:t>signalled mainstream adoption. JPMorgan set $94,000 as a production-cost floor and $170,000 as a 2026 target.</w:t>
      </w:r>
    </w:p>
    <w:p w14:paraId="39120C76" w14:textId="138BA214" w:rsidR="00B92A74" w:rsidRDefault="00E249DA">
      <w:pPr>
        <w:pStyle w:val="Heading2"/>
      </w:pPr>
      <w:r>
        <w:t>2.2 Ethereum</w:t>
      </w:r>
      <w:r w:rsidR="00000000">
        <w:t xml:space="preserve"> — Smart Contract Backbone</w:t>
      </w:r>
    </w:p>
    <w:p w14:paraId="0474EF93" w14:textId="77777777" w:rsidR="00B92A74" w:rsidRDefault="00000000">
      <w:pPr>
        <w:spacing w:before="60" w:after="80"/>
        <w:jc w:val="both"/>
      </w:pPr>
      <w:r>
        <w:rPr>
          <w:b/>
          <w:bCs/>
          <w:color w:val="1C1C1C"/>
        </w:rPr>
        <w:t xml:space="preserve">Ethereum's Layer-2 ecosystem (Arbitrum, Optimism, zkSync, Base) </w:t>
      </w:r>
      <w:r>
        <w:rPr>
          <w:color w:val="1C1C1C"/>
        </w:rPr>
        <w:t xml:space="preserve">absorbed millions of daily transactions at a fraction of main-chain fees. ETH traded ~$2,965 in late 2025, with analyst targets of $3,200–$7,000. ETH's inclusion in US Digital Asset Stockpile discussions furthered institutional legitimacy. The upcoming </w:t>
      </w:r>
      <w:r>
        <w:rPr>
          <w:b/>
          <w:bCs/>
          <w:color w:val="1C1C1C"/>
        </w:rPr>
        <w:t xml:space="preserve">Pectra upgrade (10,000+ TPS target) </w:t>
      </w:r>
      <w:r>
        <w:rPr>
          <w:color w:val="1C1C1C"/>
        </w:rPr>
        <w:t>is the major 2026–27 catalyst.</w:t>
      </w:r>
    </w:p>
    <w:p w14:paraId="151792AD" w14:textId="30B964CE" w:rsidR="00B92A74" w:rsidRDefault="00E249DA">
      <w:pPr>
        <w:pStyle w:val="Heading2"/>
      </w:pPr>
      <w:r>
        <w:t>2.3 Solana</w:t>
      </w:r>
      <w:r w:rsidR="00000000">
        <w:t xml:space="preserve"> — Speed, Scale &amp; Volatility</w:t>
      </w:r>
    </w:p>
    <w:p w14:paraId="4462BA22" w14:textId="77777777" w:rsidR="00B92A74" w:rsidRDefault="00000000">
      <w:pPr>
        <w:spacing w:before="60" w:after="80"/>
        <w:jc w:val="both"/>
      </w:pPr>
      <w:r>
        <w:rPr>
          <w:color w:val="1C1C1C"/>
        </w:rPr>
        <w:t xml:space="preserve">Solana's DEX volume surpassed Ethereum's for 10 consecutive months in 2024. SOL reached ATH ~$294 in January 2025, then fell 64% to ~$105 on trade war fears — illustrating altcoin risk. </w:t>
      </w:r>
      <w:r>
        <w:rPr>
          <w:b/>
          <w:bCs/>
          <w:color w:val="1C1C1C"/>
        </w:rPr>
        <w:t xml:space="preserve">Spot Solana ETFs launched in October 2025 </w:t>
      </w:r>
      <w:r>
        <w:rPr>
          <w:color w:val="1C1C1C"/>
        </w:rPr>
        <w:t>brought institutional legitimacy. Firedancer client optimisation may unlock 67% upside from current levels per analyst consensus.</w:t>
      </w:r>
    </w:p>
    <w:p w14:paraId="1A8B888A" w14:textId="2F412E1F" w:rsidR="00B92A74" w:rsidRDefault="00E249DA">
      <w:pPr>
        <w:pStyle w:val="Heading2"/>
      </w:pPr>
      <w:r>
        <w:t>2.4 Crypto</w:t>
      </w:r>
      <w:r w:rsidR="00000000">
        <w:t xml:space="preserve"> vs. Equities — Risk-Return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6"/>
        <w:gridCol w:w="1706"/>
        <w:gridCol w:w="1707"/>
        <w:gridCol w:w="1707"/>
      </w:tblGrid>
      <w:tr w:rsidR="00B92A74" w14:paraId="3E4F9A31"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7601D5F8" w14:textId="77777777" w:rsidR="00B92A74" w:rsidRDefault="00000000">
            <w:pPr>
              <w:jc w:val="center"/>
            </w:pPr>
            <w:r>
              <w:rPr>
                <w:b/>
                <w:bCs/>
                <w:color w:val="FFFFFF"/>
                <w:sz w:val="17"/>
                <w:szCs w:val="17"/>
              </w:rPr>
              <w:t>Asset</w:t>
            </w:r>
          </w:p>
        </w:tc>
        <w:tc>
          <w:tcPr>
            <w:tcW w:w="170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F7A8201" w14:textId="77777777" w:rsidR="00B92A74" w:rsidRDefault="00000000">
            <w:pPr>
              <w:jc w:val="center"/>
            </w:pPr>
            <w:r>
              <w:rPr>
                <w:b/>
                <w:bCs/>
                <w:color w:val="FFFFFF"/>
                <w:sz w:val="17"/>
                <w:szCs w:val="17"/>
              </w:rPr>
              <w:t>Ann. Volatility</w:t>
            </w:r>
          </w:p>
        </w:tc>
        <w:tc>
          <w:tcPr>
            <w:tcW w:w="170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9DA4464" w14:textId="77777777" w:rsidR="00B92A74" w:rsidRDefault="00000000">
            <w:pPr>
              <w:jc w:val="center"/>
            </w:pPr>
            <w:r>
              <w:rPr>
                <w:b/>
                <w:bCs/>
                <w:color w:val="FFFFFF"/>
                <w:sz w:val="17"/>
                <w:szCs w:val="17"/>
              </w:rPr>
              <w:t>Max Drawdown</w:t>
            </w:r>
          </w:p>
        </w:tc>
        <w:tc>
          <w:tcPr>
            <w:tcW w:w="170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57E9CFA" w14:textId="77777777" w:rsidR="00B92A74" w:rsidRDefault="00000000">
            <w:pPr>
              <w:jc w:val="center"/>
            </w:pPr>
            <w:r>
              <w:rPr>
                <w:b/>
                <w:bCs/>
                <w:color w:val="FFFFFF"/>
                <w:sz w:val="17"/>
                <w:szCs w:val="17"/>
              </w:rPr>
              <w:t>Return Profile</w:t>
            </w:r>
          </w:p>
        </w:tc>
        <w:tc>
          <w:tcPr>
            <w:tcW w:w="170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0558E4D6" w14:textId="77777777" w:rsidR="00B92A74" w:rsidRDefault="00000000">
            <w:pPr>
              <w:jc w:val="center"/>
            </w:pPr>
            <w:r>
              <w:rPr>
                <w:b/>
                <w:bCs/>
                <w:color w:val="FFFFFF"/>
                <w:sz w:val="17"/>
                <w:szCs w:val="17"/>
              </w:rPr>
              <w:t>Recommended Wt.</w:t>
            </w:r>
          </w:p>
        </w:tc>
      </w:tr>
      <w:tr w:rsidR="00B92A74" w14:paraId="683C40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0EDB2956" w14:textId="77777777" w:rsidR="00B92A74" w:rsidRDefault="00000000">
            <w:pPr>
              <w:jc w:val="center"/>
            </w:pPr>
            <w:r>
              <w:rPr>
                <w:b/>
                <w:bCs/>
                <w:color w:val="1F4E79"/>
                <w:sz w:val="17"/>
                <w:szCs w:val="17"/>
              </w:rPr>
              <w:t>Nifty 50 (Equities)</w:t>
            </w:r>
          </w:p>
        </w:tc>
        <w:tc>
          <w:tcPr>
            <w:tcW w:w="170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08CD926D" w14:textId="77777777" w:rsidR="00B92A74" w:rsidRDefault="00000000">
            <w:pPr>
              <w:jc w:val="center"/>
            </w:pPr>
            <w:r>
              <w:rPr>
                <w:color w:val="1C1C1C"/>
                <w:sz w:val="17"/>
                <w:szCs w:val="17"/>
              </w:rPr>
              <w:t>15–20%</w:t>
            </w:r>
          </w:p>
        </w:tc>
        <w:tc>
          <w:tcPr>
            <w:tcW w:w="170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51770C54" w14:textId="77777777" w:rsidR="00B92A74" w:rsidRDefault="00000000">
            <w:pPr>
              <w:jc w:val="center"/>
            </w:pPr>
            <w:r>
              <w:rPr>
                <w:color w:val="1E7D4A"/>
                <w:sz w:val="17"/>
                <w:szCs w:val="17"/>
              </w:rPr>
              <w:t>10–25%</w:t>
            </w:r>
          </w:p>
        </w:tc>
        <w:tc>
          <w:tcPr>
            <w:tcW w:w="1707"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5F20DD36" w14:textId="77777777" w:rsidR="00B92A74" w:rsidRDefault="00000000">
            <w:pPr>
              <w:jc w:val="center"/>
            </w:pPr>
            <w:r>
              <w:rPr>
                <w:color w:val="1C1C1C"/>
                <w:sz w:val="17"/>
                <w:szCs w:val="17"/>
              </w:rPr>
              <w:t>10–18% p.a.</w:t>
            </w:r>
          </w:p>
        </w:tc>
        <w:tc>
          <w:tcPr>
            <w:tcW w:w="1707"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0AD353A3" w14:textId="77777777" w:rsidR="00B92A74" w:rsidRDefault="00000000">
            <w:pPr>
              <w:jc w:val="center"/>
            </w:pPr>
            <w:r>
              <w:rPr>
                <w:color w:val="1C1C1C"/>
                <w:sz w:val="17"/>
                <w:szCs w:val="17"/>
              </w:rPr>
              <w:t>50–65%</w:t>
            </w:r>
          </w:p>
        </w:tc>
      </w:tr>
      <w:tr w:rsidR="00B92A74" w14:paraId="68610A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6A8BCEFF" w14:textId="77777777" w:rsidR="00B92A74" w:rsidRDefault="00000000">
            <w:pPr>
              <w:jc w:val="center"/>
            </w:pPr>
            <w:r>
              <w:rPr>
                <w:b/>
                <w:bCs/>
                <w:color w:val="1F4E79"/>
                <w:sz w:val="17"/>
                <w:szCs w:val="17"/>
              </w:rPr>
              <w:t>Bitcoin (BTC)</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10910C05" w14:textId="77777777" w:rsidR="00B92A74" w:rsidRDefault="00000000">
            <w:pPr>
              <w:jc w:val="center"/>
            </w:pPr>
            <w:r>
              <w:rPr>
                <w:color w:val="1C1C1C"/>
                <w:sz w:val="17"/>
                <w:szCs w:val="17"/>
              </w:rPr>
              <w:t>~40%</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2786C734" w14:textId="77777777" w:rsidR="00B92A74" w:rsidRDefault="00000000">
            <w:pPr>
              <w:jc w:val="center"/>
            </w:pPr>
            <w:r>
              <w:rPr>
                <w:color w:val="C0392B"/>
                <w:sz w:val="17"/>
                <w:szCs w:val="17"/>
              </w:rPr>
              <w:t>30–55%</w:t>
            </w:r>
          </w:p>
        </w:tc>
        <w:tc>
          <w:tcPr>
            <w:tcW w:w="1707"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7894CFE2" w14:textId="77777777" w:rsidR="00B92A74" w:rsidRDefault="00000000">
            <w:pPr>
              <w:jc w:val="center"/>
            </w:pPr>
            <w:r>
              <w:rPr>
                <w:color w:val="1C1C1C"/>
                <w:sz w:val="17"/>
                <w:szCs w:val="17"/>
              </w:rPr>
              <w:t>Asymmetric</w:t>
            </w:r>
          </w:p>
        </w:tc>
        <w:tc>
          <w:tcPr>
            <w:tcW w:w="1707"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7FF80191" w14:textId="77777777" w:rsidR="00B92A74" w:rsidRDefault="00000000">
            <w:pPr>
              <w:jc w:val="center"/>
            </w:pPr>
            <w:r>
              <w:rPr>
                <w:color w:val="1C1C1C"/>
                <w:sz w:val="17"/>
                <w:szCs w:val="17"/>
              </w:rPr>
              <w:t>5–10%</w:t>
            </w:r>
          </w:p>
        </w:tc>
      </w:tr>
      <w:tr w:rsidR="00B92A74" w14:paraId="3C3FD4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6DD2BC05" w14:textId="77777777" w:rsidR="00B92A74" w:rsidRDefault="00000000">
            <w:pPr>
              <w:jc w:val="center"/>
            </w:pPr>
            <w:r>
              <w:rPr>
                <w:b/>
                <w:bCs/>
                <w:color w:val="1F4E79"/>
                <w:sz w:val="17"/>
                <w:szCs w:val="17"/>
              </w:rPr>
              <w:t>Ethereum (ETH)</w:t>
            </w:r>
          </w:p>
        </w:tc>
        <w:tc>
          <w:tcPr>
            <w:tcW w:w="170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4884014E" w14:textId="77777777" w:rsidR="00B92A74" w:rsidRDefault="00000000">
            <w:pPr>
              <w:jc w:val="center"/>
            </w:pPr>
            <w:r>
              <w:rPr>
                <w:color w:val="1C1C1C"/>
                <w:sz w:val="17"/>
                <w:szCs w:val="17"/>
              </w:rPr>
              <w:t>~55%</w:t>
            </w:r>
          </w:p>
        </w:tc>
        <w:tc>
          <w:tcPr>
            <w:tcW w:w="170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0B32DFFC" w14:textId="77777777" w:rsidR="00B92A74" w:rsidRDefault="00000000">
            <w:pPr>
              <w:jc w:val="center"/>
            </w:pPr>
            <w:r>
              <w:rPr>
                <w:color w:val="C0392B"/>
                <w:sz w:val="17"/>
                <w:szCs w:val="17"/>
              </w:rPr>
              <w:t>40–70%</w:t>
            </w:r>
          </w:p>
        </w:tc>
        <w:tc>
          <w:tcPr>
            <w:tcW w:w="1707"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39C7876F" w14:textId="77777777" w:rsidR="00B92A74" w:rsidRDefault="00000000">
            <w:pPr>
              <w:jc w:val="center"/>
            </w:pPr>
            <w:r>
              <w:rPr>
                <w:color w:val="1C1C1C"/>
                <w:sz w:val="17"/>
                <w:szCs w:val="17"/>
              </w:rPr>
              <w:t>Asymmetric</w:t>
            </w:r>
          </w:p>
        </w:tc>
        <w:tc>
          <w:tcPr>
            <w:tcW w:w="1707"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36A392B4" w14:textId="77777777" w:rsidR="00B92A74" w:rsidRDefault="00000000">
            <w:pPr>
              <w:jc w:val="center"/>
            </w:pPr>
            <w:r>
              <w:rPr>
                <w:color w:val="1C1C1C"/>
                <w:sz w:val="17"/>
                <w:szCs w:val="17"/>
              </w:rPr>
              <w:t>3–6%</w:t>
            </w:r>
          </w:p>
        </w:tc>
      </w:tr>
      <w:tr w:rsidR="00B92A74" w14:paraId="491CA0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77B56202" w14:textId="77777777" w:rsidR="00B92A74" w:rsidRDefault="00000000">
            <w:pPr>
              <w:jc w:val="center"/>
            </w:pPr>
            <w:r>
              <w:rPr>
                <w:b/>
                <w:bCs/>
                <w:color w:val="1F4E79"/>
                <w:sz w:val="17"/>
                <w:szCs w:val="17"/>
              </w:rPr>
              <w:t>Solana (SOL)</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047DEEA7" w14:textId="77777777" w:rsidR="00B92A74" w:rsidRDefault="00000000">
            <w:pPr>
              <w:jc w:val="center"/>
            </w:pPr>
            <w:r>
              <w:rPr>
                <w:color w:val="1C1C1C"/>
                <w:sz w:val="17"/>
                <w:szCs w:val="17"/>
              </w:rPr>
              <w:t>~80%</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6E391CF6" w14:textId="77777777" w:rsidR="00B92A74" w:rsidRDefault="00000000">
            <w:pPr>
              <w:jc w:val="center"/>
            </w:pPr>
            <w:r>
              <w:rPr>
                <w:color w:val="C0392B"/>
                <w:sz w:val="17"/>
                <w:szCs w:val="17"/>
              </w:rPr>
              <w:t>60–85%</w:t>
            </w:r>
          </w:p>
        </w:tc>
        <w:tc>
          <w:tcPr>
            <w:tcW w:w="1707"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2018EE39" w14:textId="77777777" w:rsidR="00B92A74" w:rsidRDefault="00000000">
            <w:pPr>
              <w:jc w:val="center"/>
            </w:pPr>
            <w:r>
              <w:rPr>
                <w:color w:val="1C1C1C"/>
                <w:sz w:val="17"/>
                <w:szCs w:val="17"/>
              </w:rPr>
              <w:t>Very High Risk</w:t>
            </w:r>
          </w:p>
        </w:tc>
        <w:tc>
          <w:tcPr>
            <w:tcW w:w="1707"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7777C710" w14:textId="77777777" w:rsidR="00B92A74" w:rsidRDefault="00000000">
            <w:pPr>
              <w:jc w:val="center"/>
            </w:pPr>
            <w:r>
              <w:rPr>
                <w:color w:val="1C1C1C"/>
                <w:sz w:val="17"/>
                <w:szCs w:val="17"/>
              </w:rPr>
              <w:t>1–4%</w:t>
            </w:r>
          </w:p>
        </w:tc>
      </w:tr>
    </w:tbl>
    <w:p w14:paraId="6A38F55F" w14:textId="77777777" w:rsidR="00B92A74" w:rsidRDefault="00000000">
      <w:r>
        <w:br w:type="page"/>
      </w:r>
    </w:p>
    <w:p w14:paraId="262A2B5C" w14:textId="77777777" w:rsidR="00B92A74" w:rsidRDefault="00000000">
      <w:pPr>
        <w:pStyle w:val="Heading1"/>
        <w:pBdr>
          <w:bottom w:val="single" w:sz="8" w:space="3" w:color="2E75B6"/>
        </w:pBdr>
      </w:pPr>
      <w:r>
        <w:lastRenderedPageBreak/>
        <w:t>Section 3 — Risk Management in Investments</w:t>
      </w:r>
    </w:p>
    <w:p w14:paraId="3ACE26D6" w14:textId="77777777" w:rsidR="00B92A74" w:rsidRDefault="00000000">
      <w:pPr>
        <w:spacing w:before="60" w:after="80"/>
        <w:jc w:val="both"/>
      </w:pPr>
      <w:r>
        <w:rPr>
          <w:color w:val="1C1C1C"/>
        </w:rPr>
        <w:t>Risk management is the foundation of sustainable investment returns. Below are the four most critical risk categories, how they manifested in 2025, and their practical mitigations.</w:t>
      </w:r>
    </w:p>
    <w:p w14:paraId="11B4C559" w14:textId="77777777" w:rsidR="00B92A74" w:rsidRDefault="00B92A7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2913"/>
        <w:gridCol w:w="2913"/>
      </w:tblGrid>
      <w:tr w:rsidR="00B92A74" w14:paraId="58F23842" w14:textId="77777777">
        <w:tblPrEx>
          <w:tblCellMar>
            <w:top w:w="0" w:type="dxa"/>
            <w:bottom w:w="0" w:type="dxa"/>
          </w:tblCellMar>
        </w:tblPrEx>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F03A67F" w14:textId="77777777" w:rsidR="00B92A74" w:rsidRDefault="00000000">
            <w:pPr>
              <w:jc w:val="center"/>
            </w:pPr>
            <w:r>
              <w:rPr>
                <w:b/>
                <w:bCs/>
                <w:color w:val="FFFFFF"/>
                <w:sz w:val="17"/>
                <w:szCs w:val="17"/>
              </w:rPr>
              <w:t>Risk Type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A1734B3" w14:textId="77777777" w:rsidR="00B92A74" w:rsidRDefault="00000000">
            <w:pPr>
              <w:jc w:val="center"/>
            </w:pPr>
            <w:r>
              <w:rPr>
                <w:b/>
                <w:bCs/>
                <w:color w:val="FFFFFF"/>
                <w:sz w:val="17"/>
                <w:szCs w:val="17"/>
              </w:rPr>
              <w:t>Impact Area</w:t>
            </w:r>
          </w:p>
        </w:tc>
        <w:tc>
          <w:tcPr>
            <w:tcW w:w="29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74D7358" w14:textId="77777777" w:rsidR="00B92A74" w:rsidRDefault="00000000">
            <w:pPr>
              <w:jc w:val="center"/>
            </w:pPr>
            <w:r>
              <w:rPr>
                <w:b/>
                <w:bCs/>
                <w:color w:val="FFFFFF"/>
                <w:sz w:val="17"/>
                <w:szCs w:val="17"/>
              </w:rPr>
              <w:t>2025 Manifestation</w:t>
            </w:r>
          </w:p>
        </w:tc>
        <w:tc>
          <w:tcPr>
            <w:tcW w:w="29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14ED946" w14:textId="77777777" w:rsidR="00B92A74" w:rsidRDefault="00000000">
            <w:pPr>
              <w:jc w:val="center"/>
            </w:pPr>
            <w:r>
              <w:rPr>
                <w:b/>
                <w:bCs/>
                <w:color w:val="FFFFFF"/>
                <w:sz w:val="17"/>
                <w:szCs w:val="17"/>
              </w:rPr>
              <w:t>Mitigation Strategy</w:t>
            </w:r>
          </w:p>
        </w:tc>
      </w:tr>
      <w:tr w:rsidR="00B92A74" w14:paraId="69E16DE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00" w:type="dxa"/>
              <w:bottom w:w="80" w:type="dxa"/>
              <w:right w:w="100" w:type="dxa"/>
            </w:tcMar>
          </w:tcPr>
          <w:p w14:paraId="5F65100B" w14:textId="77777777" w:rsidR="00B92A74" w:rsidRDefault="00000000">
            <w:r>
              <w:rPr>
                <w:b/>
                <w:bCs/>
                <w:color w:val="9A7D0A"/>
                <w:sz w:val="17"/>
                <w:szCs w:val="17"/>
              </w:rPr>
              <w:t>1. Market Risk (Systematic)</w:t>
            </w:r>
          </w:p>
        </w:tc>
        <w:tc>
          <w:tcPr>
            <w:tcW w:w="1500"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43256E8E" w14:textId="77777777" w:rsidR="00B92A74" w:rsidRDefault="00000000">
            <w:r>
              <w:rPr>
                <w:color w:val="1C1C1C"/>
                <w:sz w:val="17"/>
                <w:szCs w:val="17"/>
              </w:rPr>
              <w:t>All asset classes</w:t>
            </w:r>
          </w:p>
        </w:tc>
        <w:tc>
          <w:tcPr>
            <w:tcW w:w="2913"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0E0F2165" w14:textId="77777777" w:rsidR="00B92A74" w:rsidRDefault="00000000">
            <w:r>
              <w:rPr>
                <w:color w:val="1C1C1C"/>
                <w:sz w:val="17"/>
                <w:szCs w:val="17"/>
              </w:rPr>
              <w:t>INR depreciation, US tariff shocks, global risk-off hit all portfolios regardless of stock quality</w:t>
            </w:r>
          </w:p>
        </w:tc>
        <w:tc>
          <w:tcPr>
            <w:tcW w:w="2913"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7580D111" w14:textId="77777777" w:rsidR="00B92A74" w:rsidRDefault="00000000">
            <w:r>
              <w:rPr>
                <w:color w:val="1C1C1C"/>
                <w:sz w:val="17"/>
                <w:szCs w:val="17"/>
              </w:rPr>
              <w:t>Diversify across equity, debt, gold, crypto; use DCA to reduce market-timing errors</w:t>
            </w:r>
          </w:p>
        </w:tc>
      </w:tr>
      <w:tr w:rsidR="00B92A74" w14:paraId="615121B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084283DA" w14:textId="77777777" w:rsidR="00B92A74" w:rsidRDefault="00000000">
            <w:r>
              <w:rPr>
                <w:b/>
                <w:bCs/>
                <w:color w:val="C0392B"/>
                <w:sz w:val="17"/>
                <w:szCs w:val="17"/>
              </w:rPr>
              <w:t>2. Liquidity Risk</w:t>
            </w:r>
          </w:p>
        </w:tc>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72" w:type="dxa"/>
              <w:left w:w="100" w:type="dxa"/>
              <w:bottom w:w="72" w:type="dxa"/>
              <w:right w:w="100" w:type="dxa"/>
            </w:tcMar>
            <w:vAlign w:val="center"/>
          </w:tcPr>
          <w:p w14:paraId="7AC8ED80" w14:textId="77777777" w:rsidR="00B92A74" w:rsidRDefault="00000000">
            <w:r>
              <w:rPr>
                <w:color w:val="1C1C1C"/>
                <w:sz w:val="17"/>
                <w:szCs w:val="17"/>
              </w:rPr>
              <w:t>Small-caps, altcoins, meme tokens</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094C4742" w14:textId="77777777" w:rsidR="00B92A74" w:rsidRDefault="00000000">
            <w:r>
              <w:rPr>
                <w:color w:val="1C1C1C"/>
                <w:sz w:val="17"/>
                <w:szCs w:val="17"/>
              </w:rPr>
              <w:t>Mid-cap crypto tokens suffered severe liquidity crises; thin-traded small-caps widened spreads dramatically</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4E5656EA" w14:textId="77777777" w:rsidR="00B92A74" w:rsidRDefault="00000000">
            <w:r>
              <w:rPr>
                <w:color w:val="1C1C1C"/>
                <w:sz w:val="17"/>
                <w:szCs w:val="17"/>
              </w:rPr>
              <w:t>Maintain 10–15% in highly liquid assets; avoid illiquid altcoins &gt;5% of portfolio</w:t>
            </w:r>
          </w:p>
        </w:tc>
      </w:tr>
      <w:tr w:rsidR="00B92A74" w14:paraId="0FC6D9B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00" w:type="dxa"/>
              <w:bottom w:w="80" w:type="dxa"/>
              <w:right w:w="100" w:type="dxa"/>
            </w:tcMar>
          </w:tcPr>
          <w:p w14:paraId="0087CACB" w14:textId="77777777" w:rsidR="00B92A74" w:rsidRDefault="00000000">
            <w:r>
              <w:rPr>
                <w:b/>
                <w:bCs/>
                <w:color w:val="D35400"/>
                <w:sz w:val="17"/>
                <w:szCs w:val="17"/>
              </w:rPr>
              <w:t>3. Concentration Risk</w:t>
            </w:r>
          </w:p>
        </w:tc>
        <w:tc>
          <w:tcPr>
            <w:tcW w:w="1500" w:type="dxa"/>
            <w:tcBorders>
              <w:top w:val="single" w:sz="1" w:space="0" w:color="CCCCCC"/>
              <w:left w:val="single" w:sz="1" w:space="0" w:color="CCCCCC"/>
              <w:bottom w:val="single" w:sz="1" w:space="0" w:color="CCCCCC"/>
              <w:right w:val="single" w:sz="1" w:space="0" w:color="CCCCCC"/>
            </w:tcBorders>
            <w:shd w:val="clear" w:color="auto" w:fill="FDEBD0"/>
            <w:tcMar>
              <w:top w:w="72" w:type="dxa"/>
              <w:left w:w="100" w:type="dxa"/>
              <w:bottom w:w="72" w:type="dxa"/>
              <w:right w:w="100" w:type="dxa"/>
            </w:tcMar>
            <w:vAlign w:val="center"/>
          </w:tcPr>
          <w:p w14:paraId="747B88A3" w14:textId="77777777" w:rsidR="00B92A74" w:rsidRDefault="00000000">
            <w:r>
              <w:rPr>
                <w:color w:val="1C1C1C"/>
                <w:sz w:val="17"/>
                <w:szCs w:val="17"/>
              </w:rPr>
              <w:t>Single sector / asset</w:t>
            </w:r>
          </w:p>
        </w:tc>
        <w:tc>
          <w:tcPr>
            <w:tcW w:w="2913"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4235CC94" w14:textId="77777777" w:rsidR="00B92A74" w:rsidRDefault="00000000">
            <w:r>
              <w:rPr>
                <w:color w:val="1C1C1C"/>
                <w:sz w:val="17"/>
                <w:szCs w:val="17"/>
              </w:rPr>
              <w:t>Nifty IT -25% for IT-only portfolios; SOL -64% in Q1 2025 for SOL-only crypto holders</w:t>
            </w:r>
          </w:p>
        </w:tc>
        <w:tc>
          <w:tcPr>
            <w:tcW w:w="2913"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24F6166B" w14:textId="77777777" w:rsidR="00B92A74" w:rsidRDefault="00000000">
            <w:r>
              <w:rPr>
                <w:color w:val="1C1C1C"/>
                <w:sz w:val="17"/>
                <w:szCs w:val="17"/>
              </w:rPr>
              <w:t>MPT-based diversification; max 20% any single stock; crypto capped at 10–15% total</w:t>
            </w:r>
          </w:p>
        </w:tc>
      </w:tr>
      <w:tr w:rsidR="00B92A74" w14:paraId="2A0D57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A9C23D1" w14:textId="77777777" w:rsidR="00B92A74" w:rsidRDefault="00000000">
            <w:r>
              <w:rPr>
                <w:b/>
                <w:bCs/>
                <w:color w:val="2E75B6"/>
                <w:sz w:val="17"/>
                <w:szCs w:val="17"/>
              </w:rPr>
              <w:t>4. Regulatory Risk</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3316E1F1" w14:textId="77777777" w:rsidR="00B92A74" w:rsidRDefault="00000000">
            <w:r>
              <w:rPr>
                <w:color w:val="1C1C1C"/>
                <w:sz w:val="17"/>
                <w:szCs w:val="17"/>
              </w:rPr>
              <w:t>Crypto &amp; emerging markets</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0FE6AC4D" w14:textId="77777777" w:rsidR="00B92A74" w:rsidRDefault="00000000">
            <w:r>
              <w:rPr>
                <w:color w:val="1C1C1C"/>
                <w:sz w:val="17"/>
                <w:szCs w:val="17"/>
              </w:rPr>
              <w:t>India's 30% flat tax + 1% TDS on crypto created significant uncertainty and liquidity withdrawal</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1F6CBFF8" w14:textId="77777777" w:rsidR="00B92A74" w:rsidRDefault="00000000">
            <w:r>
              <w:rPr>
                <w:color w:val="1C1C1C"/>
                <w:sz w:val="17"/>
                <w:szCs w:val="17"/>
              </w:rPr>
              <w:t>SEBI-registered exchanges only; maintain full tax documentation; monitor CBDT circulars</w:t>
            </w:r>
          </w:p>
        </w:tc>
      </w:tr>
    </w:tbl>
    <w:p w14:paraId="5CD70BA7" w14:textId="77777777" w:rsidR="00B92A74" w:rsidRDefault="00B92A74">
      <w:pPr>
        <w:spacing w:before="100"/>
      </w:pPr>
    </w:p>
    <w:p w14:paraId="40E6F47D" w14:textId="7747B309" w:rsidR="00B92A74" w:rsidRDefault="00E249DA">
      <w:pPr>
        <w:pStyle w:val="Heading2"/>
      </w:pPr>
      <w:r>
        <w:t>3.1 Risk</w:t>
      </w:r>
      <w:r w:rsidR="00000000">
        <w:t xml:space="preserve"> Management Principles</w:t>
      </w:r>
    </w:p>
    <w:p w14:paraId="773E2BAF" w14:textId="77777777" w:rsidR="00B92A74" w:rsidRDefault="00000000">
      <w:pPr>
        <w:pStyle w:val="ListParagraph"/>
        <w:numPr>
          <w:ilvl w:val="0"/>
          <w:numId w:val="2"/>
        </w:numPr>
        <w:spacing w:before="40" w:after="40"/>
      </w:pPr>
      <w:r>
        <w:rPr>
          <w:color w:val="1C1C1C"/>
        </w:rPr>
        <w:t>Diversification: No single asset &gt;20% of portfolio; crypto capped at 10–15% collectively.</w:t>
      </w:r>
    </w:p>
    <w:p w14:paraId="271ED555" w14:textId="77777777" w:rsidR="00B92A74" w:rsidRDefault="00000000">
      <w:pPr>
        <w:pStyle w:val="ListParagraph"/>
        <w:numPr>
          <w:ilvl w:val="0"/>
          <w:numId w:val="2"/>
        </w:numPr>
        <w:spacing w:before="40" w:after="40"/>
      </w:pPr>
      <w:r>
        <w:rPr>
          <w:color w:val="1C1C1C"/>
        </w:rPr>
        <w:t>Dollar-Cost Averaging (DCA): Invest fixed amounts at regular intervals to reduce timing risk.</w:t>
      </w:r>
    </w:p>
    <w:p w14:paraId="64EAE1FD" w14:textId="77777777" w:rsidR="00B92A74" w:rsidRDefault="00000000">
      <w:pPr>
        <w:pStyle w:val="ListParagraph"/>
        <w:numPr>
          <w:ilvl w:val="0"/>
          <w:numId w:val="2"/>
        </w:numPr>
        <w:spacing w:before="40" w:after="40"/>
      </w:pPr>
      <w:r>
        <w:rPr>
          <w:color w:val="1C1C1C"/>
        </w:rPr>
        <w:t>Stop-Loss Discipline: For crypto, 30–40% drawdown from entry triggers mandatory reassessment.</w:t>
      </w:r>
    </w:p>
    <w:p w14:paraId="21EC8506" w14:textId="77777777" w:rsidR="00B92A74" w:rsidRDefault="00000000">
      <w:pPr>
        <w:pStyle w:val="ListParagraph"/>
        <w:numPr>
          <w:ilvl w:val="0"/>
          <w:numId w:val="2"/>
        </w:numPr>
        <w:spacing w:before="40" w:after="40"/>
      </w:pPr>
      <w:r>
        <w:rPr>
          <w:color w:val="1C1C1C"/>
        </w:rPr>
        <w:t>Liquidity Buffer: Keep 10–15% in highly liquid assets (large-cap equity, liquid debt funds).</w:t>
      </w:r>
    </w:p>
    <w:p w14:paraId="09B7F00E" w14:textId="77777777" w:rsidR="00B92A74" w:rsidRDefault="00000000">
      <w:pPr>
        <w:pStyle w:val="ListParagraph"/>
        <w:numPr>
          <w:ilvl w:val="0"/>
          <w:numId w:val="2"/>
        </w:numPr>
        <w:spacing w:before="40" w:after="40"/>
      </w:pPr>
      <w:r>
        <w:rPr>
          <w:color w:val="1C1C1C"/>
        </w:rPr>
        <w:t>Regulatory Compliance: SEBI-registered platforms only; detailed transaction records for ITR.</w:t>
      </w:r>
    </w:p>
    <w:p w14:paraId="7080F764" w14:textId="77777777" w:rsidR="00B92A74" w:rsidRDefault="00000000">
      <w:pPr>
        <w:pStyle w:val="ListParagraph"/>
        <w:numPr>
          <w:ilvl w:val="0"/>
          <w:numId w:val="2"/>
        </w:numPr>
        <w:spacing w:before="40" w:after="40"/>
      </w:pPr>
      <w:r>
        <w:rPr>
          <w:color w:val="1C1C1C"/>
        </w:rPr>
        <w:t>Regular Rebalancing: Review every 3–6 months; rebalance when any asset drifts more than 5%.</w:t>
      </w:r>
    </w:p>
    <w:p w14:paraId="1E9F9AE9" w14:textId="77777777" w:rsidR="00B92A74" w:rsidRDefault="00000000">
      <w:r>
        <w:br w:type="page"/>
      </w:r>
    </w:p>
    <w:p w14:paraId="6C069F8E" w14:textId="77777777" w:rsidR="00B92A74" w:rsidRDefault="00000000">
      <w:pPr>
        <w:pStyle w:val="Heading1"/>
        <w:pBdr>
          <w:bottom w:val="single" w:sz="8" w:space="3" w:color="2E75B6"/>
        </w:pBdr>
      </w:pPr>
      <w:r>
        <w:lastRenderedPageBreak/>
        <w:t>Section 4 — Future Outlook: Selected Investment Sectors</w:t>
      </w:r>
    </w:p>
    <w:p w14:paraId="5523EC4B" w14:textId="77777777" w:rsidR="00B92A74" w:rsidRDefault="00000000">
      <w:pPr>
        <w:spacing w:before="60" w:after="80"/>
        <w:jc w:val="both"/>
      </w:pPr>
      <w:r>
        <w:rPr>
          <w:color w:val="1C1C1C"/>
        </w:rPr>
        <w:t>Three sectors stand out as particularly compelling for Indian investors over the next decade — each driven by policy support, demographic demand, and global megatrends converging simultaneously.</w:t>
      </w:r>
    </w:p>
    <w:p w14:paraId="5E2CCDB0" w14:textId="77777777" w:rsidR="00B92A74" w:rsidRDefault="00B92A74">
      <w:pPr>
        <w:spacing w:before="80"/>
      </w:pPr>
    </w:p>
    <w:p w14:paraId="77DBCDF9" w14:textId="07FC9B0B" w:rsidR="00B92A74" w:rsidRDefault="00E249DA">
      <w:pPr>
        <w:pStyle w:val="Heading2"/>
      </w:pPr>
      <w:r>
        <w:t>4.1 Renewable</w:t>
      </w:r>
      <w:r w:rsidR="00000000">
        <w:t xml:space="preserve"> Energy — India's Clean Power Revolution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B92A74" w14:paraId="3E042385" w14:textId="77777777">
        <w:tblPrEx>
          <w:tblCellMar>
            <w:top w:w="0" w:type="dxa"/>
            <w:bottom w:w="0" w:type="dxa"/>
          </w:tblCellMar>
        </w:tblPrEx>
        <w:tc>
          <w:tcPr>
            <w:tcW w:w="1805"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vAlign w:val="center"/>
          </w:tcPr>
          <w:p w14:paraId="4679BF05" w14:textId="77777777" w:rsidR="00B92A74" w:rsidRDefault="00000000">
            <w:pPr>
              <w:jc w:val="center"/>
            </w:pPr>
            <w:r>
              <w:rPr>
                <w:b/>
                <w:bCs/>
                <w:color w:val="FFFFFF"/>
                <w:sz w:val="24"/>
                <w:szCs w:val="24"/>
              </w:rPr>
              <w:t>250.52 GW</w:t>
            </w:r>
          </w:p>
          <w:p w14:paraId="47A1FC81" w14:textId="77777777" w:rsidR="00B92A74" w:rsidRDefault="00000000">
            <w:pPr>
              <w:spacing w:before="20"/>
              <w:jc w:val="center"/>
            </w:pPr>
            <w:r>
              <w:rPr>
                <w:color w:val="FFFFFF"/>
                <w:sz w:val="15"/>
                <w:szCs w:val="15"/>
              </w:rPr>
              <w:t>Installed Dec 2025</w:t>
            </w:r>
          </w:p>
        </w:tc>
        <w:tc>
          <w:tcPr>
            <w:tcW w:w="1805" w:type="dxa"/>
            <w:tcBorders>
              <w:top w:val="single" w:sz="1" w:space="0" w:color="117A65"/>
              <w:left w:val="single" w:sz="1" w:space="0" w:color="117A65"/>
              <w:bottom w:val="single" w:sz="1" w:space="0" w:color="117A65"/>
              <w:right w:val="single" w:sz="1" w:space="0" w:color="117A65"/>
            </w:tcBorders>
            <w:shd w:val="clear" w:color="auto" w:fill="117A65"/>
            <w:tcMar>
              <w:top w:w="80" w:type="dxa"/>
              <w:left w:w="80" w:type="dxa"/>
              <w:bottom w:w="80" w:type="dxa"/>
              <w:right w:w="80" w:type="dxa"/>
            </w:tcMar>
            <w:vAlign w:val="center"/>
          </w:tcPr>
          <w:p w14:paraId="2C60CAF7" w14:textId="77777777" w:rsidR="00B92A74" w:rsidRDefault="00000000">
            <w:pPr>
              <w:jc w:val="center"/>
            </w:pPr>
            <w:r>
              <w:rPr>
                <w:b/>
                <w:bCs/>
                <w:color w:val="FFFFFF"/>
                <w:sz w:val="24"/>
                <w:szCs w:val="24"/>
              </w:rPr>
              <w:t>50 GW+</w:t>
            </w:r>
          </w:p>
          <w:p w14:paraId="18572100" w14:textId="77777777" w:rsidR="00B92A74" w:rsidRDefault="00000000">
            <w:pPr>
              <w:spacing w:before="20"/>
              <w:jc w:val="center"/>
            </w:pPr>
            <w:r>
              <w:rPr>
                <w:color w:val="FFFFFF"/>
                <w:sz w:val="15"/>
                <w:szCs w:val="15"/>
              </w:rPr>
              <w:t>Added in 2025</w:t>
            </w:r>
          </w:p>
        </w:tc>
        <w:tc>
          <w:tcPr>
            <w:tcW w:w="1805" w:type="dxa"/>
            <w:tcBorders>
              <w:top w:val="single" w:sz="1" w:space="0" w:color="1E7D4A"/>
              <w:left w:val="single" w:sz="1" w:space="0" w:color="1E7D4A"/>
              <w:bottom w:val="single" w:sz="1" w:space="0" w:color="1E7D4A"/>
              <w:right w:val="single" w:sz="1" w:space="0" w:color="1E7D4A"/>
            </w:tcBorders>
            <w:shd w:val="clear" w:color="auto" w:fill="1E7D4A"/>
            <w:tcMar>
              <w:top w:w="80" w:type="dxa"/>
              <w:left w:w="80" w:type="dxa"/>
              <w:bottom w:w="80" w:type="dxa"/>
              <w:right w:w="80" w:type="dxa"/>
            </w:tcMar>
            <w:vAlign w:val="center"/>
          </w:tcPr>
          <w:p w14:paraId="6199CA79" w14:textId="77777777" w:rsidR="00B92A74" w:rsidRDefault="00000000">
            <w:pPr>
              <w:jc w:val="center"/>
            </w:pPr>
            <w:r>
              <w:rPr>
                <w:b/>
                <w:bCs/>
                <w:color w:val="FFFFFF"/>
                <w:sz w:val="24"/>
                <w:szCs w:val="24"/>
              </w:rPr>
              <w:t>8.16% CAGR</w:t>
            </w:r>
          </w:p>
          <w:p w14:paraId="63F97D1D" w14:textId="77777777" w:rsidR="00B92A74" w:rsidRDefault="00000000">
            <w:pPr>
              <w:spacing w:before="20"/>
              <w:jc w:val="center"/>
            </w:pPr>
            <w:r>
              <w:rPr>
                <w:color w:val="FFFFFF"/>
                <w:sz w:val="15"/>
                <w:szCs w:val="15"/>
              </w:rPr>
              <w:t>Growth 2026–2034</w:t>
            </w:r>
          </w:p>
        </w:tc>
        <w:tc>
          <w:tcPr>
            <w:tcW w:w="1805"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vAlign w:val="center"/>
          </w:tcPr>
          <w:p w14:paraId="7541B6B8" w14:textId="77777777" w:rsidR="00B92A74" w:rsidRDefault="00000000">
            <w:pPr>
              <w:jc w:val="center"/>
            </w:pPr>
            <w:r>
              <w:rPr>
                <w:b/>
                <w:bCs/>
                <w:color w:val="FFFFFF"/>
                <w:sz w:val="24"/>
                <w:szCs w:val="24"/>
              </w:rPr>
              <w:t>$23 Bn</w:t>
            </w:r>
          </w:p>
          <w:p w14:paraId="750BB457" w14:textId="77777777" w:rsidR="00B92A74" w:rsidRDefault="00000000">
            <w:pPr>
              <w:spacing w:before="20"/>
              <w:jc w:val="center"/>
            </w:pPr>
            <w:r>
              <w:rPr>
                <w:color w:val="FFFFFF"/>
                <w:sz w:val="15"/>
                <w:szCs w:val="15"/>
              </w:rPr>
              <w:t>FDI 2020–25</w:t>
            </w:r>
          </w:p>
        </w:tc>
        <w:tc>
          <w:tcPr>
            <w:tcW w:w="1805" w:type="dxa"/>
            <w:tcBorders>
              <w:top w:val="single" w:sz="1" w:space="0" w:color="9A7D0A"/>
              <w:left w:val="single" w:sz="1" w:space="0" w:color="9A7D0A"/>
              <w:bottom w:val="single" w:sz="1" w:space="0" w:color="9A7D0A"/>
              <w:right w:val="single" w:sz="1" w:space="0" w:color="9A7D0A"/>
            </w:tcBorders>
            <w:shd w:val="clear" w:color="auto" w:fill="9A7D0A"/>
            <w:tcMar>
              <w:top w:w="80" w:type="dxa"/>
              <w:left w:w="80" w:type="dxa"/>
              <w:bottom w:w="80" w:type="dxa"/>
              <w:right w:w="80" w:type="dxa"/>
            </w:tcMar>
            <w:vAlign w:val="center"/>
          </w:tcPr>
          <w:p w14:paraId="5D12656A" w14:textId="77777777" w:rsidR="00B92A74" w:rsidRDefault="00000000">
            <w:pPr>
              <w:jc w:val="center"/>
            </w:pPr>
            <w:r>
              <w:rPr>
                <w:b/>
                <w:bCs/>
                <w:color w:val="FFFFFF"/>
                <w:sz w:val="24"/>
                <w:szCs w:val="24"/>
              </w:rPr>
              <w:t>500 GW</w:t>
            </w:r>
          </w:p>
          <w:p w14:paraId="25C97E6F" w14:textId="77777777" w:rsidR="00B92A74" w:rsidRDefault="00000000">
            <w:pPr>
              <w:spacing w:before="20"/>
              <w:jc w:val="center"/>
            </w:pPr>
            <w:r>
              <w:rPr>
                <w:color w:val="FFFFFF"/>
                <w:sz w:val="15"/>
                <w:szCs w:val="15"/>
              </w:rPr>
              <w:t>Govt Target 2030</w:t>
            </w:r>
          </w:p>
        </w:tc>
      </w:tr>
    </w:tbl>
    <w:p w14:paraId="3FD36BD3" w14:textId="77777777" w:rsidR="00B92A74" w:rsidRDefault="00B92A74">
      <w:pPr>
        <w:spacing w:before="80"/>
      </w:pPr>
    </w:p>
    <w:p w14:paraId="2CDC5492" w14:textId="77777777" w:rsidR="00B92A74" w:rsidRDefault="00000000">
      <w:pPr>
        <w:spacing w:before="60" w:after="80"/>
        <w:jc w:val="both"/>
      </w:pPr>
      <w:r>
        <w:rPr>
          <w:color w:val="1C1C1C"/>
        </w:rPr>
        <w:t xml:space="preserve">India ranked 3rd globally in renewable energy installed capacity and surpassed Japan as the 3rd largest solar producer. </w:t>
      </w:r>
      <w:r>
        <w:rPr>
          <w:b/>
          <w:bCs/>
          <w:color w:val="1C1C1C"/>
        </w:rPr>
        <w:t xml:space="preserve">50 GW of new capacity was added in 2025 alone (35 GW solar). </w:t>
      </w:r>
      <w:r>
        <w:rPr>
          <w:color w:val="1C1C1C"/>
        </w:rPr>
        <w:t xml:space="preserve">The renewable energy market is projected to grow from $25.95 Bn (2025) to </w:t>
      </w:r>
      <w:r>
        <w:rPr>
          <w:b/>
          <w:bCs/>
          <w:color w:val="1C1C1C"/>
        </w:rPr>
        <w:t xml:space="preserve">$52.58 Bn by 2034 at an 8.16% CAGR. </w:t>
      </w:r>
      <w:r>
        <w:rPr>
          <w:color w:val="1C1C1C"/>
        </w:rPr>
        <w:t>India achieved 50% non-fossil electricity capacity — five years ahead of its Paris Agreement commitment. 100% FDI under automatic route and a 142.8 GW pipeline make this one of India's most compelling investment destinations.</w:t>
      </w:r>
    </w:p>
    <w:p w14:paraId="1BA5337E" w14:textId="77777777" w:rsidR="00B92A74" w:rsidRDefault="00000000">
      <w:pPr>
        <w:spacing w:before="40" w:after="80"/>
        <w:jc w:val="both"/>
      </w:pPr>
      <w:r>
        <w:rPr>
          <w:b/>
          <w:bCs/>
          <w:color w:val="1C1C1C"/>
        </w:rPr>
        <w:t xml:space="preserve">Key Risks: </w:t>
      </w:r>
      <w:r>
        <w:rPr>
          <w:color w:val="1C1C1C"/>
        </w:rPr>
        <w:t>Grid infrastructure constraints, land acquisition delays, PPA renegotiations, and interest rate sensitivity for project financing.</w:t>
      </w:r>
    </w:p>
    <w:p w14:paraId="2BB52312" w14:textId="77777777" w:rsidR="00B92A74" w:rsidRDefault="00B92A74">
      <w:pPr>
        <w:spacing w:before="80"/>
      </w:pPr>
    </w:p>
    <w:p w14:paraId="5F0F2927" w14:textId="3A140D04" w:rsidR="00B92A74" w:rsidRDefault="00E249DA">
      <w:pPr>
        <w:pStyle w:val="Heading2"/>
      </w:pPr>
      <w:r>
        <w:t>4.2 Artificial</w:t>
      </w:r>
      <w:r w:rsidR="00000000">
        <w:t xml:space="preserve"> Intelligence &amp; IT — Disruption as Opportunity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B92A74" w14:paraId="61485016" w14:textId="77777777">
        <w:tblPrEx>
          <w:tblCellMar>
            <w:top w:w="0" w:type="dxa"/>
            <w:bottom w:w="0" w:type="dxa"/>
          </w:tblCellMar>
        </w:tblPrEx>
        <w:tc>
          <w:tcPr>
            <w:tcW w:w="1805"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vAlign w:val="center"/>
          </w:tcPr>
          <w:p w14:paraId="63AA9F2C" w14:textId="77777777" w:rsidR="00B92A74" w:rsidRDefault="00000000">
            <w:pPr>
              <w:jc w:val="center"/>
            </w:pPr>
            <w:r>
              <w:rPr>
                <w:b/>
                <w:bCs/>
                <w:color w:val="FFFFFF"/>
                <w:sz w:val="24"/>
                <w:szCs w:val="24"/>
              </w:rPr>
              <w:t>$280–285 Bn</w:t>
            </w:r>
          </w:p>
          <w:p w14:paraId="23A94B4E" w14:textId="77777777" w:rsidR="00B92A74" w:rsidRDefault="00000000">
            <w:pPr>
              <w:spacing w:before="20"/>
              <w:jc w:val="center"/>
            </w:pPr>
            <w:r>
              <w:rPr>
                <w:color w:val="FFFFFF"/>
                <w:sz w:val="15"/>
                <w:szCs w:val="15"/>
              </w:rPr>
              <w:t>IT Industry Size</w:t>
            </w:r>
          </w:p>
        </w:tc>
        <w:tc>
          <w:tcPr>
            <w:tcW w:w="1805"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vAlign w:val="center"/>
          </w:tcPr>
          <w:p w14:paraId="30BAAD87" w14:textId="77777777" w:rsidR="00B92A74" w:rsidRDefault="00000000">
            <w:pPr>
              <w:jc w:val="center"/>
            </w:pPr>
            <w:r>
              <w:rPr>
                <w:b/>
                <w:bCs/>
                <w:color w:val="FFFFFF"/>
                <w:sz w:val="24"/>
                <w:szCs w:val="24"/>
              </w:rPr>
              <w:t>79%</w:t>
            </w:r>
          </w:p>
          <w:p w14:paraId="049FE4BF" w14:textId="77777777" w:rsidR="00B92A74" w:rsidRDefault="00000000">
            <w:pPr>
              <w:spacing w:before="20"/>
              <w:jc w:val="center"/>
            </w:pPr>
            <w:r>
              <w:rPr>
                <w:color w:val="FFFFFF"/>
                <w:sz w:val="15"/>
                <w:szCs w:val="15"/>
              </w:rPr>
              <w:t>AI Dev Contributions Growth</w:t>
            </w:r>
          </w:p>
        </w:tc>
        <w:tc>
          <w:tcPr>
            <w:tcW w:w="1805" w:type="dxa"/>
            <w:tcBorders>
              <w:top w:val="single" w:sz="1" w:space="0" w:color="117A65"/>
              <w:left w:val="single" w:sz="1" w:space="0" w:color="117A65"/>
              <w:bottom w:val="single" w:sz="1" w:space="0" w:color="117A65"/>
              <w:right w:val="single" w:sz="1" w:space="0" w:color="117A65"/>
            </w:tcBorders>
            <w:shd w:val="clear" w:color="auto" w:fill="117A65"/>
            <w:tcMar>
              <w:top w:w="80" w:type="dxa"/>
              <w:left w:w="80" w:type="dxa"/>
              <w:bottom w:w="80" w:type="dxa"/>
              <w:right w:w="80" w:type="dxa"/>
            </w:tcMar>
            <w:vAlign w:val="center"/>
          </w:tcPr>
          <w:p w14:paraId="0517188E" w14:textId="77777777" w:rsidR="00B92A74" w:rsidRDefault="00000000">
            <w:pPr>
              <w:jc w:val="center"/>
            </w:pPr>
            <w:r>
              <w:rPr>
                <w:b/>
                <w:bCs/>
                <w:color w:val="FFFFFF"/>
                <w:sz w:val="24"/>
                <w:szCs w:val="24"/>
              </w:rPr>
              <w:t>$6 Bn</w:t>
            </w:r>
          </w:p>
          <w:p w14:paraId="6215B6A8" w14:textId="77777777" w:rsidR="00B92A74" w:rsidRDefault="00000000">
            <w:pPr>
              <w:spacing w:before="20"/>
              <w:jc w:val="center"/>
            </w:pPr>
            <w:r>
              <w:rPr>
                <w:color w:val="FFFFFF"/>
                <w:sz w:val="15"/>
                <w:szCs w:val="15"/>
              </w:rPr>
              <w:t>AI Spending by 2027</w:t>
            </w:r>
          </w:p>
        </w:tc>
        <w:tc>
          <w:tcPr>
            <w:tcW w:w="1805" w:type="dxa"/>
            <w:tcBorders>
              <w:top w:val="single" w:sz="1" w:space="0" w:color="1E7D4A"/>
              <w:left w:val="single" w:sz="1" w:space="0" w:color="1E7D4A"/>
              <w:bottom w:val="single" w:sz="1" w:space="0" w:color="1E7D4A"/>
              <w:right w:val="single" w:sz="1" w:space="0" w:color="1E7D4A"/>
            </w:tcBorders>
            <w:shd w:val="clear" w:color="auto" w:fill="1E7D4A"/>
            <w:tcMar>
              <w:top w:w="80" w:type="dxa"/>
              <w:left w:w="80" w:type="dxa"/>
              <w:bottom w:w="80" w:type="dxa"/>
              <w:right w:w="80" w:type="dxa"/>
            </w:tcMar>
            <w:vAlign w:val="center"/>
          </w:tcPr>
          <w:p w14:paraId="760D3846" w14:textId="77777777" w:rsidR="00B92A74" w:rsidRDefault="00000000">
            <w:pPr>
              <w:jc w:val="center"/>
            </w:pPr>
            <w:r>
              <w:rPr>
                <w:b/>
                <w:bCs/>
                <w:color w:val="FFFFFF"/>
                <w:sz w:val="24"/>
                <w:szCs w:val="24"/>
              </w:rPr>
              <w:t>33.7% CAGR</w:t>
            </w:r>
          </w:p>
          <w:p w14:paraId="7434CF2F" w14:textId="77777777" w:rsidR="00B92A74" w:rsidRDefault="00000000">
            <w:pPr>
              <w:spacing w:before="20"/>
              <w:jc w:val="center"/>
            </w:pPr>
            <w:r>
              <w:rPr>
                <w:color w:val="FFFFFF"/>
                <w:sz w:val="15"/>
                <w:szCs w:val="15"/>
              </w:rPr>
              <w:t>AI Market Growth</w:t>
            </w:r>
          </w:p>
        </w:tc>
        <w:tc>
          <w:tcPr>
            <w:tcW w:w="1805" w:type="dxa"/>
            <w:tcBorders>
              <w:top w:val="single" w:sz="1" w:space="0" w:color="9A7D0A"/>
              <w:left w:val="single" w:sz="1" w:space="0" w:color="9A7D0A"/>
              <w:bottom w:val="single" w:sz="1" w:space="0" w:color="9A7D0A"/>
              <w:right w:val="single" w:sz="1" w:space="0" w:color="9A7D0A"/>
            </w:tcBorders>
            <w:shd w:val="clear" w:color="auto" w:fill="9A7D0A"/>
            <w:tcMar>
              <w:top w:w="80" w:type="dxa"/>
              <w:left w:w="80" w:type="dxa"/>
              <w:bottom w:w="80" w:type="dxa"/>
              <w:right w:w="80" w:type="dxa"/>
            </w:tcMar>
            <w:vAlign w:val="center"/>
          </w:tcPr>
          <w:p w14:paraId="28FD44B9" w14:textId="77777777" w:rsidR="00B92A74" w:rsidRDefault="00000000">
            <w:pPr>
              <w:jc w:val="center"/>
            </w:pPr>
            <w:r>
              <w:rPr>
                <w:b/>
                <w:bCs/>
                <w:color w:val="FFFFFF"/>
                <w:sz w:val="24"/>
                <w:szCs w:val="24"/>
              </w:rPr>
              <w:t>$1 Tn</w:t>
            </w:r>
          </w:p>
          <w:p w14:paraId="1742306C" w14:textId="77777777" w:rsidR="00B92A74" w:rsidRDefault="00000000">
            <w:pPr>
              <w:spacing w:before="20"/>
              <w:jc w:val="center"/>
            </w:pPr>
            <w:r>
              <w:rPr>
                <w:color w:val="FFFFFF"/>
                <w:sz w:val="15"/>
                <w:szCs w:val="15"/>
              </w:rPr>
              <w:t>AI Value Add by 2035</w:t>
            </w:r>
          </w:p>
        </w:tc>
      </w:tr>
    </w:tbl>
    <w:p w14:paraId="2E354651" w14:textId="77777777" w:rsidR="00B92A74" w:rsidRDefault="00B92A74">
      <w:pPr>
        <w:spacing w:before="80"/>
      </w:pPr>
    </w:p>
    <w:p w14:paraId="4CD76199" w14:textId="77777777" w:rsidR="00B92A74" w:rsidRDefault="00000000">
      <w:pPr>
        <w:spacing w:before="60" w:after="80"/>
        <w:jc w:val="both"/>
      </w:pPr>
      <w:r>
        <w:rPr>
          <w:color w:val="1C1C1C"/>
        </w:rPr>
        <w:t xml:space="preserve">India's IT sector ($280–285 Bn) faces structural transformation as GenAI reshapes software delivery economics, driving a Nifty IT correction of ~25% YTD. However, </w:t>
      </w:r>
      <w:r>
        <w:rPr>
          <w:b/>
          <w:bCs/>
          <w:color w:val="1C1C1C"/>
        </w:rPr>
        <w:t xml:space="preserve">India ranks 2nd globally in GenAI project contributions </w:t>
      </w:r>
      <w:r>
        <w:rPr>
          <w:color w:val="1C1C1C"/>
        </w:rPr>
        <w:t xml:space="preserve">as of October 2025. Developer contributions to AI projects rose 79% in 2024, and India added 5.2 million new developers in a single year. </w:t>
      </w:r>
      <w:r>
        <w:rPr>
          <w:b/>
          <w:bCs/>
          <w:color w:val="1C1C1C"/>
        </w:rPr>
        <w:t xml:space="preserve">AI spending is projected at $6 Bn by 2027 (CAGR 33.7%). </w:t>
      </w:r>
      <w:r>
        <w:rPr>
          <w:color w:val="1C1C1C"/>
        </w:rPr>
        <w:t>The Union Budget 2026 identified AI, semiconductors, and data infrastructure as economic backbone priorities. AI could add up to $1 trillion to India's GDP by 2035.</w:t>
      </w:r>
    </w:p>
    <w:p w14:paraId="7DC8120E" w14:textId="77777777" w:rsidR="00B92A74" w:rsidRDefault="00000000">
      <w:pPr>
        <w:spacing w:before="40" w:after="80"/>
        <w:jc w:val="both"/>
      </w:pPr>
      <w:r>
        <w:rPr>
          <w:b/>
          <w:bCs/>
          <w:color w:val="1C1C1C"/>
        </w:rPr>
        <w:t xml:space="preserve">Selective Picks: </w:t>
      </w:r>
      <w:r>
        <w:rPr>
          <w:color w:val="1C1C1C"/>
        </w:rPr>
        <w:t>Persistent Systems, LTI Mindtree, TCS — companies actively pivoting to AI-driven revenue rather than traditional labour-based models.</w:t>
      </w:r>
    </w:p>
    <w:p w14:paraId="7F699D5E" w14:textId="77777777" w:rsidR="00B92A74" w:rsidRDefault="00B92A74">
      <w:pPr>
        <w:spacing w:before="80"/>
      </w:pPr>
    </w:p>
    <w:p w14:paraId="11C709C6" w14:textId="421382FA" w:rsidR="00B92A74" w:rsidRDefault="00E249DA">
      <w:pPr>
        <w:pStyle w:val="Heading2"/>
      </w:pPr>
      <w:r>
        <w:t>4.3 Healthcare</w:t>
      </w:r>
      <w:r w:rsidR="00000000">
        <w:t xml:space="preserve"> &amp; Biotechnology — Science Meets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B92A74" w14:paraId="3D2446FE" w14:textId="77777777">
        <w:tblPrEx>
          <w:tblCellMar>
            <w:top w:w="0" w:type="dxa"/>
            <w:bottom w:w="0" w:type="dxa"/>
          </w:tblCellMar>
        </w:tblPrEx>
        <w:tc>
          <w:tcPr>
            <w:tcW w:w="1805"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vAlign w:val="center"/>
          </w:tcPr>
          <w:p w14:paraId="1BCEB6B1" w14:textId="77777777" w:rsidR="00B92A74" w:rsidRDefault="00000000">
            <w:pPr>
              <w:jc w:val="center"/>
            </w:pPr>
            <w:r>
              <w:rPr>
                <w:b/>
                <w:bCs/>
                <w:color w:val="FFFFFF"/>
                <w:sz w:val="24"/>
                <w:szCs w:val="24"/>
              </w:rPr>
              <w:t>$37.1 Bn</w:t>
            </w:r>
          </w:p>
          <w:p w14:paraId="64435BE5" w14:textId="77777777" w:rsidR="00B92A74" w:rsidRDefault="00000000">
            <w:pPr>
              <w:spacing w:before="20"/>
              <w:jc w:val="center"/>
            </w:pPr>
            <w:r>
              <w:rPr>
                <w:color w:val="FFFFFF"/>
                <w:sz w:val="15"/>
                <w:szCs w:val="15"/>
              </w:rPr>
              <w:t>Biotech Market 2025</w:t>
            </w:r>
          </w:p>
        </w:tc>
        <w:tc>
          <w:tcPr>
            <w:tcW w:w="1805" w:type="dxa"/>
            <w:tcBorders>
              <w:top w:val="single" w:sz="1" w:space="0" w:color="117A65"/>
              <w:left w:val="single" w:sz="1" w:space="0" w:color="117A65"/>
              <w:bottom w:val="single" w:sz="1" w:space="0" w:color="117A65"/>
              <w:right w:val="single" w:sz="1" w:space="0" w:color="117A65"/>
            </w:tcBorders>
            <w:shd w:val="clear" w:color="auto" w:fill="117A65"/>
            <w:tcMar>
              <w:top w:w="80" w:type="dxa"/>
              <w:left w:w="80" w:type="dxa"/>
              <w:bottom w:w="80" w:type="dxa"/>
              <w:right w:w="80" w:type="dxa"/>
            </w:tcMar>
            <w:vAlign w:val="center"/>
          </w:tcPr>
          <w:p w14:paraId="072957DB" w14:textId="77777777" w:rsidR="00B92A74" w:rsidRDefault="00000000">
            <w:pPr>
              <w:jc w:val="center"/>
            </w:pPr>
            <w:r>
              <w:rPr>
                <w:b/>
                <w:bCs/>
                <w:color w:val="FFFFFF"/>
                <w:sz w:val="24"/>
                <w:szCs w:val="24"/>
              </w:rPr>
              <w:t>13.09% CAGR</w:t>
            </w:r>
          </w:p>
          <w:p w14:paraId="581C231B" w14:textId="77777777" w:rsidR="00B92A74" w:rsidRDefault="00000000">
            <w:pPr>
              <w:spacing w:before="20"/>
              <w:jc w:val="center"/>
            </w:pPr>
            <w:r>
              <w:rPr>
                <w:color w:val="FFFFFF"/>
                <w:sz w:val="15"/>
                <w:szCs w:val="15"/>
              </w:rPr>
              <w:t>Projected Growth</w:t>
            </w:r>
          </w:p>
        </w:tc>
        <w:tc>
          <w:tcPr>
            <w:tcW w:w="1805" w:type="dxa"/>
            <w:tcBorders>
              <w:top w:val="single" w:sz="1" w:space="0" w:color="1E7D4A"/>
              <w:left w:val="single" w:sz="1" w:space="0" w:color="1E7D4A"/>
              <w:bottom w:val="single" w:sz="1" w:space="0" w:color="1E7D4A"/>
              <w:right w:val="single" w:sz="1" w:space="0" w:color="1E7D4A"/>
            </w:tcBorders>
            <w:shd w:val="clear" w:color="auto" w:fill="1E7D4A"/>
            <w:tcMar>
              <w:top w:w="80" w:type="dxa"/>
              <w:left w:w="80" w:type="dxa"/>
              <w:bottom w:w="80" w:type="dxa"/>
              <w:right w:w="80" w:type="dxa"/>
            </w:tcMar>
            <w:vAlign w:val="center"/>
          </w:tcPr>
          <w:p w14:paraId="4A7BA5A4" w14:textId="77777777" w:rsidR="00B92A74" w:rsidRDefault="00000000">
            <w:pPr>
              <w:jc w:val="center"/>
            </w:pPr>
            <w:r>
              <w:rPr>
                <w:b/>
                <w:bCs/>
                <w:color w:val="FFFFFF"/>
                <w:sz w:val="24"/>
                <w:szCs w:val="24"/>
              </w:rPr>
              <w:t>$112.2 Bn</w:t>
            </w:r>
          </w:p>
          <w:p w14:paraId="048E4E76" w14:textId="77777777" w:rsidR="00B92A74" w:rsidRDefault="00000000">
            <w:pPr>
              <w:spacing w:before="20"/>
              <w:jc w:val="center"/>
            </w:pPr>
            <w:r>
              <w:rPr>
                <w:color w:val="FFFFFF"/>
                <w:sz w:val="15"/>
                <w:szCs w:val="15"/>
              </w:rPr>
              <w:t>Market by 2034</w:t>
            </w:r>
          </w:p>
        </w:tc>
        <w:tc>
          <w:tcPr>
            <w:tcW w:w="1805"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vAlign w:val="center"/>
          </w:tcPr>
          <w:p w14:paraId="6264BC16" w14:textId="77777777" w:rsidR="00B92A74" w:rsidRDefault="00000000">
            <w:pPr>
              <w:jc w:val="center"/>
            </w:pPr>
            <w:r>
              <w:rPr>
                <w:b/>
                <w:bCs/>
                <w:color w:val="FFFFFF"/>
                <w:sz w:val="24"/>
                <w:szCs w:val="24"/>
              </w:rPr>
              <w:t>11,000+</w:t>
            </w:r>
          </w:p>
          <w:p w14:paraId="4D90932C" w14:textId="77777777" w:rsidR="00B92A74" w:rsidRDefault="00000000">
            <w:pPr>
              <w:spacing w:before="20"/>
              <w:jc w:val="center"/>
            </w:pPr>
            <w:r>
              <w:rPr>
                <w:color w:val="FFFFFF"/>
                <w:sz w:val="15"/>
                <w:szCs w:val="15"/>
              </w:rPr>
              <w:t>Biotech Startups</w:t>
            </w:r>
          </w:p>
        </w:tc>
        <w:tc>
          <w:tcPr>
            <w:tcW w:w="1805" w:type="dxa"/>
            <w:tcBorders>
              <w:top w:val="single" w:sz="1" w:space="0" w:color="9A7D0A"/>
              <w:left w:val="single" w:sz="1" w:space="0" w:color="9A7D0A"/>
              <w:bottom w:val="single" w:sz="1" w:space="0" w:color="9A7D0A"/>
              <w:right w:val="single" w:sz="1" w:space="0" w:color="9A7D0A"/>
            </w:tcBorders>
            <w:shd w:val="clear" w:color="auto" w:fill="9A7D0A"/>
            <w:tcMar>
              <w:top w:w="80" w:type="dxa"/>
              <w:left w:w="80" w:type="dxa"/>
              <w:bottom w:w="80" w:type="dxa"/>
              <w:right w:w="80" w:type="dxa"/>
            </w:tcMar>
            <w:vAlign w:val="center"/>
          </w:tcPr>
          <w:p w14:paraId="3E6AF080" w14:textId="77777777" w:rsidR="00B92A74" w:rsidRDefault="00000000">
            <w:pPr>
              <w:jc w:val="center"/>
            </w:pPr>
            <w:r>
              <w:rPr>
                <w:b/>
                <w:bCs/>
                <w:color w:val="FFFFFF"/>
                <w:sz w:val="24"/>
                <w:szCs w:val="24"/>
              </w:rPr>
              <w:t>$300 Bn</w:t>
            </w:r>
          </w:p>
          <w:p w14:paraId="27993F76" w14:textId="77777777" w:rsidR="00B92A74" w:rsidRDefault="00000000">
            <w:pPr>
              <w:spacing w:before="20"/>
              <w:jc w:val="center"/>
            </w:pPr>
            <w:r>
              <w:rPr>
                <w:color w:val="FFFFFF"/>
                <w:sz w:val="15"/>
                <w:szCs w:val="15"/>
              </w:rPr>
              <w:t>Bioeconomy Target 2030</w:t>
            </w:r>
          </w:p>
        </w:tc>
      </w:tr>
    </w:tbl>
    <w:p w14:paraId="33C44FCC" w14:textId="77777777" w:rsidR="00B92A74" w:rsidRDefault="00B92A74">
      <w:pPr>
        <w:spacing w:before="80"/>
      </w:pPr>
    </w:p>
    <w:p w14:paraId="0D361091" w14:textId="77777777" w:rsidR="00B92A74" w:rsidRDefault="00000000">
      <w:pPr>
        <w:spacing w:before="60" w:after="80"/>
        <w:jc w:val="both"/>
      </w:pPr>
      <w:r>
        <w:rPr>
          <w:color w:val="1C1C1C"/>
        </w:rPr>
        <w:t xml:space="preserve">India's biotech market ($37.1 Bn, 2025) is growing at a 13.09% CAGR toward $112.2 Bn by 2034. The broader bioeconomy reached </w:t>
      </w:r>
      <w:r>
        <w:rPr>
          <w:b/>
          <w:bCs/>
          <w:color w:val="1C1C1C"/>
        </w:rPr>
        <w:t xml:space="preserve">$165.7 Bn (4.25% of GDP) in 2024, </w:t>
      </w:r>
      <w:r>
        <w:rPr>
          <w:color w:val="1C1C1C"/>
        </w:rPr>
        <w:t xml:space="preserve">targeting $300 Bn by 2030. India's pharmaceutical strength is global: 665 FDA-approved plants, 44% of global ANDA filings, and 11,000+ biotech startups as of September 2025. In Q3 2025, pharma/hospital/biotech recorded </w:t>
      </w:r>
      <w:r>
        <w:rPr>
          <w:b/>
          <w:bCs/>
          <w:color w:val="1C1C1C"/>
        </w:rPr>
        <w:t>72 deals worth $3.5 Bn — a 166% QoQ increase in deal value.</w:t>
      </w:r>
    </w:p>
    <w:p w14:paraId="6E263AC7" w14:textId="77777777" w:rsidR="00B92A74" w:rsidRDefault="00000000">
      <w:pPr>
        <w:spacing w:before="40" w:after="80"/>
        <w:jc w:val="both"/>
      </w:pPr>
      <w:r>
        <w:rPr>
          <w:b/>
          <w:bCs/>
          <w:color w:val="1C1C1C"/>
        </w:rPr>
        <w:t xml:space="preserve">Key Catalyst: </w:t>
      </w:r>
      <w:r>
        <w:rPr>
          <w:color w:val="1C1C1C"/>
        </w:rPr>
        <w:t>Union Budget 2026–27's Biopharma SHAKTI initiative ($1.2 Bn / Rs. 10,000 Cr) positions India as a global biologics and biosimilars manufacturing hub.</w:t>
      </w:r>
    </w:p>
    <w:p w14:paraId="4BA9D5A9" w14:textId="77777777" w:rsidR="00B92A74" w:rsidRDefault="00000000">
      <w:r>
        <w:br w:type="page"/>
      </w:r>
    </w:p>
    <w:p w14:paraId="4D76877D" w14:textId="77777777" w:rsidR="00B92A74" w:rsidRDefault="00000000">
      <w:pPr>
        <w:pStyle w:val="Heading1"/>
        <w:pBdr>
          <w:bottom w:val="single" w:sz="8" w:space="3" w:color="2E75B6"/>
        </w:pBdr>
      </w:pPr>
      <w:r>
        <w:lastRenderedPageBreak/>
        <w:t>Section 5 — Conclusion &amp; Investment Strategy Framework</w:t>
      </w:r>
    </w:p>
    <w:p w14:paraId="5738B11B" w14:textId="4BA985A1" w:rsidR="00B92A74" w:rsidRDefault="00E249DA">
      <w:pPr>
        <w:pStyle w:val="Heading2"/>
      </w:pPr>
      <w:r>
        <w:t>5.1 Key</w:t>
      </w:r>
      <w:r w:rsidR="00000000">
        <w:t xml:space="preserve"> Findings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B92A74" w14:paraId="424CDA79"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4EF4BD3" w14:textId="77777777" w:rsidR="00B92A74" w:rsidRDefault="00000000">
            <w:pPr>
              <w:jc w:val="center"/>
            </w:pPr>
            <w:r>
              <w:rPr>
                <w:b/>
                <w:bCs/>
                <w:color w:val="FFFFFF"/>
                <w:sz w:val="17"/>
                <w:szCs w:val="17"/>
              </w:rPr>
              <w:t>Area</w:t>
            </w:r>
          </w:p>
        </w:tc>
        <w:tc>
          <w:tcPr>
            <w:tcW w:w="7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B3CB086" w14:textId="77777777" w:rsidR="00B92A74" w:rsidRDefault="00000000">
            <w:pPr>
              <w:jc w:val="center"/>
            </w:pPr>
            <w:r>
              <w:rPr>
                <w:b/>
                <w:bCs/>
                <w:color w:val="FFFFFF"/>
                <w:sz w:val="17"/>
                <w:szCs w:val="17"/>
              </w:rPr>
              <w:t>Core Finding</w:t>
            </w:r>
          </w:p>
        </w:tc>
      </w:tr>
      <w:tr w:rsidR="00B92A74" w14:paraId="210B91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19662CF9" w14:textId="77777777" w:rsidR="00B92A74" w:rsidRDefault="00000000">
            <w:pPr>
              <w:jc w:val="center"/>
            </w:pPr>
            <w:r>
              <w:rPr>
                <w:b/>
                <w:bCs/>
                <w:color w:val="1F4E79"/>
                <w:sz w:val="17"/>
                <w:szCs w:val="17"/>
              </w:rPr>
              <w:t>Stock Markets</w:t>
            </w:r>
          </w:p>
        </w:tc>
        <w:tc>
          <w:tcPr>
            <w:tcW w:w="742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7FD81E33" w14:textId="77777777" w:rsidR="00B92A74" w:rsidRDefault="00000000">
            <w:r>
              <w:rPr>
                <w:color w:val="1C1C1C"/>
                <w:sz w:val="17"/>
                <w:szCs w:val="17"/>
              </w:rPr>
              <w:t>Nifty 50 at ~29,000 target for 2026 (+12% upside). Banking and Auto sectors lead. IT is a contrarian recovery opportunity with AI-pivot potential.</w:t>
            </w:r>
          </w:p>
        </w:tc>
      </w:tr>
      <w:tr w:rsidR="00B92A74" w14:paraId="17661E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53D00E81" w14:textId="77777777" w:rsidR="00B92A74" w:rsidRDefault="00000000">
            <w:pPr>
              <w:jc w:val="center"/>
            </w:pPr>
            <w:r>
              <w:rPr>
                <w:b/>
                <w:bCs/>
                <w:color w:val="1F4E79"/>
                <w:sz w:val="17"/>
                <w:szCs w:val="17"/>
              </w:rPr>
              <w:t>Cryptocurrency</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6FC944ED" w14:textId="77777777" w:rsidR="00B92A74" w:rsidRDefault="00000000">
            <w:r>
              <w:rPr>
                <w:color w:val="1C1C1C"/>
                <w:sz w:val="17"/>
                <w:szCs w:val="17"/>
              </w:rPr>
              <w:t>BTC, ETH, SOL have matured into institutional assets. 5–10% portfolio allocation optimises risk-adjusted returns (Grayscale consensus).</w:t>
            </w:r>
          </w:p>
        </w:tc>
      </w:tr>
      <w:tr w:rsidR="00B92A74" w14:paraId="30F2C1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43B39FF3" w14:textId="77777777" w:rsidR="00B92A74" w:rsidRDefault="00000000">
            <w:pPr>
              <w:jc w:val="center"/>
            </w:pPr>
            <w:r>
              <w:rPr>
                <w:b/>
                <w:bCs/>
                <w:color w:val="1F4E79"/>
                <w:sz w:val="17"/>
                <w:szCs w:val="17"/>
              </w:rPr>
              <w:t>Risk Management</w:t>
            </w:r>
          </w:p>
        </w:tc>
        <w:tc>
          <w:tcPr>
            <w:tcW w:w="742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5D0C0398" w14:textId="77777777" w:rsidR="00B92A74" w:rsidRDefault="00000000">
            <w:r>
              <w:rPr>
                <w:color w:val="1C1C1C"/>
                <w:sz w:val="17"/>
                <w:szCs w:val="17"/>
              </w:rPr>
              <w:t>Diversification, DCA, stop-loss discipline, and liquidity buffer are the four pillars. Regulatory compliance is non-negotiable for crypto.</w:t>
            </w:r>
          </w:p>
        </w:tc>
      </w:tr>
      <w:tr w:rsidR="00B92A74" w14:paraId="793BA5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6BFBD891" w14:textId="77777777" w:rsidR="00B92A74" w:rsidRDefault="00000000">
            <w:pPr>
              <w:jc w:val="center"/>
            </w:pPr>
            <w:r>
              <w:rPr>
                <w:b/>
                <w:bCs/>
                <w:color w:val="1F4E79"/>
                <w:sz w:val="17"/>
                <w:szCs w:val="17"/>
              </w:rPr>
              <w:t>Renewable Energy</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37B015A8" w14:textId="77777777" w:rsidR="00B92A74" w:rsidRDefault="00000000">
            <w:r>
              <w:rPr>
                <w:color w:val="1C1C1C"/>
                <w:sz w:val="17"/>
                <w:szCs w:val="17"/>
              </w:rPr>
              <w:t>$52.58 Bn market by 2034 (8.16% CAGR); 500 GW government target; $23 Bn FDI committed; 100% FDI automatic route.</w:t>
            </w:r>
          </w:p>
        </w:tc>
      </w:tr>
      <w:tr w:rsidR="00B92A74" w14:paraId="4A8A95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00592B0D" w14:textId="77777777" w:rsidR="00B92A74" w:rsidRDefault="00000000">
            <w:pPr>
              <w:jc w:val="center"/>
            </w:pPr>
            <w:r>
              <w:rPr>
                <w:b/>
                <w:bCs/>
                <w:color w:val="1F4E79"/>
                <w:sz w:val="17"/>
                <w:szCs w:val="17"/>
              </w:rPr>
              <w:t>AI &amp; IT</w:t>
            </w:r>
          </w:p>
        </w:tc>
        <w:tc>
          <w:tcPr>
            <w:tcW w:w="742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77D53CCE" w14:textId="77777777" w:rsidR="00B92A74" w:rsidRDefault="00000000">
            <w:r>
              <w:rPr>
                <w:color w:val="1C1C1C"/>
                <w:sz w:val="17"/>
                <w:szCs w:val="17"/>
              </w:rPr>
              <w:t>$6 Bn AI spending by 2027 (33.7% CAGR); India is 2nd globally in GenAI contributions; disruption creates compelling entry at current IT valuations.</w:t>
            </w:r>
          </w:p>
        </w:tc>
      </w:tr>
      <w:tr w:rsidR="00B92A74" w14:paraId="1A9A84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419D438D" w14:textId="77777777" w:rsidR="00B92A74" w:rsidRDefault="00000000">
            <w:pPr>
              <w:jc w:val="center"/>
            </w:pPr>
            <w:r>
              <w:rPr>
                <w:b/>
                <w:bCs/>
                <w:color w:val="1F4E79"/>
                <w:sz w:val="17"/>
                <w:szCs w:val="17"/>
              </w:rPr>
              <w:t>Healthcare &amp; Biotech</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49353E0E" w14:textId="77777777" w:rsidR="00B92A74" w:rsidRDefault="00000000">
            <w:r>
              <w:rPr>
                <w:color w:val="1C1C1C"/>
                <w:sz w:val="17"/>
                <w:szCs w:val="17"/>
              </w:rPr>
              <w:t>$112.2 Bn market by 2034 (13.09% CAGR); Biopharma SHAKTI ($1.2 Bn) is a transformational catalyst; 665 FDA-approved plants.</w:t>
            </w:r>
          </w:p>
        </w:tc>
      </w:tr>
    </w:tbl>
    <w:p w14:paraId="34C75AA1" w14:textId="77777777" w:rsidR="00B92A74" w:rsidRDefault="00B92A74">
      <w:pPr>
        <w:spacing w:before="100"/>
      </w:pPr>
    </w:p>
    <w:p w14:paraId="5EECAFC6" w14:textId="42BEDF22" w:rsidR="00B92A74" w:rsidRDefault="00E249DA">
      <w:pPr>
        <w:pStyle w:val="Heading2"/>
      </w:pPr>
      <w:r>
        <w:t>5.2 Recommended</w:t>
      </w:r>
      <w:r w:rsidR="00000000">
        <w:t xml:space="preserve"> Portfolio Allocation Framework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526"/>
      </w:tblGrid>
      <w:tr w:rsidR="00B92A74" w14:paraId="1E497E41"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9201E3D" w14:textId="77777777" w:rsidR="00B92A74" w:rsidRDefault="00000000">
            <w:pPr>
              <w:jc w:val="center"/>
            </w:pPr>
            <w:r>
              <w:rPr>
                <w:b/>
                <w:bCs/>
                <w:color w:val="FFFFFF"/>
                <w:sz w:val="17"/>
                <w:szCs w:val="17"/>
              </w:rPr>
              <w:t>Bucket</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034E5CD" w14:textId="77777777" w:rsidR="00B92A74" w:rsidRDefault="00000000">
            <w:pPr>
              <w:jc w:val="center"/>
            </w:pPr>
            <w:r>
              <w:rPr>
                <w:b/>
                <w:bCs/>
                <w:color w:val="FFFFFF"/>
                <w:sz w:val="17"/>
                <w:szCs w:val="17"/>
              </w:rPr>
              <w:t>Allocation</w:t>
            </w:r>
          </w:p>
        </w:tc>
        <w:tc>
          <w:tcPr>
            <w:tcW w:w="5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860A292" w14:textId="77777777" w:rsidR="00B92A74" w:rsidRDefault="00000000">
            <w:pPr>
              <w:jc w:val="center"/>
            </w:pPr>
            <w:r>
              <w:rPr>
                <w:b/>
                <w:bCs/>
                <w:color w:val="FFFFFF"/>
                <w:sz w:val="17"/>
                <w:szCs w:val="17"/>
              </w:rPr>
              <w:t>Instruments &amp; Sectors</w:t>
            </w:r>
          </w:p>
        </w:tc>
      </w:tr>
      <w:tr w:rsidR="00B92A74" w14:paraId="482F4F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F0E3"/>
            <w:tcMar>
              <w:top w:w="72" w:type="dxa"/>
              <w:left w:w="100" w:type="dxa"/>
              <w:bottom w:w="72" w:type="dxa"/>
              <w:right w:w="100" w:type="dxa"/>
            </w:tcMar>
            <w:vAlign w:val="center"/>
          </w:tcPr>
          <w:p w14:paraId="047D3478" w14:textId="77777777" w:rsidR="00B92A74" w:rsidRDefault="00000000">
            <w:pPr>
              <w:jc w:val="center"/>
            </w:pPr>
            <w:r>
              <w:rPr>
                <w:b/>
                <w:bCs/>
                <w:color w:val="1E7D4A"/>
                <w:sz w:val="17"/>
                <w:szCs w:val="17"/>
              </w:rPr>
              <w:t>Core Equity</w:t>
            </w:r>
          </w:p>
        </w:tc>
        <w:tc>
          <w:tcPr>
            <w:tcW w:w="1300" w:type="dxa"/>
            <w:tcBorders>
              <w:top w:val="single" w:sz="1" w:space="0" w:color="CCCCCC"/>
              <w:left w:val="single" w:sz="1" w:space="0" w:color="CCCCCC"/>
              <w:bottom w:val="single" w:sz="1" w:space="0" w:color="CCCCCC"/>
              <w:right w:val="single" w:sz="1" w:space="0" w:color="CCCCCC"/>
            </w:tcBorders>
            <w:shd w:val="clear" w:color="auto" w:fill="D5F0E3"/>
            <w:tcMar>
              <w:top w:w="72" w:type="dxa"/>
              <w:left w:w="100" w:type="dxa"/>
              <w:bottom w:w="72" w:type="dxa"/>
              <w:right w:w="100" w:type="dxa"/>
            </w:tcMar>
            <w:vAlign w:val="center"/>
          </w:tcPr>
          <w:p w14:paraId="5252A38E" w14:textId="77777777" w:rsidR="00B92A74" w:rsidRDefault="00000000">
            <w:pPr>
              <w:jc w:val="center"/>
            </w:pPr>
            <w:r>
              <w:rPr>
                <w:b/>
                <w:bCs/>
                <w:color w:val="1E7D4A"/>
                <w:sz w:val="17"/>
                <w:szCs w:val="17"/>
              </w:rPr>
              <w:t>50–60%</w:t>
            </w:r>
          </w:p>
        </w:tc>
        <w:tc>
          <w:tcPr>
            <w:tcW w:w="552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47594EC2" w14:textId="77777777" w:rsidR="00B92A74" w:rsidRDefault="00000000">
            <w:r>
              <w:rPr>
                <w:color w:val="1C1C1C"/>
                <w:sz w:val="17"/>
                <w:szCs w:val="17"/>
              </w:rPr>
              <w:t>Large-cap Nifty 50 stocks; Banking (recovery), Auto (EV), selective IT</w:t>
            </w:r>
          </w:p>
        </w:tc>
      </w:tr>
      <w:tr w:rsidR="00B92A74" w14:paraId="539126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5A1B178F" w14:textId="77777777" w:rsidR="00B92A74" w:rsidRDefault="00000000">
            <w:pPr>
              <w:jc w:val="center"/>
            </w:pPr>
            <w:r>
              <w:rPr>
                <w:b/>
                <w:bCs/>
                <w:color w:val="2E75B6"/>
                <w:sz w:val="17"/>
                <w:szCs w:val="17"/>
              </w:rPr>
              <w:t>Sector / Thematic</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72" w:type="dxa"/>
              <w:left w:w="100" w:type="dxa"/>
              <w:bottom w:w="72" w:type="dxa"/>
              <w:right w:w="100" w:type="dxa"/>
            </w:tcMar>
            <w:vAlign w:val="center"/>
          </w:tcPr>
          <w:p w14:paraId="5C63B392" w14:textId="77777777" w:rsidR="00B92A74" w:rsidRDefault="00000000">
            <w:pPr>
              <w:jc w:val="center"/>
            </w:pPr>
            <w:r>
              <w:rPr>
                <w:b/>
                <w:bCs/>
                <w:color w:val="2E75B6"/>
                <w:sz w:val="17"/>
                <w:szCs w:val="17"/>
              </w:rPr>
              <w:t>20–25%</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77ECD415" w14:textId="77777777" w:rsidR="00B92A74" w:rsidRDefault="00000000">
            <w:r>
              <w:rPr>
                <w:color w:val="1C1C1C"/>
                <w:sz w:val="17"/>
                <w:szCs w:val="17"/>
              </w:rPr>
              <w:t>Renewable Energy ETFs, AI/IT midcaps (Persistent, LTIM), Healthcare &amp; Biotech</w:t>
            </w:r>
          </w:p>
        </w:tc>
      </w:tr>
      <w:tr w:rsidR="00B92A74" w14:paraId="66389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0291670B" w14:textId="77777777" w:rsidR="00B92A74" w:rsidRDefault="00000000">
            <w:pPr>
              <w:jc w:val="center"/>
            </w:pPr>
            <w:r>
              <w:rPr>
                <w:b/>
                <w:bCs/>
                <w:color w:val="9A7D0A"/>
                <w:sz w:val="17"/>
                <w:szCs w:val="17"/>
              </w:rPr>
              <w:t>Crypto Assets</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72" w:type="dxa"/>
              <w:left w:w="100" w:type="dxa"/>
              <w:bottom w:w="72" w:type="dxa"/>
              <w:right w:w="100" w:type="dxa"/>
            </w:tcMar>
            <w:vAlign w:val="center"/>
          </w:tcPr>
          <w:p w14:paraId="1F2ACE24" w14:textId="77777777" w:rsidR="00B92A74" w:rsidRDefault="00000000">
            <w:pPr>
              <w:jc w:val="center"/>
            </w:pPr>
            <w:r>
              <w:rPr>
                <w:b/>
                <w:bCs/>
                <w:color w:val="9A7D0A"/>
                <w:sz w:val="17"/>
                <w:szCs w:val="17"/>
              </w:rPr>
              <w:t>5–10%</w:t>
            </w:r>
          </w:p>
        </w:tc>
        <w:tc>
          <w:tcPr>
            <w:tcW w:w="5526" w:type="dxa"/>
            <w:tcBorders>
              <w:top w:val="single" w:sz="1" w:space="0" w:color="CCCCCC"/>
              <w:left w:val="single" w:sz="1" w:space="0" w:color="CCCCCC"/>
              <w:bottom w:val="single" w:sz="1" w:space="0" w:color="CCCCCC"/>
              <w:right w:val="single" w:sz="1" w:space="0" w:color="CCCCCC"/>
            </w:tcBorders>
            <w:shd w:val="clear" w:color="auto" w:fill="F4F6F7"/>
            <w:tcMar>
              <w:top w:w="72" w:type="dxa"/>
              <w:left w:w="100" w:type="dxa"/>
              <w:bottom w:w="72" w:type="dxa"/>
              <w:right w:w="100" w:type="dxa"/>
            </w:tcMar>
            <w:vAlign w:val="center"/>
          </w:tcPr>
          <w:p w14:paraId="4832F6F3" w14:textId="77777777" w:rsidR="00B92A74" w:rsidRDefault="00000000">
            <w:r>
              <w:rPr>
                <w:color w:val="1C1C1C"/>
                <w:sz w:val="17"/>
                <w:szCs w:val="17"/>
              </w:rPr>
              <w:t>BTC (primary), ETH (secondary), SOL (speculative; max 2%)</w:t>
            </w:r>
          </w:p>
        </w:tc>
      </w:tr>
      <w:tr w:rsidR="00B92A74" w14:paraId="6DD6A2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72" w:type="dxa"/>
              <w:left w:w="100" w:type="dxa"/>
              <w:bottom w:w="72" w:type="dxa"/>
              <w:right w:w="100" w:type="dxa"/>
            </w:tcMar>
            <w:vAlign w:val="center"/>
          </w:tcPr>
          <w:p w14:paraId="24237C6B" w14:textId="77777777" w:rsidR="00B92A74" w:rsidRDefault="00000000">
            <w:pPr>
              <w:jc w:val="center"/>
            </w:pPr>
            <w:r>
              <w:rPr>
                <w:b/>
                <w:bCs/>
                <w:color w:val="D35400"/>
                <w:sz w:val="17"/>
                <w:szCs w:val="17"/>
              </w:rPr>
              <w:t>Fixed Income &amp; Gold</w:t>
            </w:r>
          </w:p>
        </w:tc>
        <w:tc>
          <w:tcPr>
            <w:tcW w:w="1300" w:type="dxa"/>
            <w:tcBorders>
              <w:top w:val="single" w:sz="1" w:space="0" w:color="CCCCCC"/>
              <w:left w:val="single" w:sz="1" w:space="0" w:color="CCCCCC"/>
              <w:bottom w:val="single" w:sz="1" w:space="0" w:color="CCCCCC"/>
              <w:right w:val="single" w:sz="1" w:space="0" w:color="CCCCCC"/>
            </w:tcBorders>
            <w:shd w:val="clear" w:color="auto" w:fill="FDEBD0"/>
            <w:tcMar>
              <w:top w:w="72" w:type="dxa"/>
              <w:left w:w="100" w:type="dxa"/>
              <w:bottom w:w="72" w:type="dxa"/>
              <w:right w:w="100" w:type="dxa"/>
            </w:tcMar>
            <w:vAlign w:val="center"/>
          </w:tcPr>
          <w:p w14:paraId="0068E785" w14:textId="77777777" w:rsidR="00B92A74" w:rsidRDefault="00000000">
            <w:pPr>
              <w:jc w:val="center"/>
            </w:pPr>
            <w:r>
              <w:rPr>
                <w:b/>
                <w:bCs/>
                <w:color w:val="D35400"/>
                <w:sz w:val="17"/>
                <w:szCs w:val="17"/>
              </w:rPr>
              <w:t>10–15%</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72" w:type="dxa"/>
              <w:left w:w="100" w:type="dxa"/>
              <w:bottom w:w="72" w:type="dxa"/>
              <w:right w:w="100" w:type="dxa"/>
            </w:tcMar>
            <w:vAlign w:val="center"/>
          </w:tcPr>
          <w:p w14:paraId="53869A34" w14:textId="77777777" w:rsidR="00B92A74" w:rsidRDefault="00000000">
            <w:r>
              <w:rPr>
                <w:color w:val="1C1C1C"/>
                <w:sz w:val="17"/>
                <w:szCs w:val="17"/>
              </w:rPr>
              <w:t>Liquid debt funds, G-Secs, Sovereign Gold Bonds / Gold ETF (hedge)</w:t>
            </w:r>
          </w:p>
        </w:tc>
      </w:tr>
    </w:tbl>
    <w:p w14:paraId="5E1C1013" w14:textId="77777777" w:rsidR="00B92A74" w:rsidRDefault="00B92A74">
      <w:pPr>
        <w:spacing w:before="100"/>
      </w:pPr>
    </w:p>
    <w:p w14:paraId="75A18F07" w14:textId="77777777" w:rsidR="00B92A74" w:rsidRDefault="00000000">
      <w:pPr>
        <w:spacing w:before="60" w:after="80"/>
        <w:jc w:val="both"/>
      </w:pPr>
      <w:r>
        <w:rPr>
          <w:b/>
          <w:bCs/>
          <w:color w:val="1C1C1C"/>
        </w:rPr>
        <w:t xml:space="preserve">Conclusion: </w:t>
      </w:r>
      <w:r>
        <w:rPr>
          <w:color w:val="1C1C1C"/>
        </w:rPr>
        <w:t>The most successful investors of the next decade will combine the compounding power of equity markets with carefully sized crypto positions, anchored by disciplined risk management and concentrated exposure to India's three most powerful structural growth themes: clean energy, artificial intelligence, and the life sciences.</w:t>
      </w:r>
    </w:p>
    <w:p w14:paraId="51F8EF7C" w14:textId="77777777" w:rsidR="00B92A74" w:rsidRDefault="00B92A74">
      <w:pPr>
        <w:spacing w:before="80"/>
      </w:pPr>
    </w:p>
    <w:p w14:paraId="56085045" w14:textId="77777777" w:rsidR="00B92A74" w:rsidRDefault="00B92A74">
      <w:pPr>
        <w:pBdr>
          <w:bottom w:val="single" w:sz="4" w:space="1" w:color="2E75B6"/>
        </w:pBdr>
        <w:spacing w:before="80" w:after="80"/>
      </w:pPr>
    </w:p>
    <w:p w14:paraId="17FC5A4F" w14:textId="77777777" w:rsidR="00B92A74" w:rsidRDefault="00B92A74">
      <w:pPr>
        <w:spacing w:before="60"/>
      </w:pPr>
    </w:p>
    <w:p w14:paraId="47214A1D" w14:textId="77777777" w:rsidR="00B92A74" w:rsidRDefault="00000000">
      <w:pPr>
        <w:pStyle w:val="Heading2"/>
      </w:pPr>
      <w:r>
        <w:t>References</w:t>
      </w:r>
    </w:p>
    <w:p w14:paraId="632503F7" w14:textId="77777777" w:rsidR="00B92A74" w:rsidRDefault="00000000">
      <w:pPr>
        <w:spacing w:before="40" w:after="40"/>
      </w:pPr>
      <w:r>
        <w:rPr>
          <w:color w:val="626567"/>
          <w:sz w:val="17"/>
          <w:szCs w:val="17"/>
        </w:rPr>
        <w:t>1.  IBEF (2026). India Renewable Energy Sector Report. www.ibef.org/industry/renewable-energy</w:t>
      </w:r>
    </w:p>
    <w:p w14:paraId="1E15F4DF" w14:textId="77777777" w:rsidR="00B92A74" w:rsidRDefault="00000000">
      <w:pPr>
        <w:spacing w:before="40" w:after="40"/>
      </w:pPr>
      <w:r>
        <w:rPr>
          <w:color w:val="626567"/>
          <w:sz w:val="17"/>
          <w:szCs w:val="17"/>
        </w:rPr>
        <w:t>2.  IBEF (2026). Biotechnology in India. www.ibef.org/industry/biotechnology-india</w:t>
      </w:r>
    </w:p>
    <w:p w14:paraId="4B5FD631" w14:textId="77777777" w:rsidR="00B92A74" w:rsidRDefault="00000000">
      <w:pPr>
        <w:spacing w:before="40" w:after="40"/>
      </w:pPr>
      <w:r>
        <w:rPr>
          <w:color w:val="626567"/>
          <w:sz w:val="17"/>
          <w:szCs w:val="17"/>
        </w:rPr>
        <w:t>3.  IMARC Group (2026). India Renewable Energy Market Analysis 2026–2034. www.imarcgroup.com</w:t>
      </w:r>
    </w:p>
    <w:p w14:paraId="36A90512" w14:textId="77777777" w:rsidR="00B92A74" w:rsidRDefault="00000000">
      <w:pPr>
        <w:spacing w:before="40" w:after="40"/>
      </w:pPr>
      <w:r>
        <w:rPr>
          <w:color w:val="626567"/>
          <w:sz w:val="17"/>
          <w:szCs w:val="17"/>
        </w:rPr>
        <w:t>4.  JMK Research &amp; Analytics (Jan 2026). India's 2025 Renewable Energy Sector Review. www.jmkresearch.com</w:t>
      </w:r>
    </w:p>
    <w:p w14:paraId="0D345344" w14:textId="77777777" w:rsidR="00B92A74" w:rsidRDefault="00000000">
      <w:pPr>
        <w:spacing w:before="40" w:after="40"/>
      </w:pPr>
      <w:r>
        <w:rPr>
          <w:color w:val="626567"/>
          <w:sz w:val="17"/>
          <w:szCs w:val="17"/>
        </w:rPr>
        <w:t>5.  Goldman Sachs (2025). Emerging Market Equity Strategy: India Valuations. Global Equity Research.</w:t>
      </w:r>
    </w:p>
    <w:p w14:paraId="2B6B155F" w14:textId="77777777" w:rsidR="00B92A74" w:rsidRDefault="00000000">
      <w:pPr>
        <w:spacing w:before="40" w:after="40"/>
      </w:pPr>
      <w:r>
        <w:rPr>
          <w:color w:val="626567"/>
          <w:sz w:val="17"/>
          <w:szCs w:val="17"/>
        </w:rPr>
        <w:t>6.  CME Group (Mar 2025). As Crypto Market Matures: Bitcoin, Ether and Solana. www.cmegroup.com</w:t>
      </w:r>
    </w:p>
    <w:p w14:paraId="461FA3CB" w14:textId="77777777" w:rsidR="00B92A74" w:rsidRDefault="00000000">
      <w:pPr>
        <w:spacing w:before="40" w:after="40"/>
      </w:pPr>
      <w:r>
        <w:rPr>
          <w:color w:val="626567"/>
          <w:sz w:val="17"/>
          <w:szCs w:val="17"/>
        </w:rPr>
        <w:t>7.  Grayscale Research (2026). 2026 Digital Asset Outlook: Dawn of the Institutional Era.</w:t>
      </w:r>
    </w:p>
    <w:p w14:paraId="46DB8B1F" w14:textId="77777777" w:rsidR="00B92A74" w:rsidRDefault="00000000">
      <w:pPr>
        <w:spacing w:before="40" w:after="40"/>
      </w:pPr>
      <w:r>
        <w:rPr>
          <w:color w:val="626567"/>
          <w:sz w:val="17"/>
          <w:szCs w:val="17"/>
        </w:rPr>
        <w:t>8.  ICICI Direct Research (Mar 2026). Indian IT Sector Analysis 2026: Valuation &amp; AI Impact.</w:t>
      </w:r>
    </w:p>
    <w:p w14:paraId="6F74FF12" w14:textId="77777777" w:rsidR="00B92A74" w:rsidRDefault="00000000">
      <w:pPr>
        <w:spacing w:before="40" w:after="40"/>
      </w:pPr>
      <w:r>
        <w:rPr>
          <w:color w:val="626567"/>
          <w:sz w:val="17"/>
          <w:szCs w:val="17"/>
        </w:rPr>
        <w:t>9.  KPMG India (2026). Indian ITBPM Sector Q3 FY26 Report. assets.kpmg.com</w:t>
      </w:r>
    </w:p>
    <w:p w14:paraId="766A5B6F" w14:textId="77777777" w:rsidR="00B92A74" w:rsidRDefault="00000000">
      <w:pPr>
        <w:spacing w:before="40" w:after="40"/>
      </w:pPr>
      <w:r>
        <w:rPr>
          <w:color w:val="626567"/>
          <w:sz w:val="17"/>
          <w:szCs w:val="17"/>
        </w:rPr>
        <w:t xml:space="preserve">10.  GitHub </w:t>
      </w:r>
      <w:proofErr w:type="spellStart"/>
      <w:r>
        <w:rPr>
          <w:color w:val="626567"/>
          <w:sz w:val="17"/>
          <w:szCs w:val="17"/>
        </w:rPr>
        <w:t>Octoverse</w:t>
      </w:r>
      <w:proofErr w:type="spellEnd"/>
      <w:r>
        <w:rPr>
          <w:color w:val="626567"/>
          <w:sz w:val="17"/>
          <w:szCs w:val="17"/>
        </w:rPr>
        <w:t xml:space="preserve"> (2025). India Developer Ecosystem Annual Report.</w:t>
      </w:r>
    </w:p>
    <w:p w14:paraId="6942A1F0" w14:textId="77777777" w:rsidR="00B92A74" w:rsidRDefault="00000000">
      <w:pPr>
        <w:spacing w:before="40" w:after="40"/>
      </w:pPr>
      <w:r>
        <w:rPr>
          <w:color w:val="626567"/>
          <w:sz w:val="17"/>
          <w:szCs w:val="17"/>
        </w:rPr>
        <w:t>11.  NSE India / BSE India (2024–2026). Market Data &amp; Nifty 50 Index Performance Statistics.</w:t>
      </w:r>
    </w:p>
    <w:p w14:paraId="3C4B74B1" w14:textId="77777777" w:rsidR="00B92A74" w:rsidRDefault="00000000">
      <w:pPr>
        <w:spacing w:before="40" w:after="40"/>
      </w:pPr>
      <w:r>
        <w:rPr>
          <w:color w:val="626567"/>
          <w:sz w:val="17"/>
          <w:szCs w:val="17"/>
        </w:rPr>
        <w:t>12.  Business Standard / Reuters (Dec 31, 2025). Nifty 50 &amp; Sensex 2025 Annual Performance Review.</w:t>
      </w:r>
    </w:p>
    <w:p w14:paraId="35C8717C" w14:textId="77777777" w:rsidR="00B92A74" w:rsidRDefault="00000000">
      <w:pPr>
        <w:spacing w:before="40" w:after="40"/>
      </w:pPr>
      <w:r>
        <w:rPr>
          <w:color w:val="626567"/>
          <w:sz w:val="17"/>
          <w:szCs w:val="17"/>
        </w:rPr>
        <w:t>13.  Invest India (2025). Investment Opportunities in Renewable Energy &amp; Biotechnology. www.investindia.gov.in</w:t>
      </w:r>
    </w:p>
    <w:p w14:paraId="65B66AF3" w14:textId="77777777" w:rsidR="00B92A74" w:rsidRDefault="00000000">
      <w:pPr>
        <w:spacing w:before="40" w:after="40"/>
      </w:pPr>
      <w:r>
        <w:rPr>
          <w:color w:val="626567"/>
          <w:sz w:val="17"/>
          <w:szCs w:val="17"/>
        </w:rPr>
        <w:t>14.  IDC India / IndiaAI.gov.in (2024). AI Spending in India: Forecast 2022–2027.</w:t>
      </w:r>
    </w:p>
    <w:p w14:paraId="2231E25E" w14:textId="77777777" w:rsidR="00B92A74" w:rsidRDefault="00000000">
      <w:pPr>
        <w:spacing w:before="40" w:after="40"/>
      </w:pPr>
      <w:r>
        <w:rPr>
          <w:color w:val="626567"/>
          <w:sz w:val="17"/>
          <w:szCs w:val="17"/>
        </w:rPr>
        <w:t>15.  IEA (2025). World Energy Investment 2025: India Chapter. www.iea.org</w:t>
      </w:r>
    </w:p>
    <w:p w14:paraId="6EC5EDD0" w14:textId="77777777" w:rsidR="00B92A74" w:rsidRDefault="00B92A74">
      <w:pPr>
        <w:spacing w:before="80"/>
      </w:pPr>
    </w:p>
    <w:p w14:paraId="3A413136" w14:textId="69E654CA" w:rsidR="00B92A74" w:rsidRDefault="00B92A74">
      <w:pPr>
        <w:pBdr>
          <w:top w:val="single" w:sz="4" w:space="4" w:color="2E75B6"/>
        </w:pBdr>
        <w:spacing w:before="80"/>
        <w:jc w:val="center"/>
      </w:pPr>
    </w:p>
    <w:sectPr w:rsidR="00B92A7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B8D1C" w14:textId="77777777" w:rsidR="00DA1619" w:rsidRDefault="00DA1619">
      <w:r>
        <w:separator/>
      </w:r>
    </w:p>
  </w:endnote>
  <w:endnote w:type="continuationSeparator" w:id="0">
    <w:p w14:paraId="5B46CAC9" w14:textId="77777777" w:rsidR="00DA1619" w:rsidRDefault="00DA1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B79F" w14:textId="3D1CAE2F" w:rsidR="00B92A74" w:rsidRDefault="00000000">
    <w:pPr>
      <w:pBdr>
        <w:top w:val="single" w:sz="4" w:space="4" w:color="2E75B6"/>
      </w:pBdr>
      <w:spacing w:before="60"/>
      <w:jc w:val="center"/>
    </w:pPr>
    <w:r>
      <w:rPr>
        <w:color w:val="626567"/>
        <w:sz w:val="15"/>
        <w:szCs w:val="15"/>
      </w:rPr>
      <w:t xml:space="preserve">Finance &amp; Investment </w:t>
    </w:r>
    <w:r w:rsidR="00E249DA">
      <w:rPr>
        <w:color w:val="626567"/>
        <w:sz w:val="15"/>
        <w:szCs w:val="15"/>
      </w:rPr>
      <w:t>Analysis │ CodeAlpha</w:t>
    </w:r>
    <w:r>
      <w:rPr>
        <w:color w:val="626567"/>
        <w:sz w:val="15"/>
        <w:szCs w:val="15"/>
      </w:rPr>
      <w:t xml:space="preserve"> </w:t>
    </w:r>
    <w:r w:rsidR="00E249DA">
      <w:rPr>
        <w:color w:val="626567"/>
        <w:sz w:val="15"/>
        <w:szCs w:val="15"/>
      </w:rPr>
      <w:t>Internship │ Page</w:t>
    </w:r>
    <w:r>
      <w:rPr>
        <w:color w:val="626567"/>
        <w:sz w:val="15"/>
        <w:szCs w:val="15"/>
      </w:rPr>
      <w:t xml:space="preserve"> </w:t>
    </w:r>
    <w:r>
      <w:rPr>
        <w:color w:val="1F4E79"/>
        <w:sz w:val="15"/>
        <w:szCs w:val="15"/>
      </w:rPr>
      <w:fldChar w:fldCharType="begin"/>
    </w:r>
    <w:r>
      <w:rPr>
        <w:color w:val="1F4E79"/>
        <w:sz w:val="15"/>
        <w:szCs w:val="15"/>
      </w:rPr>
      <w:instrText>PAGE</w:instrText>
    </w:r>
    <w:r>
      <w:rPr>
        <w:color w:val="1F4E79"/>
        <w:sz w:val="15"/>
        <w:szCs w:val="15"/>
      </w:rPr>
      <w:fldChar w:fldCharType="separate"/>
    </w:r>
    <w:r w:rsidR="00E249DA">
      <w:rPr>
        <w:noProof/>
        <w:color w:val="1F4E79"/>
        <w:sz w:val="15"/>
        <w:szCs w:val="15"/>
      </w:rPr>
      <w:t>1</w:t>
    </w:r>
    <w:r>
      <w:rPr>
        <w:color w:val="1F4E79"/>
        <w:sz w:val="15"/>
        <w:szCs w:val="15"/>
      </w:rPr>
      <w:fldChar w:fldCharType="end"/>
    </w:r>
    <w:r>
      <w:rPr>
        <w:color w:val="626567"/>
        <w:sz w:val="15"/>
        <w:szCs w:val="15"/>
      </w:rPr>
      <w:t xml:space="preserve"> of </w:t>
    </w:r>
    <w:r>
      <w:rPr>
        <w:color w:val="1F4E79"/>
        <w:sz w:val="15"/>
        <w:szCs w:val="15"/>
      </w:rPr>
      <w:fldChar w:fldCharType="begin"/>
    </w:r>
    <w:r>
      <w:rPr>
        <w:color w:val="1F4E79"/>
        <w:sz w:val="15"/>
        <w:szCs w:val="15"/>
      </w:rPr>
      <w:instrText>NUMPAGES</w:instrText>
    </w:r>
    <w:r>
      <w:rPr>
        <w:color w:val="1F4E79"/>
        <w:sz w:val="15"/>
        <w:szCs w:val="15"/>
      </w:rPr>
      <w:fldChar w:fldCharType="separate"/>
    </w:r>
    <w:r w:rsidR="00E249DA">
      <w:rPr>
        <w:noProof/>
        <w:color w:val="1F4E79"/>
        <w:sz w:val="15"/>
        <w:szCs w:val="15"/>
      </w:rPr>
      <w:t>2</w:t>
    </w:r>
    <w:r>
      <w:rPr>
        <w:color w:val="1F4E7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41AFF" w14:textId="77777777" w:rsidR="00DA1619" w:rsidRDefault="00DA1619">
      <w:r>
        <w:separator/>
      </w:r>
    </w:p>
  </w:footnote>
  <w:footnote w:type="continuationSeparator" w:id="0">
    <w:p w14:paraId="3CD48396" w14:textId="77777777" w:rsidR="00DA1619" w:rsidRDefault="00DA1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7F94" w14:textId="31566A17" w:rsidR="00B92A74" w:rsidRDefault="00000000">
    <w:pPr>
      <w:pBdr>
        <w:bottom w:val="single" w:sz="4" w:space="4" w:color="2E75B6"/>
      </w:pBdr>
      <w:spacing w:after="60"/>
      <w:jc w:val="right"/>
    </w:pPr>
    <w:r>
      <w:rPr>
        <w:color w:val="626567"/>
        <w:sz w:val="16"/>
        <w:szCs w:val="16"/>
      </w:rPr>
      <w:t xml:space="preserve">Market Research &amp; Investment Strategy </w:t>
    </w:r>
    <w:r w:rsidR="007F45AC">
      <w:rPr>
        <w:color w:val="626567"/>
        <w:sz w:val="16"/>
        <w:szCs w:val="16"/>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3EF"/>
    <w:multiLevelType w:val="hybridMultilevel"/>
    <w:tmpl w:val="CB0E8A80"/>
    <w:lvl w:ilvl="0" w:tplc="DDD01344">
      <w:start w:val="1"/>
      <w:numFmt w:val="bullet"/>
      <w:lvlText w:val="•"/>
      <w:lvlJc w:val="left"/>
      <w:pPr>
        <w:ind w:left="540" w:hanging="260"/>
      </w:pPr>
    </w:lvl>
    <w:lvl w:ilvl="1" w:tplc="689484D2">
      <w:numFmt w:val="decimal"/>
      <w:lvlText w:val=""/>
      <w:lvlJc w:val="left"/>
    </w:lvl>
    <w:lvl w:ilvl="2" w:tplc="D26613F8">
      <w:numFmt w:val="decimal"/>
      <w:lvlText w:val=""/>
      <w:lvlJc w:val="left"/>
    </w:lvl>
    <w:lvl w:ilvl="3" w:tplc="68D8B0EE">
      <w:numFmt w:val="decimal"/>
      <w:lvlText w:val=""/>
      <w:lvlJc w:val="left"/>
    </w:lvl>
    <w:lvl w:ilvl="4" w:tplc="386045C0">
      <w:numFmt w:val="decimal"/>
      <w:lvlText w:val=""/>
      <w:lvlJc w:val="left"/>
    </w:lvl>
    <w:lvl w:ilvl="5" w:tplc="54328D3E">
      <w:numFmt w:val="decimal"/>
      <w:lvlText w:val=""/>
      <w:lvlJc w:val="left"/>
    </w:lvl>
    <w:lvl w:ilvl="6" w:tplc="FF96A14C">
      <w:numFmt w:val="decimal"/>
      <w:lvlText w:val=""/>
      <w:lvlJc w:val="left"/>
    </w:lvl>
    <w:lvl w:ilvl="7" w:tplc="7C7E6CA8">
      <w:numFmt w:val="decimal"/>
      <w:lvlText w:val=""/>
      <w:lvlJc w:val="left"/>
    </w:lvl>
    <w:lvl w:ilvl="8" w:tplc="FBD825C2">
      <w:numFmt w:val="decimal"/>
      <w:lvlText w:val=""/>
      <w:lvlJc w:val="left"/>
    </w:lvl>
  </w:abstractNum>
  <w:abstractNum w:abstractNumId="1" w15:restartNumberingAfterBreak="0">
    <w:nsid w:val="11372F50"/>
    <w:multiLevelType w:val="hybridMultilevel"/>
    <w:tmpl w:val="FED6E192"/>
    <w:lvl w:ilvl="0" w:tplc="22BABAC0">
      <w:start w:val="1"/>
      <w:numFmt w:val="bullet"/>
      <w:lvlText w:val="●"/>
      <w:lvlJc w:val="left"/>
      <w:pPr>
        <w:ind w:left="720" w:hanging="360"/>
      </w:pPr>
    </w:lvl>
    <w:lvl w:ilvl="1" w:tplc="0B74E1D4">
      <w:start w:val="1"/>
      <w:numFmt w:val="bullet"/>
      <w:lvlText w:val="○"/>
      <w:lvlJc w:val="left"/>
      <w:pPr>
        <w:ind w:left="1440" w:hanging="360"/>
      </w:pPr>
    </w:lvl>
    <w:lvl w:ilvl="2" w:tplc="3D16C1AC">
      <w:start w:val="1"/>
      <w:numFmt w:val="bullet"/>
      <w:lvlText w:val="■"/>
      <w:lvlJc w:val="left"/>
      <w:pPr>
        <w:ind w:left="2160" w:hanging="360"/>
      </w:pPr>
    </w:lvl>
    <w:lvl w:ilvl="3" w:tplc="695699D0">
      <w:start w:val="1"/>
      <w:numFmt w:val="bullet"/>
      <w:lvlText w:val="●"/>
      <w:lvlJc w:val="left"/>
      <w:pPr>
        <w:ind w:left="2880" w:hanging="360"/>
      </w:pPr>
    </w:lvl>
    <w:lvl w:ilvl="4" w:tplc="2DE639D6">
      <w:start w:val="1"/>
      <w:numFmt w:val="bullet"/>
      <w:lvlText w:val="○"/>
      <w:lvlJc w:val="left"/>
      <w:pPr>
        <w:ind w:left="3600" w:hanging="360"/>
      </w:pPr>
    </w:lvl>
    <w:lvl w:ilvl="5" w:tplc="2702E126">
      <w:start w:val="1"/>
      <w:numFmt w:val="bullet"/>
      <w:lvlText w:val="■"/>
      <w:lvlJc w:val="left"/>
      <w:pPr>
        <w:ind w:left="4320" w:hanging="360"/>
      </w:pPr>
    </w:lvl>
    <w:lvl w:ilvl="6" w:tplc="E8EA16E0">
      <w:start w:val="1"/>
      <w:numFmt w:val="bullet"/>
      <w:lvlText w:val="●"/>
      <w:lvlJc w:val="left"/>
      <w:pPr>
        <w:ind w:left="5040" w:hanging="360"/>
      </w:pPr>
    </w:lvl>
    <w:lvl w:ilvl="7" w:tplc="D08E8216">
      <w:start w:val="1"/>
      <w:numFmt w:val="bullet"/>
      <w:lvlText w:val="●"/>
      <w:lvlJc w:val="left"/>
      <w:pPr>
        <w:ind w:left="5760" w:hanging="360"/>
      </w:pPr>
    </w:lvl>
    <w:lvl w:ilvl="8" w:tplc="E4FA0468">
      <w:start w:val="1"/>
      <w:numFmt w:val="bullet"/>
      <w:lvlText w:val="●"/>
      <w:lvlJc w:val="left"/>
      <w:pPr>
        <w:ind w:left="6480" w:hanging="360"/>
      </w:pPr>
    </w:lvl>
  </w:abstractNum>
  <w:num w:numId="1" w16cid:durableId="93131652">
    <w:abstractNumId w:val="1"/>
    <w:lvlOverride w:ilvl="0">
      <w:startOverride w:val="1"/>
    </w:lvlOverride>
  </w:num>
  <w:num w:numId="2" w16cid:durableId="706181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A74"/>
    <w:rsid w:val="007F45AC"/>
    <w:rsid w:val="00B92A74"/>
    <w:rsid w:val="00CD730B"/>
    <w:rsid w:val="00DA1619"/>
    <w:rsid w:val="00E249D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612A0"/>
  <w15:docId w15:val="{BAACAF96-B426-442E-A082-552E2C15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4E79"/>
      <w:sz w:val="26"/>
      <w:szCs w:val="26"/>
    </w:rPr>
  </w:style>
  <w:style w:type="paragraph" w:styleId="Heading2">
    <w:name w:val="heading 2"/>
    <w:uiPriority w:val="9"/>
    <w:unhideWhenUsed/>
    <w:qFormat/>
    <w:pPr>
      <w:spacing w:before="160" w:after="6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49DA"/>
    <w:pPr>
      <w:tabs>
        <w:tab w:val="center" w:pos="4513"/>
        <w:tab w:val="right" w:pos="9026"/>
      </w:tabs>
    </w:pPr>
  </w:style>
  <w:style w:type="character" w:customStyle="1" w:styleId="HeaderChar">
    <w:name w:val="Header Char"/>
    <w:basedOn w:val="DefaultParagraphFont"/>
    <w:link w:val="Header"/>
    <w:uiPriority w:val="99"/>
    <w:rsid w:val="00E249DA"/>
  </w:style>
  <w:style w:type="paragraph" w:styleId="Footer">
    <w:name w:val="footer"/>
    <w:basedOn w:val="Normal"/>
    <w:link w:val="FooterChar"/>
    <w:uiPriority w:val="99"/>
    <w:unhideWhenUsed/>
    <w:rsid w:val="00E249DA"/>
    <w:pPr>
      <w:tabs>
        <w:tab w:val="center" w:pos="4513"/>
        <w:tab w:val="right" w:pos="9026"/>
      </w:tabs>
    </w:pPr>
  </w:style>
  <w:style w:type="character" w:customStyle="1" w:styleId="FooterChar">
    <w:name w:val="Footer Char"/>
    <w:basedOn w:val="DefaultParagraphFont"/>
    <w:link w:val="Footer"/>
    <w:uiPriority w:val="99"/>
    <w:rsid w:val="00E24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1963</Words>
  <Characters>11193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Yash Dholakia</cp:lastModifiedBy>
  <cp:revision>2</cp:revision>
  <dcterms:created xsi:type="dcterms:W3CDTF">2026-06-15T06:02:00Z</dcterms:created>
  <dcterms:modified xsi:type="dcterms:W3CDTF">2026-06-15T06:02:00Z</dcterms:modified>
</cp:coreProperties>
</file>