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E4B4" w14:textId="77777777" w:rsidR="00920A68" w:rsidRDefault="00000000">
      <w:pPr>
        <w:spacing w:before="120" w:after="40"/>
        <w:jc w:val="center"/>
      </w:pPr>
      <w:r>
        <w:rPr>
          <w:b/>
          <w:bCs/>
          <w:color w:val="1F4E79"/>
          <w:sz w:val="40"/>
          <w:szCs w:val="40"/>
        </w:rPr>
        <w:t>STOCK ANALYSIS REPORT</w:t>
      </w:r>
    </w:p>
    <w:p w14:paraId="3199854A" w14:textId="2F45AA1E" w:rsidR="00920A68" w:rsidRDefault="00000000">
      <w:pPr>
        <w:pBdr>
          <w:bottom w:val="single" w:sz="8" w:space="4" w:color="2E75B6"/>
        </w:pBdr>
        <w:spacing w:after="20"/>
        <w:jc w:val="center"/>
      </w:pPr>
      <w:r>
        <w:rPr>
          <w:i/>
          <w:iCs/>
          <w:color w:val="2E75B6"/>
          <w:sz w:val="22"/>
          <w:szCs w:val="22"/>
        </w:rPr>
        <w:t xml:space="preserve">Finance &amp; Investment </w:t>
      </w:r>
      <w:r w:rsidR="00EB6BCE">
        <w:rPr>
          <w:i/>
          <w:iCs/>
          <w:color w:val="2E75B6"/>
          <w:sz w:val="22"/>
          <w:szCs w:val="22"/>
        </w:rPr>
        <w:t>Analysis │ CodeAlpha</w:t>
      </w:r>
      <w:r>
        <w:rPr>
          <w:i/>
          <w:iCs/>
          <w:color w:val="2E75B6"/>
          <w:sz w:val="22"/>
          <w:szCs w:val="22"/>
        </w:rPr>
        <w:t xml:space="preserve"> Internship</w:t>
      </w:r>
    </w:p>
    <w:p w14:paraId="699B2EB0" w14:textId="77777777" w:rsidR="00920A68" w:rsidRDefault="00920A68">
      <w:pPr>
        <w:spacing w:before="1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920A68" w14:paraId="435178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B08BB" w14:textId="77777777" w:rsidR="00920A68" w:rsidRDefault="00000000">
            <w:r>
              <w:rPr>
                <w:b/>
                <w:bCs/>
                <w:color w:val="1F4E79"/>
                <w:sz w:val="19"/>
                <w:szCs w:val="19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ABE7" w14:textId="77777777" w:rsidR="00920A68" w:rsidRDefault="00000000">
            <w:r>
              <w:rPr>
                <w:sz w:val="19"/>
                <w:szCs w:val="19"/>
              </w:rPr>
              <w:t>Yash Dholakia</w:t>
            </w:r>
          </w:p>
        </w:tc>
      </w:tr>
      <w:tr w:rsidR="00920A68" w14:paraId="33230A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0C183" w14:textId="77777777" w:rsidR="00920A68" w:rsidRDefault="00000000">
            <w:r>
              <w:rPr>
                <w:b/>
                <w:bCs/>
                <w:color w:val="1F4E79"/>
                <w:sz w:val="19"/>
                <w:szCs w:val="19"/>
              </w:rPr>
              <w:t>Internship Program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8339" w14:textId="77777777" w:rsidR="00920A68" w:rsidRDefault="00000000">
            <w:r>
              <w:rPr>
                <w:sz w:val="19"/>
                <w:szCs w:val="19"/>
              </w:rPr>
              <w:t>Finance &amp; Investment Analysis — CodeAlpha</w:t>
            </w:r>
          </w:p>
        </w:tc>
      </w:tr>
      <w:tr w:rsidR="00920A68" w14:paraId="037956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C6242" w14:textId="77777777" w:rsidR="00920A68" w:rsidRDefault="00000000">
            <w:r>
              <w:rPr>
                <w:b/>
                <w:bCs/>
                <w:color w:val="1F4E79"/>
                <w:sz w:val="19"/>
                <w:szCs w:val="19"/>
              </w:rPr>
              <w:t>Report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25C3D" w14:textId="77777777" w:rsidR="00920A68" w:rsidRDefault="00000000">
            <w:r>
              <w:rPr>
                <w:sz w:val="19"/>
                <w:szCs w:val="19"/>
              </w:rPr>
              <w:t>June 6, 2026</w:t>
            </w:r>
          </w:p>
        </w:tc>
      </w:tr>
      <w:tr w:rsidR="00920A68" w14:paraId="5AA4BA1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3485" w14:textId="66169231" w:rsidR="00920A68" w:rsidRDefault="00000000">
            <w:r>
              <w:rPr>
                <w:b/>
                <w:bCs/>
                <w:color w:val="1F4E79"/>
                <w:sz w:val="19"/>
                <w:szCs w:val="19"/>
              </w:rPr>
              <w:t xml:space="preserve">Stocks </w:t>
            </w:r>
            <w:r w:rsidR="00EB6BCE">
              <w:rPr>
                <w:b/>
                <w:bCs/>
                <w:color w:val="1F4E79"/>
                <w:sz w:val="19"/>
                <w:szCs w:val="19"/>
              </w:rPr>
              <w:t>Analysed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DB6A5" w14:textId="74E5D5F6" w:rsidR="00920A68" w:rsidRDefault="00000000">
            <w:r>
              <w:rPr>
                <w:sz w:val="19"/>
                <w:szCs w:val="19"/>
              </w:rPr>
              <w:t>RIL (</w:t>
            </w:r>
            <w:r w:rsidR="00EB6BCE">
              <w:rPr>
                <w:sz w:val="19"/>
                <w:szCs w:val="19"/>
              </w:rPr>
              <w:t>NSE) │ AAPL</w:t>
            </w:r>
            <w:r>
              <w:rPr>
                <w:sz w:val="19"/>
                <w:szCs w:val="19"/>
              </w:rPr>
              <w:t xml:space="preserve"> (</w:t>
            </w:r>
            <w:r w:rsidR="00EB6BCE">
              <w:rPr>
                <w:sz w:val="19"/>
                <w:szCs w:val="19"/>
              </w:rPr>
              <w:t>NASDAQ) │ MSFT</w:t>
            </w:r>
            <w:r>
              <w:rPr>
                <w:sz w:val="19"/>
                <w:szCs w:val="19"/>
              </w:rPr>
              <w:t xml:space="preserve"> (NASDAQ)</w:t>
            </w:r>
          </w:p>
        </w:tc>
      </w:tr>
      <w:tr w:rsidR="00920A68" w14:paraId="1C37BB0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28F8" w14:textId="77777777" w:rsidR="00920A68" w:rsidRDefault="00000000">
            <w:r>
              <w:rPr>
                <w:b/>
                <w:bCs/>
                <w:color w:val="1F4E79"/>
                <w:sz w:val="19"/>
                <w:szCs w:val="19"/>
              </w:rPr>
              <w:t>Analysis Period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4B4C4" w14:textId="77777777" w:rsidR="00920A68" w:rsidRDefault="00000000">
            <w:r>
              <w:rPr>
                <w:sz w:val="19"/>
                <w:szCs w:val="19"/>
              </w:rPr>
              <w:t>June 2025 – June 2026 (1-Year)</w:t>
            </w:r>
          </w:p>
        </w:tc>
      </w:tr>
      <w:tr w:rsidR="00920A68" w14:paraId="5F889F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4D04" w14:textId="77777777" w:rsidR="00920A68" w:rsidRDefault="00000000">
            <w:r>
              <w:rPr>
                <w:b/>
                <w:bCs/>
                <w:color w:val="1F4E79"/>
                <w:sz w:val="19"/>
                <w:szCs w:val="19"/>
              </w:rPr>
              <w:t>Data Sources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D4DA6" w14:textId="77777777" w:rsidR="00920A68" w:rsidRDefault="00000000">
            <w:r>
              <w:rPr>
                <w:sz w:val="19"/>
                <w:szCs w:val="19"/>
              </w:rPr>
              <w:t>NSE India, Yahoo Finance, Screener.in, StockAnalysis.com, Reuters</w:t>
            </w:r>
          </w:p>
        </w:tc>
      </w:tr>
    </w:tbl>
    <w:p w14:paraId="1767C57B" w14:textId="77777777" w:rsidR="00920A68" w:rsidRDefault="00920A68">
      <w:pPr>
        <w:spacing w:before="180"/>
      </w:pPr>
    </w:p>
    <w:p w14:paraId="030FCE23" w14:textId="77777777" w:rsidR="00920A68" w:rsidRDefault="00000000">
      <w:pPr>
        <w:pStyle w:val="Heading1"/>
        <w:pBdr>
          <w:bottom w:val="single" w:sz="6" w:space="4" w:color="2E75B6"/>
        </w:pBdr>
      </w:pPr>
      <w:r>
        <w:t>1. Introduction &amp; Objective</w:t>
      </w:r>
    </w:p>
    <w:p w14:paraId="1063CF03" w14:textId="336E6FC8" w:rsidR="00920A68" w:rsidRDefault="00000000">
      <w:pPr>
        <w:spacing w:before="60" w:after="60"/>
      </w:pPr>
      <w:r>
        <w:t xml:space="preserve">This report </w:t>
      </w:r>
      <w:r w:rsidR="00EB6BCE">
        <w:t>analyses</w:t>
      </w:r>
      <w:r>
        <w:t xml:space="preserve"> three strategically selected stocks — one from India, two from the US — over a one-year period (June 2025 to June 2026), providing a diversified cross-geography and cross-sector perspective.</w:t>
      </w:r>
    </w:p>
    <w:p w14:paraId="600965B4" w14:textId="77777777" w:rsidR="00920A68" w:rsidRDefault="00920A68">
      <w:pPr>
        <w:spacing w:before="60"/>
      </w:pPr>
    </w:p>
    <w:p w14:paraId="638FA366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Reliance Industries Ltd. (NSE: RELIANCE) — India's largest diversified conglomerate spanning O2C, Jio Telecom, Retail, New Energy, and Media.</w:t>
      </w:r>
    </w:p>
    <w:p w14:paraId="187C674F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Apple Inc. (NASDAQ: AAPL) — World-leading consumer tech company with iPhones, Macs, wearables, and a rapidly expanding AI-driven Services segment.</w:t>
      </w:r>
    </w:p>
    <w:p w14:paraId="779400B6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Microsoft Corp. (NASDAQ: MSFT) — Global cloud and enterprise software leader; top AI player through Azure, Copilot, and OpenAI partnership.</w:t>
      </w:r>
    </w:p>
    <w:p w14:paraId="03EC3D1B" w14:textId="77777777" w:rsidR="00920A68" w:rsidRDefault="00920A68">
      <w:pPr>
        <w:spacing w:before="160"/>
      </w:pPr>
    </w:p>
    <w:p w14:paraId="18F0F95F" w14:textId="77777777" w:rsidR="00920A68" w:rsidRDefault="00000000">
      <w:pPr>
        <w:pStyle w:val="Heading1"/>
        <w:pBdr>
          <w:bottom w:val="single" w:sz="6" w:space="4" w:color="2E75B6"/>
        </w:pBdr>
      </w:pPr>
      <w:r>
        <w:t>2. Stock Data Overview — Key Metrics Comparison</w:t>
      </w:r>
    </w:p>
    <w:p w14:paraId="6F9B6CB4" w14:textId="77777777" w:rsidR="00920A68" w:rsidRDefault="00920A68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2300"/>
        <w:gridCol w:w="2300"/>
        <w:gridCol w:w="2300"/>
      </w:tblGrid>
      <w:tr w:rsidR="00920A68" w14:paraId="53C97ACB" w14:textId="77777777">
        <w:tc>
          <w:tcPr>
            <w:tcW w:w="24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62243" w14:textId="77777777" w:rsidR="00920A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D3B55" w14:textId="77777777" w:rsidR="00920A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RIL (NSE)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A014C" w14:textId="77777777" w:rsidR="00920A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AAPL (NASDAQ)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09D26" w14:textId="77777777" w:rsidR="00920A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MSFT (NASDAQ)</w:t>
            </w:r>
          </w:p>
        </w:tc>
      </w:tr>
      <w:tr w:rsidR="00920A68" w14:paraId="537C72E8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789C3A" w14:textId="77777777" w:rsidR="00920A68" w:rsidRDefault="00000000">
            <w:r>
              <w:rPr>
                <w:b/>
                <w:bCs/>
                <w:color w:val="1F4E79"/>
                <w:sz w:val="18"/>
                <w:szCs w:val="18"/>
              </w:rPr>
              <w:t>Current Price (June 2026)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50E5F25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₹1,300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4364F4DE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$311.52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312CE2E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$427.34</w:t>
            </w:r>
          </w:p>
        </w:tc>
      </w:tr>
      <w:tr w:rsidR="00920A68" w14:paraId="6E43AE8C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85110F6" w14:textId="77777777" w:rsidR="00920A68" w:rsidRDefault="00000000">
            <w:r>
              <w:rPr>
                <w:b/>
                <w:bCs/>
                <w:color w:val="1F4E79"/>
                <w:sz w:val="18"/>
                <w:szCs w:val="18"/>
              </w:rPr>
              <w:t>Market Capitalization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048FAD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₹17,64,237 Cr (~$212 Bn)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F089F51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$4.62 Trillion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8D49421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$3.18 Trillion</w:t>
            </w:r>
          </w:p>
        </w:tc>
      </w:tr>
      <w:tr w:rsidR="00920A68" w14:paraId="1966F3EA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58C14AA" w14:textId="6F79CB66" w:rsidR="00920A68" w:rsidRDefault="00000000" w:rsidP="00EB6BCE">
            <w:pPr>
              <w:tabs>
                <w:tab w:val="right" w:pos="2220"/>
              </w:tabs>
            </w:pPr>
            <w:r>
              <w:rPr>
                <w:b/>
                <w:bCs/>
                <w:color w:val="1F4E79"/>
                <w:sz w:val="18"/>
                <w:szCs w:val="18"/>
              </w:rPr>
              <w:t>P/E Ratio (TTM)</w:t>
            </w:r>
            <w:r w:rsidR="00EB6BCE">
              <w:rPr>
                <w:b/>
                <w:bCs/>
                <w:color w:val="1F4E79"/>
                <w:sz w:val="18"/>
                <w:szCs w:val="18"/>
              </w:rPr>
              <w:tab/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A01957F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~25.3x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9D11DE1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37.43x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673F411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25.35x</w:t>
            </w:r>
          </w:p>
        </w:tc>
      </w:tr>
      <w:tr w:rsidR="00920A68" w14:paraId="71FC114E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DA81347" w14:textId="77777777" w:rsidR="00920A68" w:rsidRDefault="00000000">
            <w:r>
              <w:rPr>
                <w:b/>
                <w:bCs/>
                <w:color w:val="1F4E79"/>
                <w:sz w:val="18"/>
                <w:szCs w:val="18"/>
              </w:rPr>
              <w:t>EPS (TTM)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3F85845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₹71.5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95F21DC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$8.29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A2EA1C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$16.86</w:t>
            </w:r>
          </w:p>
        </w:tc>
      </w:tr>
      <w:tr w:rsidR="00920A68" w14:paraId="2D7BABF7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E30D512" w14:textId="77777777" w:rsidR="00920A68" w:rsidRDefault="00000000">
            <w:r>
              <w:rPr>
                <w:b/>
                <w:bCs/>
                <w:color w:val="1F4E79"/>
                <w:sz w:val="18"/>
                <w:szCs w:val="18"/>
              </w:rPr>
              <w:t>52-Week High / Low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26AF791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₹1,611 / ₹1,290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3CA86266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$316.94 / $195.07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2D3AC09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$555.45 / $356.28</w:t>
            </w:r>
          </w:p>
        </w:tc>
      </w:tr>
      <w:tr w:rsidR="00920A68" w14:paraId="7BFFF1B0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C80DC46" w14:textId="77777777" w:rsidR="00920A68" w:rsidRDefault="00000000">
            <w:r>
              <w:rPr>
                <w:b/>
                <w:bCs/>
                <w:color w:val="1F4E79"/>
                <w:sz w:val="18"/>
                <w:szCs w:val="18"/>
              </w:rPr>
              <w:t>1-Year Return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68F5673" w14:textId="77777777" w:rsidR="00920A68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-6.47%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3F45EB4" w14:textId="77777777" w:rsidR="00920A68" w:rsidRDefault="00000000">
            <w:pPr>
              <w:jc w:val="center"/>
            </w:pPr>
            <w:r>
              <w:rPr>
                <w:b/>
                <w:bCs/>
                <w:color w:val="1E7D4A"/>
                <w:sz w:val="18"/>
                <w:szCs w:val="18"/>
              </w:rPr>
              <w:t>+53.11%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0E21302" w14:textId="77777777" w:rsidR="00920A68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-6.63%</w:t>
            </w:r>
          </w:p>
        </w:tc>
      </w:tr>
      <w:tr w:rsidR="00920A68" w14:paraId="0441C618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E7F576" w14:textId="77777777" w:rsidR="00920A68" w:rsidRDefault="00000000">
            <w:r>
              <w:rPr>
                <w:b/>
                <w:bCs/>
                <w:color w:val="1F4E79"/>
                <w:sz w:val="18"/>
                <w:szCs w:val="18"/>
              </w:rPr>
              <w:t>Annual Revenue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1C06CEE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₹10,55,780 Cr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E1FE815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$416.16 Bn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9177720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$281.7 Bn</w:t>
            </w:r>
          </w:p>
        </w:tc>
      </w:tr>
      <w:tr w:rsidR="00920A68" w14:paraId="6A76282E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A59346C" w14:textId="77777777" w:rsidR="00920A68" w:rsidRDefault="00000000">
            <w:r>
              <w:rPr>
                <w:b/>
                <w:bCs/>
                <w:color w:val="1F4E79"/>
                <w:sz w:val="18"/>
                <w:szCs w:val="18"/>
              </w:rPr>
              <w:t>Net Profit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B3D0BCA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₹95,754 Cr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6FFA4E8C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$112.01 Bn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0A44EF6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$88 Bn (est.)</w:t>
            </w:r>
          </w:p>
        </w:tc>
      </w:tr>
      <w:tr w:rsidR="00920A68" w14:paraId="63CE08C2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51F04D71" w14:textId="77777777" w:rsidR="00920A68" w:rsidRDefault="00000000">
            <w:r>
              <w:rPr>
                <w:b/>
                <w:bCs/>
                <w:color w:val="1F4E79"/>
                <w:sz w:val="18"/>
                <w:szCs w:val="18"/>
              </w:rPr>
              <w:t>Dividend Yield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AD7D500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0.46%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5131886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0.45%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B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18A09703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0.68%</w:t>
            </w:r>
          </w:p>
        </w:tc>
      </w:tr>
      <w:tr w:rsidR="00920A68" w14:paraId="02676528" w14:textId="77777777"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7232DCEE" w14:textId="77777777" w:rsidR="00920A68" w:rsidRDefault="00000000">
            <w:r>
              <w:rPr>
                <w:b/>
                <w:bCs/>
                <w:color w:val="1F4E79"/>
                <w:sz w:val="18"/>
                <w:szCs w:val="18"/>
              </w:rPr>
              <w:t>Sector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24528A3A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Diversified Conglomerate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8D9EFA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Consumer Technology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</w:tcPr>
          <w:p w14:paraId="0D189060" w14:textId="77777777" w:rsidR="00920A68" w:rsidRDefault="00000000">
            <w:pPr>
              <w:jc w:val="center"/>
            </w:pPr>
            <w:r>
              <w:rPr>
                <w:color w:val="000000"/>
                <w:sz w:val="18"/>
                <w:szCs w:val="18"/>
              </w:rPr>
              <w:t>Cloud &amp; Software</w:t>
            </w:r>
          </w:p>
        </w:tc>
      </w:tr>
    </w:tbl>
    <w:p w14:paraId="53A05E6F" w14:textId="0A6F7187" w:rsidR="00920A68" w:rsidRDefault="00000000">
      <w:pPr>
        <w:spacing w:before="60" w:after="100"/>
      </w:pPr>
      <w:r>
        <w:rPr>
          <w:i/>
          <w:iCs/>
          <w:color w:val="888888"/>
          <w:sz w:val="16"/>
          <w:szCs w:val="16"/>
        </w:rPr>
        <w:t xml:space="preserve">* Green = positive 1-year </w:t>
      </w:r>
      <w:r w:rsidR="00EB6BCE">
        <w:rPr>
          <w:i/>
          <w:iCs/>
          <w:color w:val="888888"/>
          <w:sz w:val="16"/>
          <w:szCs w:val="16"/>
        </w:rPr>
        <w:t>return │ Red</w:t>
      </w:r>
      <w:r>
        <w:rPr>
          <w:i/>
          <w:iCs/>
          <w:color w:val="888888"/>
          <w:sz w:val="16"/>
          <w:szCs w:val="16"/>
        </w:rPr>
        <w:t xml:space="preserve"> = negative </w:t>
      </w:r>
      <w:r w:rsidR="00EB6BCE">
        <w:rPr>
          <w:i/>
          <w:iCs/>
          <w:color w:val="888888"/>
          <w:sz w:val="16"/>
          <w:szCs w:val="16"/>
        </w:rPr>
        <w:t>return │ All</w:t>
      </w:r>
      <w:r>
        <w:rPr>
          <w:i/>
          <w:iCs/>
          <w:color w:val="888888"/>
          <w:sz w:val="16"/>
          <w:szCs w:val="16"/>
        </w:rPr>
        <w:t xml:space="preserve"> data as of early June 2026</w:t>
      </w:r>
    </w:p>
    <w:p w14:paraId="4A53BD4A" w14:textId="77777777" w:rsidR="00920A68" w:rsidRDefault="00000000">
      <w:r>
        <w:br w:type="page"/>
      </w:r>
    </w:p>
    <w:p w14:paraId="09919F1F" w14:textId="77777777" w:rsidR="00920A68" w:rsidRDefault="00000000">
      <w:pPr>
        <w:pStyle w:val="Heading1"/>
        <w:pBdr>
          <w:bottom w:val="single" w:sz="6" w:space="4" w:color="2E75B6"/>
        </w:pBdr>
      </w:pPr>
      <w:r>
        <w:lastRenderedPageBreak/>
        <w:t>3. Price Trend &amp; Valuation Analysis</w:t>
      </w:r>
    </w:p>
    <w:p w14:paraId="28C77C36" w14:textId="77777777" w:rsidR="00EB6BCE" w:rsidRDefault="00EB6BCE">
      <w:pPr>
        <w:pStyle w:val="Heading2"/>
        <w:spacing w:before="180"/>
      </w:pPr>
    </w:p>
    <w:p w14:paraId="32921692" w14:textId="4600D3BB" w:rsidR="00920A68" w:rsidRDefault="00EB6BCE">
      <w:pPr>
        <w:pStyle w:val="Heading2"/>
        <w:spacing w:before="180"/>
      </w:pPr>
      <w:r>
        <w:t>3.1 Reliance Industries (NSE: RELIANCE)</w:t>
      </w:r>
    </w:p>
    <w:p w14:paraId="29789C42" w14:textId="77777777" w:rsidR="00920A68" w:rsidRDefault="00000000">
      <w:pPr>
        <w:spacing w:before="60" w:after="60"/>
      </w:pPr>
      <w:r>
        <w:rPr>
          <w:b/>
          <w:bCs/>
        </w:rPr>
        <w:t xml:space="preserve">Price Trend: </w:t>
      </w:r>
    </w:p>
    <w:p w14:paraId="130F52D1" w14:textId="77777777" w:rsidR="00920A68" w:rsidRDefault="00000000">
      <w:pPr>
        <w:spacing w:before="60" w:after="60"/>
      </w:pPr>
      <w:r>
        <w:t>RIL declined ~6.47% over the past year, from a 52-week high of ₹1,611.80 to ~₹1,300 — near its 52-week low of ₹1,290. The correction was driven by slowing net profit growth (Q4 FY26 PAT fell 8.9% YoY to ₹16,971 Cr) and broad large-cap Indian market weakness, despite revenues growing 9.59% YoY to ₹10.57 trillion.</w:t>
      </w:r>
    </w:p>
    <w:p w14:paraId="4DE8D04D" w14:textId="77777777" w:rsidR="00920A68" w:rsidRDefault="00920A68">
      <w:pPr>
        <w:spacing w:before="40"/>
      </w:pPr>
    </w:p>
    <w:p w14:paraId="778BF289" w14:textId="77777777" w:rsidR="00920A68" w:rsidRDefault="00000000">
      <w:pPr>
        <w:spacing w:before="60" w:after="60"/>
      </w:pPr>
      <w:r>
        <w:rPr>
          <w:b/>
          <w:bCs/>
        </w:rPr>
        <w:t xml:space="preserve">P/E Ratio — Fairly Valued: </w:t>
      </w:r>
    </w:p>
    <w:p w14:paraId="4EE4666F" w14:textId="77777777" w:rsidR="00920A68" w:rsidRDefault="00000000">
      <w:pPr>
        <w:spacing w:before="60" w:after="60"/>
      </w:pPr>
      <w:r>
        <w:t>At ~25.3x TTM P/E (in line with the Nifty 50 average of 20–25x), RIL appears fairly valued. The potential Jio Platforms IPO (506 million 5G subscribers) is a significant re-rating catalyst. Near-term earnings headwinds may persist into FY27.</w:t>
      </w:r>
    </w:p>
    <w:p w14:paraId="2B3A831F" w14:textId="77777777" w:rsidR="00920A68" w:rsidRDefault="00920A68">
      <w:pPr>
        <w:spacing w:before="40"/>
      </w:pPr>
    </w:p>
    <w:p w14:paraId="7EC50B15" w14:textId="77777777" w:rsidR="00920A68" w:rsidRDefault="00000000">
      <w:pPr>
        <w:spacing w:before="60" w:after="60"/>
      </w:pPr>
      <w:r>
        <w:rPr>
          <w:b/>
          <w:bCs/>
        </w:rPr>
        <w:t>Key Performance Indicators:</w:t>
      </w:r>
    </w:p>
    <w:p w14:paraId="68472820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Jio revenue grew 17% YoY in FY25 to ₹1,28,218 Cr; 43% share of India's fixed broadband market.</w:t>
      </w:r>
    </w:p>
    <w:p w14:paraId="0CDB4B70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Reliance Retail: Gross revenue ₹3.71 trillion in FY26 (+12.1% YoY); luxury arm up 45%.</w:t>
      </w:r>
    </w:p>
    <w:p w14:paraId="53E9CC2C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₹10 trillion AI data centre investment announced; JV with Meta (REIL) to deploy Llama AI for Indian enterprises.</w:t>
      </w:r>
    </w:p>
    <w:p w14:paraId="4B4A8E93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Entry into defence manufacturing (Jai Ammunition, Rheinmetall) and drone tech (Asteria Aerospace).</w:t>
      </w:r>
    </w:p>
    <w:p w14:paraId="064C6809" w14:textId="77777777" w:rsidR="00920A68" w:rsidRDefault="00920A68">
      <w:pPr>
        <w:spacing w:before="100"/>
      </w:pPr>
    </w:p>
    <w:p w14:paraId="3C3FD173" w14:textId="674DE046" w:rsidR="00920A68" w:rsidRDefault="00EB6BCE">
      <w:pPr>
        <w:pStyle w:val="Heading2"/>
        <w:spacing w:before="180"/>
      </w:pPr>
      <w:r>
        <w:t>3.2 Apple Inc. (NASDAQ: AAPL)</w:t>
      </w:r>
    </w:p>
    <w:p w14:paraId="7752FABF" w14:textId="77777777" w:rsidR="00920A68" w:rsidRDefault="00000000">
      <w:pPr>
        <w:spacing w:before="60" w:after="60"/>
      </w:pPr>
      <w:r>
        <w:rPr>
          <w:b/>
          <w:bCs/>
        </w:rPr>
        <w:t xml:space="preserve">Price Trend: </w:t>
      </w:r>
    </w:p>
    <w:p w14:paraId="456A66A6" w14:textId="77777777" w:rsidR="00920A68" w:rsidRDefault="00000000">
      <w:pPr>
        <w:spacing w:before="60" w:after="60"/>
      </w:pPr>
      <w:r>
        <w:t>AAPL surged +53.11% — the standout performer of this analysis — rising from a 52-week low of $195.07 to a near all-time high of $315.20 (June 2, 2026). The rally was driven by AI-powered re-rating, strong iPhone cycle, record Services revenue, and anticipation of WWDC 2026's AI/Siri overhaul.</w:t>
      </w:r>
    </w:p>
    <w:p w14:paraId="1DF0D27C" w14:textId="77777777" w:rsidR="00920A68" w:rsidRDefault="00920A68">
      <w:pPr>
        <w:spacing w:before="40"/>
      </w:pPr>
    </w:p>
    <w:p w14:paraId="3AC7B344" w14:textId="77777777" w:rsidR="00920A68" w:rsidRDefault="00000000">
      <w:pPr>
        <w:spacing w:before="60" w:after="60"/>
      </w:pPr>
      <w:r>
        <w:rPr>
          <w:b/>
          <w:bCs/>
        </w:rPr>
        <w:t xml:space="preserve">P/E Ratio — Premium Valuation: </w:t>
      </w:r>
    </w:p>
    <w:p w14:paraId="1A3517D7" w14:textId="77777777" w:rsidR="00920A68" w:rsidRDefault="00000000">
      <w:pPr>
        <w:spacing w:before="60" w:after="60"/>
      </w:pPr>
      <w:r>
        <w:t>At 37.43x TTM P/E — 53% above Apple's 10-year historical average of ~24.5x — the stock is priced for perfection. Justified partially by 19.5% earnings growth (FY25), aggressive share buybacks (shares reduced 2.39%), and Services monetisation. Forward P/E of ~34x implies continued growth expectations.</w:t>
      </w:r>
    </w:p>
    <w:p w14:paraId="01E0484F" w14:textId="77777777" w:rsidR="00920A68" w:rsidRDefault="00920A68">
      <w:pPr>
        <w:spacing w:before="40"/>
      </w:pPr>
    </w:p>
    <w:p w14:paraId="1442B0D4" w14:textId="77777777" w:rsidR="00920A68" w:rsidRDefault="00000000">
      <w:pPr>
        <w:spacing w:before="60" w:after="60"/>
      </w:pPr>
      <w:r>
        <w:rPr>
          <w:b/>
          <w:bCs/>
        </w:rPr>
        <w:t>Key Performance Indicators:</w:t>
      </w:r>
    </w:p>
    <w:p w14:paraId="5D867C59" w14:textId="25F995EE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FY25 Revenue: $416.16 Bn (+6.43% </w:t>
      </w:r>
      <w:r w:rsidR="00EB6BCE">
        <w:t>YoY) │ Net</w:t>
      </w:r>
      <w:r>
        <w:t xml:space="preserve"> Profit: $112.01 Bn (+19.50% YoY) — margin expansion with moderate top-line growth.</w:t>
      </w:r>
    </w:p>
    <w:p w14:paraId="0B5D502E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WWDC 2026 (June 8): AI-overhauled Siri with chatbot features; Visual Intelligence via Google Image Search.</w:t>
      </w:r>
    </w:p>
    <w:p w14:paraId="15D9B321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App Store generated $1.4 trillion in sales in 2025; AI-focused app billings up 4x YoY.</w:t>
      </w:r>
    </w:p>
    <w:p w14:paraId="5BB9B83A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Stock up 20.9% in just the last 90 days; 1-year total shareholder return of ~55.7%.</w:t>
      </w:r>
    </w:p>
    <w:p w14:paraId="7EDD6E98" w14:textId="77777777" w:rsidR="00920A68" w:rsidRDefault="00920A68">
      <w:pPr>
        <w:spacing w:before="100"/>
      </w:pPr>
    </w:p>
    <w:p w14:paraId="6C75A198" w14:textId="77777777" w:rsidR="00EB6BCE" w:rsidRDefault="00EB6BCE">
      <w:pPr>
        <w:rPr>
          <w:b/>
          <w:bCs/>
          <w:color w:val="2E75B6"/>
          <w:sz w:val="22"/>
          <w:szCs w:val="22"/>
        </w:rPr>
      </w:pPr>
      <w:r>
        <w:br w:type="page"/>
      </w:r>
    </w:p>
    <w:p w14:paraId="0FE8C225" w14:textId="72F99929" w:rsidR="00920A68" w:rsidRDefault="00EB6BCE">
      <w:pPr>
        <w:pStyle w:val="Heading2"/>
        <w:spacing w:before="180"/>
      </w:pPr>
      <w:r>
        <w:lastRenderedPageBreak/>
        <w:t>3.3 Microsoft Corporation (NASDAQ: MSFT)</w:t>
      </w:r>
    </w:p>
    <w:p w14:paraId="6F6CC1E8" w14:textId="0ED0061E" w:rsidR="00920A68" w:rsidRDefault="00000000">
      <w:pPr>
        <w:spacing w:before="60" w:after="60"/>
      </w:pPr>
      <w:r>
        <w:rPr>
          <w:b/>
          <w:bCs/>
        </w:rPr>
        <w:t xml:space="preserve">Price Trend: </w:t>
      </w:r>
    </w:p>
    <w:p w14:paraId="3A57D186" w14:textId="77777777" w:rsidR="00920A68" w:rsidRDefault="00000000">
      <w:pPr>
        <w:spacing w:before="60" w:after="60"/>
      </w:pPr>
      <w:r>
        <w:t>MSFT declined ~6.63% over the 12-month period, falling from a 52-week high of $555.45 to ~$427 — approximately 23% below its peak. The correction was driven by capex concerns (AI data centre build-out: $37.5 Bn in Q2 FY26, $31.9 Bn in Q3 FY26), not fundamental weakness. Underlying business metrics remain exceptional.</w:t>
      </w:r>
    </w:p>
    <w:p w14:paraId="560DDF6A" w14:textId="77777777" w:rsidR="00920A68" w:rsidRDefault="00920A68">
      <w:pPr>
        <w:spacing w:before="40"/>
      </w:pPr>
    </w:p>
    <w:p w14:paraId="6D40C843" w14:textId="625DDD54" w:rsidR="00920A68" w:rsidRDefault="00000000" w:rsidP="00EB6BCE">
      <w:r>
        <w:rPr>
          <w:b/>
          <w:bCs/>
        </w:rPr>
        <w:t xml:space="preserve">P/E Ratio — Historically Discounted: </w:t>
      </w:r>
    </w:p>
    <w:p w14:paraId="694F9B9D" w14:textId="77777777" w:rsidR="00920A68" w:rsidRDefault="00000000">
      <w:pPr>
        <w:spacing w:before="60" w:after="60"/>
      </w:pPr>
      <w:r>
        <w:t>At 25.35x TTM P/E — 18% below Microsoft's 10-year historical average of 30.95x — this is the most compelling valuation case in this report. With Q3 FY26 EPS of $4.27 (+23% YoY) and AI revenue growing 123%, a PE of ~25x for the world's leading enterprise AI platform appears conservative relative to peers.</w:t>
      </w:r>
    </w:p>
    <w:p w14:paraId="2E11B7D1" w14:textId="77777777" w:rsidR="00920A68" w:rsidRDefault="00920A68">
      <w:pPr>
        <w:spacing w:before="40"/>
      </w:pPr>
    </w:p>
    <w:p w14:paraId="78C5A856" w14:textId="77777777" w:rsidR="00920A68" w:rsidRDefault="00000000">
      <w:pPr>
        <w:spacing w:before="60" w:after="60"/>
      </w:pPr>
      <w:r>
        <w:rPr>
          <w:b/>
          <w:bCs/>
        </w:rPr>
        <w:t>Key Performance Indicators:</w:t>
      </w:r>
    </w:p>
    <w:p w14:paraId="51D7DC29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Q3 FY26: Revenue $82.9 Bn (+18% YoY), Operating Income +16%, EPS $4.27 (+23%) — all beat consensus.</w:t>
      </w:r>
    </w:p>
    <w:p w14:paraId="6125E08B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Azure cloud revenue grew 40% YoY in Q3 FY26 (accelerating from 33% year-ago).</w:t>
      </w:r>
    </w:p>
    <w:p w14:paraId="05241190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AI annual revenue run rate: $37 Bn (+123% YoY, up from $13 Bn in Jan 2025).</w:t>
      </w:r>
    </w:p>
    <w:p w14:paraId="53C2655A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Microsoft 365 Copilot: 20+ million paid commercial seats; contracted future revenue backlog +51% to $392 Bn.</w:t>
      </w:r>
    </w:p>
    <w:p w14:paraId="63B715B2" w14:textId="77777777" w:rsidR="00920A68" w:rsidRDefault="00920A68">
      <w:pPr>
        <w:spacing w:before="160"/>
      </w:pPr>
    </w:p>
    <w:p w14:paraId="01C82C01" w14:textId="77777777" w:rsidR="00920A68" w:rsidRDefault="00000000">
      <w:pPr>
        <w:pStyle w:val="Heading1"/>
        <w:pBdr>
          <w:bottom w:val="single" w:sz="6" w:space="4" w:color="2E75B6"/>
        </w:pBdr>
      </w:pPr>
      <w:r>
        <w:t>4. Conclusion &amp; Investment Recommendation</w:t>
      </w:r>
    </w:p>
    <w:p w14:paraId="774CC9C6" w14:textId="77777777" w:rsidR="00920A68" w:rsidRDefault="00000000">
      <w:pPr>
        <w:spacing w:before="60" w:after="60"/>
      </w:pPr>
      <w:r>
        <w:t>The three stocks present a fascinating divergence between price performance and fundamental strength. Apple delivered exceptional market returns (+53.11%) on AI narrative momentum, while Microsoft and Reliance both posted slight declines despite strong operational results. The table below summarizes risk and suitability:</w:t>
      </w:r>
    </w:p>
    <w:p w14:paraId="57E59F9A" w14:textId="77777777" w:rsidR="00920A68" w:rsidRDefault="00920A68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800"/>
        <w:gridCol w:w="5560"/>
      </w:tblGrid>
      <w:tr w:rsidR="00920A68" w14:paraId="17DDEB70" w14:textId="77777777">
        <w:tc>
          <w:tcPr>
            <w:tcW w:w="2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8AC4A" w14:textId="77777777" w:rsidR="00920A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Stock</w:t>
            </w:r>
          </w:p>
        </w:tc>
        <w:tc>
          <w:tcPr>
            <w:tcW w:w="18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66873" w14:textId="77777777" w:rsidR="00920A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55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1EE40" w14:textId="77777777" w:rsidR="00920A6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Key Risk Factors</w:t>
            </w:r>
          </w:p>
        </w:tc>
      </w:tr>
      <w:tr w:rsidR="00920A68" w14:paraId="7B4904E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E787" w14:textId="77777777" w:rsidR="00920A68" w:rsidRDefault="00000000">
            <w:r>
              <w:rPr>
                <w:b/>
                <w:bCs/>
                <w:color w:val="000000"/>
                <w:sz w:val="18"/>
                <w:szCs w:val="18"/>
              </w:rPr>
              <w:t>Reliance (RELIANCE)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7F697" w14:textId="77777777" w:rsidR="00920A68" w:rsidRDefault="00000000">
            <w:pPr>
              <w:jc w:val="center"/>
            </w:pPr>
            <w:r>
              <w:rPr>
                <w:b/>
                <w:bCs/>
                <w:color w:val="D68910"/>
                <w:sz w:val="18"/>
                <w:szCs w:val="18"/>
              </w:rPr>
              <w:t>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E2CF" w14:textId="77777777" w:rsidR="00920A68" w:rsidRDefault="00000000">
            <w:r>
              <w:rPr>
                <w:color w:val="000000"/>
                <w:sz w:val="18"/>
                <w:szCs w:val="18"/>
              </w:rPr>
              <w:t>Slowing profit growth, heavy capex cycle, regulatory risk in Jio, currency risk (INR/USD)</w:t>
            </w:r>
          </w:p>
        </w:tc>
      </w:tr>
      <w:tr w:rsidR="00920A68" w14:paraId="42324C4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F1F2" w14:textId="77777777" w:rsidR="00920A68" w:rsidRDefault="00000000">
            <w:r>
              <w:rPr>
                <w:b/>
                <w:bCs/>
                <w:color w:val="000000"/>
                <w:sz w:val="18"/>
                <w:szCs w:val="18"/>
              </w:rPr>
              <w:t>Apple (AAPL)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8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AB266" w14:textId="77777777" w:rsidR="00920A68" w:rsidRDefault="00000000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Moderate–High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B297" w14:textId="77777777" w:rsidR="00920A68" w:rsidRDefault="00000000">
            <w:r>
              <w:rPr>
                <w:color w:val="000000"/>
                <w:sz w:val="18"/>
                <w:szCs w:val="18"/>
              </w:rPr>
              <w:t>High valuation (PE 37x), Siri AI execution risk, China dependency (~18% revenue), succession risk</w:t>
            </w:r>
          </w:p>
        </w:tc>
      </w:tr>
      <w:tr w:rsidR="00920A68" w14:paraId="2650650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44E21" w14:textId="77777777" w:rsidR="00920A68" w:rsidRDefault="00000000">
            <w:r>
              <w:rPr>
                <w:b/>
                <w:bCs/>
                <w:color w:val="000000"/>
                <w:sz w:val="18"/>
                <w:szCs w:val="18"/>
              </w:rPr>
              <w:t>Microsoft (MSFT)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0CC6" w14:textId="77777777" w:rsidR="00920A68" w:rsidRDefault="00000000">
            <w:pPr>
              <w:jc w:val="center"/>
            </w:pPr>
            <w:r>
              <w:rPr>
                <w:b/>
                <w:bCs/>
                <w:color w:val="1E7D4A"/>
                <w:sz w:val="18"/>
                <w:szCs w:val="18"/>
              </w:rPr>
              <w:t>Low–Moderate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4D808" w14:textId="77777777" w:rsidR="00920A68" w:rsidRDefault="00000000">
            <w:r>
              <w:rPr>
                <w:color w:val="000000"/>
                <w:sz w:val="18"/>
                <w:szCs w:val="18"/>
              </w:rPr>
              <w:t>Capex-driven margin pressure, OpenAI dependency, competition from AWS &amp; Google Cloud</w:t>
            </w:r>
          </w:p>
        </w:tc>
      </w:tr>
    </w:tbl>
    <w:p w14:paraId="75417BC3" w14:textId="77777777" w:rsidR="00920A68" w:rsidRDefault="00920A68">
      <w:pPr>
        <w:spacing w:before="120"/>
      </w:pPr>
    </w:p>
    <w:p w14:paraId="6C35D216" w14:textId="77777777" w:rsidR="00920A68" w:rsidRDefault="00000000">
      <w:pPr>
        <w:spacing w:before="80" w:after="60"/>
      </w:pPr>
      <w:r>
        <w:rPr>
          <w:b/>
          <w:bCs/>
          <w:color w:val="1F4E79"/>
          <w:sz w:val="22"/>
          <w:szCs w:val="22"/>
        </w:rPr>
        <w:t>Recommendations by Investor Profile:</w:t>
      </w:r>
    </w:p>
    <w:p w14:paraId="67C985B5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Conservative Investor → Microsoft (MSFT): Trading 18% below its own historical average P/E despite being the world's leading AI cloud platform. $392 Bn revenue backlog, Azure +40%, and AI run rate at $37 Bn (+123%) offer strong earnings visibility at a reasonable valuation.</w:t>
      </w:r>
    </w:p>
    <w:p w14:paraId="391B6A5D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Balanced Investor → Reliance Industries (RELIANCE): Near 52-week lows, fairly valued at ~25x PE, with significant catalysts ahead — Jio IPO, AI data centres, and Retail recovery. Suitable for long-term India-oriented investors.</w:t>
      </w:r>
    </w:p>
    <w:p w14:paraId="6BCC440E" w14:textId="77777777" w:rsidR="00920A68" w:rsidRDefault="00000000">
      <w:pPr>
        <w:pStyle w:val="ListParagraph"/>
        <w:numPr>
          <w:ilvl w:val="0"/>
          <w:numId w:val="2"/>
        </w:numPr>
        <w:spacing w:before="40" w:after="40"/>
      </w:pPr>
      <w:r>
        <w:t>Aggressive Investor → Apple (AAPL): Momentum and AI narrative in full swing. Strong Services recurring revenue. However, PE of 37.43x (53% above 10-year average) leaves little margin for error — execution of the AI/Siri pivot is critical.</w:t>
      </w:r>
    </w:p>
    <w:p w14:paraId="165BB7DD" w14:textId="77777777" w:rsidR="00920A68" w:rsidRDefault="00920A68">
      <w:pPr>
        <w:spacing w:before="80"/>
      </w:pPr>
    </w:p>
    <w:p w14:paraId="57A9469E" w14:textId="77777777" w:rsidR="00920A68" w:rsidRPr="00EB6BCE" w:rsidRDefault="00000000">
      <w:pPr>
        <w:spacing w:before="60" w:after="60"/>
      </w:pPr>
      <w:r w:rsidRPr="00EB6BCE">
        <w:t>Overall, a portfolio combining all three stocks provides diversified exposure across India's fastest-growing conglomerate, the world's most iconic consumer brand, and the leading AI cloud infrastructure provider — a compelling long-term combination across geographies, sectors, and growth drivers.</w:t>
      </w:r>
    </w:p>
    <w:p w14:paraId="1406F11F" w14:textId="77777777" w:rsidR="00920A68" w:rsidRDefault="00920A68">
      <w:pPr>
        <w:spacing w:before="120"/>
      </w:pPr>
    </w:p>
    <w:sectPr w:rsidR="00920A68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76313" w14:textId="77777777" w:rsidR="00D11FEE" w:rsidRDefault="00D11FEE">
      <w:r>
        <w:separator/>
      </w:r>
    </w:p>
  </w:endnote>
  <w:endnote w:type="continuationSeparator" w:id="0">
    <w:p w14:paraId="43DC4A05" w14:textId="77777777" w:rsidR="00D11FEE" w:rsidRDefault="00D11F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BC3DE" w14:textId="34E7F9B5" w:rsidR="00920A68" w:rsidRDefault="00000000">
    <w:pPr>
      <w:pBdr>
        <w:top w:val="single" w:sz="4" w:space="4" w:color="2E75B6"/>
      </w:pBdr>
      <w:spacing w:before="80"/>
      <w:jc w:val="center"/>
    </w:pPr>
    <w:r>
      <w:rPr>
        <w:color w:val="666666"/>
        <w:sz w:val="16"/>
        <w:szCs w:val="16"/>
      </w:rPr>
      <w:t xml:space="preserve">Stock Analysis </w:t>
    </w:r>
    <w:r w:rsidR="00EB6BCE">
      <w:rPr>
        <w:color w:val="666666"/>
        <w:sz w:val="16"/>
        <w:szCs w:val="16"/>
      </w:rPr>
      <w:t>Report │ CodeAlpha</w:t>
    </w:r>
    <w:r>
      <w:rPr>
        <w:color w:val="666666"/>
        <w:sz w:val="16"/>
        <w:szCs w:val="16"/>
      </w:rPr>
      <w:t xml:space="preserve"> Finance &amp; Investment </w:t>
    </w:r>
    <w:r w:rsidR="00EB6BCE">
      <w:rPr>
        <w:color w:val="666666"/>
        <w:sz w:val="16"/>
        <w:szCs w:val="16"/>
      </w:rPr>
      <w:t>Internship │ Yash</w:t>
    </w:r>
    <w:r>
      <w:rPr>
        <w:color w:val="666666"/>
        <w:sz w:val="16"/>
        <w:szCs w:val="16"/>
      </w:rPr>
      <w:t xml:space="preserve"> </w:t>
    </w:r>
    <w:r w:rsidR="00EB6BCE">
      <w:rPr>
        <w:color w:val="666666"/>
        <w:sz w:val="16"/>
        <w:szCs w:val="16"/>
      </w:rPr>
      <w:t>Dholakia │ Page</w:t>
    </w:r>
    <w:r>
      <w:rPr>
        <w:color w:val="666666"/>
        <w:sz w:val="16"/>
        <w:szCs w:val="16"/>
      </w:rPr>
      <w:t xml:space="preserve">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B6BC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EB6BCE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128D32" w14:textId="77777777" w:rsidR="00D11FEE" w:rsidRDefault="00D11FEE">
      <w:r>
        <w:separator/>
      </w:r>
    </w:p>
  </w:footnote>
  <w:footnote w:type="continuationSeparator" w:id="0">
    <w:p w14:paraId="0450B166" w14:textId="77777777" w:rsidR="00D11FEE" w:rsidRDefault="00D11F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4E21BD"/>
    <w:multiLevelType w:val="hybridMultilevel"/>
    <w:tmpl w:val="32009324"/>
    <w:lvl w:ilvl="0" w:tplc="408210A8">
      <w:start w:val="1"/>
      <w:numFmt w:val="bullet"/>
      <w:lvlText w:val="●"/>
      <w:lvlJc w:val="left"/>
      <w:pPr>
        <w:ind w:left="720" w:hanging="360"/>
      </w:pPr>
    </w:lvl>
    <w:lvl w:ilvl="1" w:tplc="3FFAD962">
      <w:start w:val="1"/>
      <w:numFmt w:val="bullet"/>
      <w:lvlText w:val="○"/>
      <w:lvlJc w:val="left"/>
      <w:pPr>
        <w:ind w:left="1440" w:hanging="360"/>
      </w:pPr>
    </w:lvl>
    <w:lvl w:ilvl="2" w:tplc="27F2B7EA">
      <w:start w:val="1"/>
      <w:numFmt w:val="bullet"/>
      <w:lvlText w:val="■"/>
      <w:lvlJc w:val="left"/>
      <w:pPr>
        <w:ind w:left="2160" w:hanging="360"/>
      </w:pPr>
    </w:lvl>
    <w:lvl w:ilvl="3" w:tplc="2954CD18">
      <w:start w:val="1"/>
      <w:numFmt w:val="bullet"/>
      <w:lvlText w:val="●"/>
      <w:lvlJc w:val="left"/>
      <w:pPr>
        <w:ind w:left="2880" w:hanging="360"/>
      </w:pPr>
    </w:lvl>
    <w:lvl w:ilvl="4" w:tplc="96085C38">
      <w:start w:val="1"/>
      <w:numFmt w:val="bullet"/>
      <w:lvlText w:val="○"/>
      <w:lvlJc w:val="left"/>
      <w:pPr>
        <w:ind w:left="3600" w:hanging="360"/>
      </w:pPr>
    </w:lvl>
    <w:lvl w:ilvl="5" w:tplc="393AF188">
      <w:start w:val="1"/>
      <w:numFmt w:val="bullet"/>
      <w:lvlText w:val="■"/>
      <w:lvlJc w:val="left"/>
      <w:pPr>
        <w:ind w:left="4320" w:hanging="360"/>
      </w:pPr>
    </w:lvl>
    <w:lvl w:ilvl="6" w:tplc="78BE934E">
      <w:start w:val="1"/>
      <w:numFmt w:val="bullet"/>
      <w:lvlText w:val="●"/>
      <w:lvlJc w:val="left"/>
      <w:pPr>
        <w:ind w:left="5040" w:hanging="360"/>
      </w:pPr>
    </w:lvl>
    <w:lvl w:ilvl="7" w:tplc="B47A37EC">
      <w:start w:val="1"/>
      <w:numFmt w:val="bullet"/>
      <w:lvlText w:val="●"/>
      <w:lvlJc w:val="left"/>
      <w:pPr>
        <w:ind w:left="5760" w:hanging="360"/>
      </w:pPr>
    </w:lvl>
    <w:lvl w:ilvl="8" w:tplc="E7FE830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13425C"/>
    <w:multiLevelType w:val="hybridMultilevel"/>
    <w:tmpl w:val="2CFE7D94"/>
    <w:lvl w:ilvl="0" w:tplc="F788AD74">
      <w:start w:val="1"/>
      <w:numFmt w:val="bullet"/>
      <w:lvlText w:val="•"/>
      <w:lvlJc w:val="left"/>
      <w:pPr>
        <w:ind w:left="540" w:hanging="260"/>
      </w:pPr>
    </w:lvl>
    <w:lvl w:ilvl="1" w:tplc="C9F67308">
      <w:numFmt w:val="decimal"/>
      <w:lvlText w:val=""/>
      <w:lvlJc w:val="left"/>
    </w:lvl>
    <w:lvl w:ilvl="2" w:tplc="89F89674">
      <w:numFmt w:val="decimal"/>
      <w:lvlText w:val=""/>
      <w:lvlJc w:val="left"/>
    </w:lvl>
    <w:lvl w:ilvl="3" w:tplc="6158CCD2">
      <w:numFmt w:val="decimal"/>
      <w:lvlText w:val=""/>
      <w:lvlJc w:val="left"/>
    </w:lvl>
    <w:lvl w:ilvl="4" w:tplc="24F672C2">
      <w:numFmt w:val="decimal"/>
      <w:lvlText w:val=""/>
      <w:lvlJc w:val="left"/>
    </w:lvl>
    <w:lvl w:ilvl="5" w:tplc="E8B06C3E">
      <w:numFmt w:val="decimal"/>
      <w:lvlText w:val=""/>
      <w:lvlJc w:val="left"/>
    </w:lvl>
    <w:lvl w:ilvl="6" w:tplc="1668FBE4">
      <w:numFmt w:val="decimal"/>
      <w:lvlText w:val=""/>
      <w:lvlJc w:val="left"/>
    </w:lvl>
    <w:lvl w:ilvl="7" w:tplc="1DD4A69E">
      <w:numFmt w:val="decimal"/>
      <w:lvlText w:val=""/>
      <w:lvlJc w:val="left"/>
    </w:lvl>
    <w:lvl w:ilvl="8" w:tplc="717C1F5A">
      <w:numFmt w:val="decimal"/>
      <w:lvlText w:val=""/>
      <w:lvlJc w:val="left"/>
    </w:lvl>
  </w:abstractNum>
  <w:num w:numId="1" w16cid:durableId="1098257452">
    <w:abstractNumId w:val="0"/>
    <w:lvlOverride w:ilvl="0">
      <w:startOverride w:val="1"/>
    </w:lvlOverride>
  </w:num>
  <w:num w:numId="2" w16cid:durableId="173474279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0A68"/>
    <w:rsid w:val="0035353C"/>
    <w:rsid w:val="00567C27"/>
    <w:rsid w:val="00920A68"/>
    <w:rsid w:val="00A50A9F"/>
    <w:rsid w:val="00D11FEE"/>
    <w:rsid w:val="00EB6BCE"/>
    <w:rsid w:val="00FF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BAF0A"/>
  <w15:docId w15:val="{9D385A5D-83DF-4D74-8F51-42870CB1A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60" w:after="100"/>
      <w:outlineLvl w:val="0"/>
    </w:pPr>
    <w:rPr>
      <w:b/>
      <w:bCs/>
      <w:color w:val="1F4E79"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80"/>
      <w:outlineLvl w:val="1"/>
    </w:pPr>
    <w:rPr>
      <w:b/>
      <w:bCs/>
      <w:color w:val="2E75B6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B6BC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B6BCE"/>
  </w:style>
  <w:style w:type="paragraph" w:styleId="Footer">
    <w:name w:val="footer"/>
    <w:basedOn w:val="Normal"/>
    <w:link w:val="FooterChar"/>
    <w:uiPriority w:val="99"/>
    <w:unhideWhenUsed/>
    <w:rsid w:val="00EB6BC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B6B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1031</Words>
  <Characters>5880</Characters>
  <Application>Microsoft Office Word</Application>
  <DocSecurity>0</DocSecurity>
  <Lines>49</Lines>
  <Paragraphs>13</Paragraphs>
  <ScaleCrop>false</ScaleCrop>
  <Company/>
  <LinksUpToDate>false</LinksUpToDate>
  <CharactersWithSpaces>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Yash Dholakia</cp:lastModifiedBy>
  <cp:revision>2</cp:revision>
  <dcterms:created xsi:type="dcterms:W3CDTF">2026-06-14T11:26:00Z</dcterms:created>
  <dcterms:modified xsi:type="dcterms:W3CDTF">2026-06-14T11:26:00Z</dcterms:modified>
</cp:coreProperties>
</file>